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1734" w14:textId="284997E2" w:rsidR="00B55D50" w:rsidRPr="00421439" w:rsidRDefault="00B55D50" w:rsidP="00421439">
      <w:pPr>
        <w:jc w:val="center"/>
        <w:rPr>
          <w:rFonts w:ascii="Arial" w:hAnsi="Arial" w:cs="Arial"/>
          <w:b/>
          <w:bCs/>
          <w:sz w:val="28"/>
          <w:szCs w:val="28"/>
        </w:rPr>
      </w:pPr>
      <w:r w:rsidRPr="00421439">
        <w:rPr>
          <w:rFonts w:ascii="Arial" w:hAnsi="Arial" w:cs="Arial"/>
          <w:b/>
          <w:bCs/>
          <w:sz w:val="28"/>
          <w:szCs w:val="28"/>
        </w:rPr>
        <w:t>State of California</w:t>
      </w:r>
    </w:p>
    <w:p w14:paraId="6E08F4F0" w14:textId="77777777" w:rsidR="00B55D50" w:rsidRPr="00421439" w:rsidRDefault="00B55D50" w:rsidP="00421439">
      <w:pPr>
        <w:jc w:val="center"/>
        <w:rPr>
          <w:rFonts w:ascii="Arial" w:hAnsi="Arial" w:cs="Arial"/>
          <w:b/>
          <w:bCs/>
          <w:sz w:val="28"/>
          <w:szCs w:val="28"/>
        </w:rPr>
      </w:pPr>
      <w:r w:rsidRPr="00421439">
        <w:rPr>
          <w:rFonts w:ascii="Arial" w:hAnsi="Arial" w:cs="Arial"/>
          <w:b/>
          <w:bCs/>
          <w:sz w:val="28"/>
          <w:szCs w:val="28"/>
        </w:rPr>
        <w:t>Department of Rehabilitation</w:t>
      </w:r>
    </w:p>
    <w:p w14:paraId="68A98D3A" w14:textId="77777777" w:rsidR="00B55D50" w:rsidRPr="00421439" w:rsidRDefault="00B55D50" w:rsidP="00421439">
      <w:pPr>
        <w:jc w:val="center"/>
        <w:rPr>
          <w:rFonts w:ascii="Arial" w:hAnsi="Arial" w:cs="Arial"/>
          <w:b/>
          <w:bCs/>
          <w:sz w:val="28"/>
          <w:szCs w:val="28"/>
        </w:rPr>
      </w:pPr>
      <w:r w:rsidRPr="00421439">
        <w:rPr>
          <w:rFonts w:ascii="Arial" w:hAnsi="Arial" w:cs="Arial"/>
          <w:b/>
          <w:bCs/>
          <w:sz w:val="28"/>
          <w:szCs w:val="28"/>
        </w:rPr>
        <w:t>721 Capitol Mall</w:t>
      </w:r>
    </w:p>
    <w:p w14:paraId="4B9BD598" w14:textId="2770A2C2" w:rsidR="00B55D50" w:rsidRPr="00421439" w:rsidRDefault="00B55D50" w:rsidP="00421439">
      <w:pPr>
        <w:jc w:val="center"/>
        <w:rPr>
          <w:rFonts w:ascii="Arial" w:hAnsi="Arial" w:cs="Arial"/>
          <w:b/>
          <w:bCs/>
          <w:sz w:val="28"/>
          <w:szCs w:val="28"/>
        </w:rPr>
      </w:pPr>
      <w:r w:rsidRPr="00421439">
        <w:rPr>
          <w:rFonts w:ascii="Arial" w:hAnsi="Arial" w:cs="Arial"/>
          <w:b/>
          <w:bCs/>
          <w:sz w:val="28"/>
          <w:szCs w:val="28"/>
        </w:rPr>
        <w:t xml:space="preserve">Sacramento, </w:t>
      </w:r>
      <w:r w:rsidR="00AB618B" w:rsidRPr="00421439">
        <w:rPr>
          <w:rFonts w:ascii="Arial" w:hAnsi="Arial" w:cs="Arial"/>
          <w:b/>
          <w:bCs/>
          <w:sz w:val="28"/>
          <w:szCs w:val="28"/>
        </w:rPr>
        <w:t>California 95814</w:t>
      </w:r>
    </w:p>
    <w:p w14:paraId="345DF4CC" w14:textId="77777777" w:rsidR="00B55D50" w:rsidRDefault="00B55D50" w:rsidP="00B55D50">
      <w:pPr>
        <w:pStyle w:val="Title"/>
        <w:rPr>
          <w:b/>
          <w:bCs/>
        </w:rPr>
      </w:pPr>
    </w:p>
    <w:p w14:paraId="13850204" w14:textId="77777777" w:rsidR="00B55D50" w:rsidRDefault="00B55D50" w:rsidP="00B55D50">
      <w:pPr>
        <w:jc w:val="center"/>
        <w:rPr>
          <w:rFonts w:ascii="Arial" w:hAnsi="Arial"/>
          <w:b/>
          <w:bCs/>
          <w:sz w:val="28"/>
        </w:rPr>
      </w:pPr>
      <w:r>
        <w:rPr>
          <w:rFonts w:ascii="Arial" w:hAnsi="Arial"/>
          <w:b/>
          <w:bCs/>
          <w:sz w:val="28"/>
        </w:rPr>
        <w:t>Title 9.  Rehabilitative and Developmental Services</w:t>
      </w:r>
    </w:p>
    <w:p w14:paraId="70AB0700" w14:textId="77777777" w:rsidR="00B55D50" w:rsidRDefault="00B55D50" w:rsidP="00B55D50">
      <w:pPr>
        <w:jc w:val="center"/>
        <w:rPr>
          <w:rFonts w:ascii="Arial" w:hAnsi="Arial"/>
          <w:b/>
          <w:bCs/>
          <w:sz w:val="28"/>
        </w:rPr>
      </w:pPr>
      <w:r>
        <w:rPr>
          <w:rFonts w:ascii="Arial" w:hAnsi="Arial"/>
          <w:b/>
          <w:bCs/>
          <w:sz w:val="28"/>
        </w:rPr>
        <w:t>Division 3.  Department of Rehabilitation</w:t>
      </w:r>
    </w:p>
    <w:p w14:paraId="6C388A00" w14:textId="77777777" w:rsidR="00844BD9" w:rsidRPr="009776F4" w:rsidRDefault="00F61430" w:rsidP="00B55D50">
      <w:pPr>
        <w:jc w:val="center"/>
        <w:rPr>
          <w:rFonts w:ascii="Arial" w:hAnsi="Arial" w:cs="Arial"/>
          <w:b/>
          <w:bCs/>
          <w:sz w:val="28"/>
          <w:szCs w:val="28"/>
        </w:rPr>
      </w:pPr>
      <w:r w:rsidRPr="009776F4">
        <w:rPr>
          <w:rFonts w:ascii="Arial" w:hAnsi="Arial" w:cs="Arial"/>
          <w:b/>
          <w:bCs/>
          <w:sz w:val="28"/>
          <w:szCs w:val="28"/>
          <w:highlight w:val="yellow"/>
        </w:rPr>
        <w:t xml:space="preserve"> </w:t>
      </w:r>
    </w:p>
    <w:p w14:paraId="08677E67" w14:textId="70BBD9A1" w:rsidR="00D76194" w:rsidRPr="00421439" w:rsidRDefault="00844BD9" w:rsidP="00421439">
      <w:pPr>
        <w:pStyle w:val="Title"/>
        <w:rPr>
          <w:b/>
          <w:bCs/>
          <w:color w:val="FF0000"/>
        </w:rPr>
      </w:pPr>
      <w:r w:rsidRPr="00421439">
        <w:rPr>
          <w:b/>
          <w:bCs/>
        </w:rPr>
        <w:t>INITIAL STATEMENT OF REASONS</w:t>
      </w:r>
      <w:r w:rsidR="00410C8A" w:rsidRPr="00421439">
        <w:rPr>
          <w:b/>
          <w:bCs/>
        </w:rPr>
        <w:t xml:space="preserve"> </w:t>
      </w:r>
    </w:p>
    <w:p w14:paraId="01266108" w14:textId="77777777" w:rsidR="00B9521C" w:rsidRDefault="00B9521C" w:rsidP="00B9521C">
      <w:pPr>
        <w:rPr>
          <w:rFonts w:ascii="Arial" w:hAnsi="Arial"/>
          <w:b/>
          <w:bCs/>
          <w:color w:val="FF0000"/>
          <w:sz w:val="28"/>
        </w:rPr>
      </w:pPr>
    </w:p>
    <w:p w14:paraId="4D782F8A" w14:textId="1A45C1BE" w:rsidR="00B9521C" w:rsidRPr="00B9521C" w:rsidRDefault="00B9521C" w:rsidP="00421439">
      <w:pPr>
        <w:pStyle w:val="Heading1"/>
      </w:pPr>
      <w:r w:rsidRPr="00B9521C">
        <w:t>INTRODUCTION</w:t>
      </w:r>
    </w:p>
    <w:p w14:paraId="0568DA23" w14:textId="77777777" w:rsidR="00AD4C16" w:rsidRDefault="00AD4C16" w:rsidP="00AD4C16">
      <w:pPr>
        <w:jc w:val="center"/>
        <w:rPr>
          <w:rFonts w:ascii="Arial" w:hAnsi="Arial"/>
          <w:b/>
          <w:sz w:val="28"/>
        </w:rPr>
      </w:pPr>
    </w:p>
    <w:p w14:paraId="260BA424" w14:textId="70E7DDE1" w:rsidR="00AF5A99" w:rsidRDefault="00AF5A99" w:rsidP="00AF5A99">
      <w:pPr>
        <w:autoSpaceDE w:val="0"/>
        <w:autoSpaceDN w:val="0"/>
        <w:adjustRightInd w:val="0"/>
        <w:rPr>
          <w:rFonts w:ascii="Arial" w:hAnsi="Arial" w:cs="Arial"/>
          <w:color w:val="000000"/>
          <w:kern w:val="24"/>
          <w:sz w:val="28"/>
          <w:szCs w:val="28"/>
        </w:rPr>
      </w:pPr>
      <w:r>
        <w:rPr>
          <w:rFonts w:ascii="Arial" w:hAnsi="Arial" w:cs="Arial"/>
          <w:color w:val="000000"/>
          <w:kern w:val="24"/>
          <w:sz w:val="28"/>
          <w:szCs w:val="28"/>
        </w:rPr>
        <w:t xml:space="preserve">The Department of Rehabilitation (“Department”) is responsible for administering the provision of vocational rehabilitation services for Californians with disabilities in accordance with </w:t>
      </w:r>
      <w:bookmarkStart w:id="0" w:name="_Hlk94501584"/>
      <w:r>
        <w:rPr>
          <w:rFonts w:ascii="Arial" w:hAnsi="Arial" w:cs="Arial"/>
          <w:color w:val="000000"/>
          <w:kern w:val="24"/>
          <w:sz w:val="28"/>
          <w:szCs w:val="28"/>
        </w:rPr>
        <w:t xml:space="preserve">United States Code, title 29, section 700 et seq., Welfare and Institutions Code section 19000 et seq., and implementing federal and state regulations (34 Code of Federal Regulations section 361.1 et seq., Cal. Code of Regs., tit. 9, section 7000 et seq.). </w:t>
      </w:r>
      <w:bookmarkEnd w:id="0"/>
      <w:r w:rsidR="00274CB7">
        <w:rPr>
          <w:rFonts w:ascii="Arial" w:hAnsi="Arial" w:cs="Arial"/>
          <w:color w:val="000000"/>
          <w:kern w:val="24"/>
          <w:sz w:val="28"/>
          <w:szCs w:val="28"/>
        </w:rPr>
        <w:t xml:space="preserve">The vocational rehabilitation program assists Californians with disabilities to obtain, retain, and advance in employment through a variety of services, </w:t>
      </w:r>
      <w:r w:rsidR="00274CB7" w:rsidRPr="00274CB7">
        <w:rPr>
          <w:rFonts w:ascii="Arial" w:hAnsi="Arial" w:cs="Arial"/>
          <w:color w:val="000000"/>
          <w:kern w:val="24"/>
          <w:sz w:val="28"/>
          <w:szCs w:val="28"/>
        </w:rPr>
        <w:t>including career guidance and counseling, job search and interview skills training, independent living skills, on the job training, employment preparation, assistive technology, and other services.</w:t>
      </w:r>
    </w:p>
    <w:p w14:paraId="27A4B339" w14:textId="77777777" w:rsidR="00AF5A99" w:rsidRDefault="00AF5A99" w:rsidP="00AF5A99">
      <w:pPr>
        <w:autoSpaceDE w:val="0"/>
        <w:autoSpaceDN w:val="0"/>
        <w:adjustRightInd w:val="0"/>
        <w:rPr>
          <w:rFonts w:ascii="Arial" w:hAnsi="Arial" w:cs="Arial"/>
          <w:color w:val="000000"/>
          <w:kern w:val="24"/>
          <w:sz w:val="28"/>
          <w:szCs w:val="28"/>
        </w:rPr>
      </w:pPr>
    </w:p>
    <w:p w14:paraId="0399F0A1" w14:textId="3F048A63" w:rsidR="00AF5A99" w:rsidRPr="00274CB7" w:rsidRDefault="00C00167" w:rsidP="001A7FA9">
      <w:pPr>
        <w:autoSpaceDE w:val="0"/>
        <w:autoSpaceDN w:val="0"/>
        <w:adjustRightInd w:val="0"/>
        <w:rPr>
          <w:rFonts w:ascii="Arial" w:hAnsi="Arial"/>
          <w:b/>
          <w:color w:val="000000" w:themeColor="text1"/>
          <w:sz w:val="28"/>
        </w:rPr>
      </w:pPr>
      <w:r>
        <w:rPr>
          <w:rFonts w:ascii="Arial" w:hAnsi="Arial"/>
          <w:bCs/>
          <w:color w:val="000000" w:themeColor="text1"/>
          <w:sz w:val="28"/>
        </w:rPr>
        <w:t>The Department</w:t>
      </w:r>
      <w:r w:rsidR="00274CB7" w:rsidRPr="00274CB7">
        <w:rPr>
          <w:rFonts w:ascii="Arial" w:hAnsi="Arial"/>
          <w:bCs/>
          <w:color w:val="000000" w:themeColor="text1"/>
          <w:sz w:val="28"/>
        </w:rPr>
        <w:t xml:space="preserve"> is the sole state agency with full power to supervise every phase of the administration of the State Plan for vocational rehabilitation </w:t>
      </w:r>
      <w:r w:rsidR="000301F4">
        <w:rPr>
          <w:rFonts w:ascii="Arial" w:hAnsi="Arial"/>
          <w:bCs/>
          <w:color w:val="000000" w:themeColor="text1"/>
          <w:sz w:val="28"/>
        </w:rPr>
        <w:t xml:space="preserve">(VR) </w:t>
      </w:r>
      <w:r w:rsidR="00274CB7" w:rsidRPr="00274CB7">
        <w:rPr>
          <w:rFonts w:ascii="Arial" w:hAnsi="Arial"/>
          <w:bCs/>
          <w:color w:val="000000" w:themeColor="text1"/>
          <w:sz w:val="28"/>
        </w:rPr>
        <w:t>services in California, and all decisions affecting eligibility and the nature and scope of the vocational rehabilitation services to be provided must be made by the D</w:t>
      </w:r>
      <w:r w:rsidR="00EF38C6">
        <w:rPr>
          <w:rFonts w:ascii="Arial" w:hAnsi="Arial"/>
          <w:bCs/>
          <w:color w:val="000000" w:themeColor="text1"/>
          <w:sz w:val="28"/>
        </w:rPr>
        <w:t>epartment</w:t>
      </w:r>
      <w:r w:rsidR="00274CB7" w:rsidRPr="00274CB7">
        <w:rPr>
          <w:rFonts w:ascii="Arial" w:hAnsi="Arial"/>
          <w:bCs/>
          <w:color w:val="000000" w:themeColor="text1"/>
          <w:sz w:val="28"/>
        </w:rPr>
        <w:t xml:space="preserve">. (29 U.S.C. § 721, Welf. &amp; Inst. Code, § 19005.1.) The U.S. Department of Education approves the State Plan developed by the </w:t>
      </w:r>
      <w:r w:rsidR="00EF38C6" w:rsidRPr="00274CB7">
        <w:rPr>
          <w:rFonts w:ascii="Arial" w:hAnsi="Arial"/>
          <w:bCs/>
          <w:color w:val="000000" w:themeColor="text1"/>
          <w:sz w:val="28"/>
        </w:rPr>
        <w:t>D</w:t>
      </w:r>
      <w:r w:rsidR="00EF38C6">
        <w:rPr>
          <w:rFonts w:ascii="Arial" w:hAnsi="Arial"/>
          <w:bCs/>
          <w:color w:val="000000" w:themeColor="text1"/>
          <w:sz w:val="28"/>
        </w:rPr>
        <w:t>epartment</w:t>
      </w:r>
      <w:r w:rsidR="00EF38C6" w:rsidRPr="00274CB7">
        <w:rPr>
          <w:rFonts w:ascii="Arial" w:hAnsi="Arial"/>
          <w:bCs/>
          <w:color w:val="000000" w:themeColor="text1"/>
          <w:sz w:val="28"/>
        </w:rPr>
        <w:t xml:space="preserve"> </w:t>
      </w:r>
      <w:r w:rsidR="00274CB7" w:rsidRPr="00274CB7">
        <w:rPr>
          <w:rFonts w:ascii="Arial" w:hAnsi="Arial"/>
          <w:bCs/>
          <w:color w:val="000000" w:themeColor="text1"/>
          <w:sz w:val="28"/>
        </w:rPr>
        <w:t xml:space="preserve">and </w:t>
      </w:r>
      <w:r w:rsidR="00B456DF" w:rsidRPr="00274CB7">
        <w:rPr>
          <w:rFonts w:ascii="Arial" w:hAnsi="Arial"/>
          <w:bCs/>
          <w:color w:val="000000" w:themeColor="text1"/>
          <w:sz w:val="28"/>
        </w:rPr>
        <w:t>funds it’s</w:t>
      </w:r>
      <w:r w:rsidR="00274CB7" w:rsidRPr="00274CB7">
        <w:rPr>
          <w:rFonts w:ascii="Arial" w:hAnsi="Arial"/>
          <w:bCs/>
          <w:color w:val="000000" w:themeColor="text1"/>
          <w:sz w:val="28"/>
        </w:rPr>
        <w:t xml:space="preserve"> </w:t>
      </w:r>
      <w:r w:rsidR="00B456DF">
        <w:rPr>
          <w:rFonts w:ascii="Arial" w:hAnsi="Arial"/>
          <w:bCs/>
          <w:color w:val="000000" w:themeColor="text1"/>
          <w:sz w:val="28"/>
        </w:rPr>
        <w:t>v</w:t>
      </w:r>
      <w:r w:rsidR="00274CB7" w:rsidRPr="00274CB7">
        <w:rPr>
          <w:rFonts w:ascii="Arial" w:hAnsi="Arial"/>
          <w:bCs/>
          <w:color w:val="000000" w:themeColor="text1"/>
          <w:sz w:val="28"/>
        </w:rPr>
        <w:t xml:space="preserve">ocational </w:t>
      </w:r>
      <w:r w:rsidR="00B456DF">
        <w:rPr>
          <w:rFonts w:ascii="Arial" w:hAnsi="Arial"/>
          <w:bCs/>
          <w:color w:val="000000" w:themeColor="text1"/>
          <w:sz w:val="28"/>
        </w:rPr>
        <w:t>r</w:t>
      </w:r>
      <w:r w:rsidR="00274CB7" w:rsidRPr="00274CB7">
        <w:rPr>
          <w:rFonts w:ascii="Arial" w:hAnsi="Arial"/>
          <w:bCs/>
          <w:color w:val="000000" w:themeColor="text1"/>
          <w:sz w:val="28"/>
        </w:rPr>
        <w:t xml:space="preserve">ehabilitation </w:t>
      </w:r>
      <w:r w:rsidR="00B456DF">
        <w:rPr>
          <w:rFonts w:ascii="Arial" w:hAnsi="Arial"/>
          <w:bCs/>
          <w:color w:val="000000" w:themeColor="text1"/>
          <w:sz w:val="28"/>
        </w:rPr>
        <w:t>p</w:t>
      </w:r>
      <w:r w:rsidR="00274CB7" w:rsidRPr="00274CB7">
        <w:rPr>
          <w:rFonts w:ascii="Arial" w:hAnsi="Arial"/>
          <w:bCs/>
          <w:color w:val="000000" w:themeColor="text1"/>
          <w:sz w:val="28"/>
        </w:rPr>
        <w:t>rogram in large part through an annual grant.</w:t>
      </w:r>
      <w:r w:rsidR="00B456DF">
        <w:rPr>
          <w:rFonts w:ascii="Arial" w:hAnsi="Arial"/>
          <w:bCs/>
          <w:color w:val="000000" w:themeColor="text1"/>
          <w:sz w:val="28"/>
        </w:rPr>
        <w:t xml:space="preserve"> </w:t>
      </w:r>
      <w:r w:rsidR="00274CB7" w:rsidRPr="00274CB7">
        <w:rPr>
          <w:rFonts w:ascii="Arial" w:hAnsi="Arial"/>
          <w:bCs/>
          <w:color w:val="000000" w:themeColor="text1"/>
          <w:sz w:val="28"/>
        </w:rPr>
        <w:t xml:space="preserve">(29 U.S.C. § 721, 34 C.F.R. § 361.10.) The </w:t>
      </w:r>
      <w:r w:rsidR="00B456DF">
        <w:rPr>
          <w:rFonts w:ascii="Arial" w:hAnsi="Arial"/>
          <w:bCs/>
          <w:color w:val="000000" w:themeColor="text1"/>
          <w:sz w:val="28"/>
        </w:rPr>
        <w:t>v</w:t>
      </w:r>
      <w:r w:rsidR="00274CB7" w:rsidRPr="00274CB7">
        <w:rPr>
          <w:rFonts w:ascii="Arial" w:hAnsi="Arial"/>
          <w:bCs/>
          <w:color w:val="000000" w:themeColor="text1"/>
          <w:sz w:val="28"/>
        </w:rPr>
        <w:t xml:space="preserve">ocational </w:t>
      </w:r>
      <w:r w:rsidR="00B456DF">
        <w:rPr>
          <w:rFonts w:ascii="Arial" w:hAnsi="Arial"/>
          <w:bCs/>
          <w:color w:val="000000" w:themeColor="text1"/>
          <w:sz w:val="28"/>
        </w:rPr>
        <w:t>r</w:t>
      </w:r>
      <w:r w:rsidR="00274CB7" w:rsidRPr="00274CB7">
        <w:rPr>
          <w:rFonts w:ascii="Arial" w:hAnsi="Arial"/>
          <w:bCs/>
          <w:color w:val="000000" w:themeColor="text1"/>
          <w:sz w:val="28"/>
        </w:rPr>
        <w:t xml:space="preserve">ehabilitation </w:t>
      </w:r>
      <w:r w:rsidR="00B456DF">
        <w:rPr>
          <w:rFonts w:ascii="Arial" w:hAnsi="Arial"/>
          <w:bCs/>
          <w:color w:val="000000" w:themeColor="text1"/>
          <w:sz w:val="28"/>
        </w:rPr>
        <w:t>p</w:t>
      </w:r>
      <w:r w:rsidR="00274CB7" w:rsidRPr="00274CB7">
        <w:rPr>
          <w:rFonts w:ascii="Arial" w:hAnsi="Arial"/>
          <w:bCs/>
          <w:color w:val="000000" w:themeColor="text1"/>
          <w:sz w:val="28"/>
        </w:rPr>
        <w:t xml:space="preserve">rogram provides approximately 100,000 eligible Californians with disabilities (hereafter “consumers”) with vocational rehabilitation services annually in accordance with state and federal laws and regulations. Consistent with consumer informed choice, </w:t>
      </w:r>
      <w:r w:rsidR="00FB09B7">
        <w:rPr>
          <w:rFonts w:ascii="Arial" w:hAnsi="Arial"/>
          <w:bCs/>
          <w:color w:val="000000" w:themeColor="text1"/>
          <w:sz w:val="28"/>
        </w:rPr>
        <w:t xml:space="preserve">the </w:t>
      </w:r>
      <w:r w:rsidR="00EF38C6" w:rsidRPr="00430806">
        <w:rPr>
          <w:rFonts w:ascii="Arial" w:hAnsi="Arial" w:cs="Arial"/>
          <w:sz w:val="28"/>
          <w:szCs w:val="28"/>
        </w:rPr>
        <w:t>Department</w:t>
      </w:r>
      <w:r w:rsidR="00EF38C6" w:rsidRPr="00274CB7">
        <w:rPr>
          <w:rFonts w:ascii="Arial" w:hAnsi="Arial"/>
          <w:bCs/>
          <w:color w:val="000000" w:themeColor="text1"/>
          <w:sz w:val="28"/>
        </w:rPr>
        <w:t xml:space="preserve"> </w:t>
      </w:r>
      <w:r w:rsidR="00274CB7" w:rsidRPr="00274CB7">
        <w:rPr>
          <w:rFonts w:ascii="Arial" w:hAnsi="Arial"/>
          <w:bCs/>
          <w:color w:val="000000" w:themeColor="text1"/>
          <w:sz w:val="28"/>
        </w:rPr>
        <w:t>works with each consumer to develop an Individualized Plan for Employment</w:t>
      </w:r>
      <w:r w:rsidR="0097556C">
        <w:rPr>
          <w:rFonts w:ascii="Arial" w:hAnsi="Arial"/>
          <w:bCs/>
          <w:color w:val="000000" w:themeColor="text1"/>
          <w:sz w:val="28"/>
        </w:rPr>
        <w:t xml:space="preserve"> (IPE)</w:t>
      </w:r>
      <w:r w:rsidR="00274CB7" w:rsidRPr="00274CB7">
        <w:rPr>
          <w:rFonts w:ascii="Arial" w:hAnsi="Arial"/>
          <w:bCs/>
          <w:color w:val="000000" w:themeColor="text1"/>
          <w:sz w:val="28"/>
        </w:rPr>
        <w:t xml:space="preserve">, which identifies the vocational rehabilitation services necessary to achieve the consumer’s specific employment </w:t>
      </w:r>
      <w:r w:rsidR="00274CB7" w:rsidRPr="00274CB7">
        <w:rPr>
          <w:rFonts w:ascii="Arial" w:hAnsi="Arial"/>
          <w:bCs/>
          <w:color w:val="000000" w:themeColor="text1"/>
          <w:sz w:val="28"/>
        </w:rPr>
        <w:lastRenderedPageBreak/>
        <w:t>outcome. (34 C.F.R. §§ 361.45, 361.46, Cal. Code of Regs., tit. 9, § 7128 et seq.)</w:t>
      </w:r>
    </w:p>
    <w:p w14:paraId="37095603" w14:textId="77777777" w:rsidR="00274CB7" w:rsidRDefault="00274CB7" w:rsidP="001A7FA9">
      <w:pPr>
        <w:autoSpaceDE w:val="0"/>
        <w:autoSpaceDN w:val="0"/>
        <w:adjustRightInd w:val="0"/>
        <w:rPr>
          <w:rFonts w:ascii="Arial" w:hAnsi="Arial"/>
          <w:b/>
          <w:sz w:val="28"/>
        </w:rPr>
      </w:pPr>
    </w:p>
    <w:p w14:paraId="75F2C424" w14:textId="6DDE5E65" w:rsidR="00673AC3" w:rsidRDefault="00673AC3" w:rsidP="00421439">
      <w:pPr>
        <w:pStyle w:val="Heading1"/>
        <w:rPr>
          <w:rFonts w:cs="Arial"/>
          <w:color w:val="000000"/>
          <w:kern w:val="24"/>
          <w:szCs w:val="28"/>
        </w:rPr>
      </w:pPr>
      <w:r>
        <w:t xml:space="preserve">PROBLEM </w:t>
      </w:r>
      <w:r w:rsidR="00B9521C">
        <w:t>STATEMENT</w:t>
      </w:r>
    </w:p>
    <w:p w14:paraId="7D5B8220" w14:textId="77777777" w:rsidR="00673AC3" w:rsidRDefault="00673AC3" w:rsidP="001A7FA9">
      <w:pPr>
        <w:autoSpaceDE w:val="0"/>
        <w:autoSpaceDN w:val="0"/>
        <w:adjustRightInd w:val="0"/>
        <w:rPr>
          <w:rFonts w:ascii="Arial" w:hAnsi="Arial" w:cs="Arial"/>
          <w:color w:val="000000"/>
          <w:kern w:val="24"/>
          <w:sz w:val="28"/>
          <w:szCs w:val="28"/>
        </w:rPr>
      </w:pPr>
    </w:p>
    <w:p w14:paraId="1BCBF7E8" w14:textId="66853474" w:rsidR="0097556C" w:rsidRDefault="00274CB7" w:rsidP="001A7FA9">
      <w:pPr>
        <w:autoSpaceDE w:val="0"/>
        <w:autoSpaceDN w:val="0"/>
        <w:adjustRightInd w:val="0"/>
        <w:rPr>
          <w:rFonts w:ascii="Arial" w:hAnsi="Arial" w:cs="Arial"/>
          <w:color w:val="000000" w:themeColor="text1"/>
          <w:kern w:val="24"/>
          <w:sz w:val="28"/>
          <w:szCs w:val="28"/>
        </w:rPr>
      </w:pPr>
      <w:r w:rsidRPr="00274CB7">
        <w:rPr>
          <w:rFonts w:ascii="Arial" w:hAnsi="Arial" w:cs="Arial"/>
          <w:color w:val="000000" w:themeColor="text1"/>
          <w:kern w:val="24"/>
          <w:sz w:val="28"/>
          <w:szCs w:val="28"/>
        </w:rPr>
        <w:t xml:space="preserve">In August 2024, the California Fourth District Court of Appeals issued a </w:t>
      </w:r>
      <w:r w:rsidR="00C00167">
        <w:rPr>
          <w:rFonts w:ascii="Arial" w:hAnsi="Arial" w:cs="Arial"/>
          <w:color w:val="000000" w:themeColor="text1"/>
          <w:kern w:val="24"/>
          <w:sz w:val="28"/>
          <w:szCs w:val="28"/>
        </w:rPr>
        <w:t>published, precedential decision</w:t>
      </w:r>
      <w:r w:rsidR="00C00167" w:rsidRPr="00274CB7">
        <w:rPr>
          <w:rFonts w:ascii="Arial" w:hAnsi="Arial" w:cs="Arial"/>
          <w:color w:val="000000" w:themeColor="text1"/>
          <w:kern w:val="24"/>
          <w:sz w:val="28"/>
          <w:szCs w:val="28"/>
        </w:rPr>
        <w:t xml:space="preserve"> </w:t>
      </w:r>
      <w:r w:rsidRPr="00274CB7">
        <w:rPr>
          <w:rFonts w:ascii="Arial" w:hAnsi="Arial" w:cs="Arial"/>
          <w:color w:val="000000" w:themeColor="text1"/>
          <w:kern w:val="24"/>
          <w:sz w:val="28"/>
          <w:szCs w:val="28"/>
        </w:rPr>
        <w:t>that impacts</w:t>
      </w:r>
      <w:r w:rsidR="00EF38C6">
        <w:rPr>
          <w:rFonts w:ascii="Arial" w:hAnsi="Arial" w:cs="Arial"/>
          <w:color w:val="000000" w:themeColor="text1"/>
          <w:kern w:val="24"/>
          <w:sz w:val="28"/>
          <w:szCs w:val="28"/>
        </w:rPr>
        <w:t xml:space="preserve"> the </w:t>
      </w:r>
      <w:r w:rsidR="00B456DF" w:rsidRPr="00430806">
        <w:rPr>
          <w:rFonts w:ascii="Arial" w:hAnsi="Arial" w:cs="Arial"/>
          <w:sz w:val="28"/>
          <w:szCs w:val="28"/>
        </w:rPr>
        <w:t>Department</w:t>
      </w:r>
      <w:r w:rsidR="00B456DF" w:rsidRPr="00274CB7">
        <w:rPr>
          <w:rFonts w:ascii="Arial" w:hAnsi="Arial" w:cs="Arial"/>
          <w:color w:val="000000" w:themeColor="text1"/>
          <w:kern w:val="24"/>
          <w:sz w:val="28"/>
          <w:szCs w:val="28"/>
        </w:rPr>
        <w:t xml:space="preserve"> understanding</w:t>
      </w:r>
      <w:r w:rsidRPr="00274CB7">
        <w:rPr>
          <w:rFonts w:ascii="Arial" w:hAnsi="Arial" w:cs="Arial"/>
          <w:color w:val="000000" w:themeColor="text1"/>
          <w:kern w:val="24"/>
          <w:sz w:val="28"/>
          <w:szCs w:val="28"/>
        </w:rPr>
        <w:t xml:space="preserve"> and application of its maintenance regulations. The case, </w:t>
      </w:r>
      <w:r w:rsidR="00EF38C6" w:rsidRPr="00956A2B">
        <w:rPr>
          <w:rFonts w:ascii="Arial" w:eastAsia="Aptos" w:hAnsi="Arial" w:cs="Arial"/>
          <w:i/>
          <w:iCs/>
          <w:kern w:val="2"/>
          <w:sz w:val="28"/>
          <w:szCs w:val="28"/>
          <w14:ligatures w14:val="standardContextual"/>
        </w:rPr>
        <w:t xml:space="preserve">Doe v. </w:t>
      </w:r>
      <w:proofErr w:type="spellStart"/>
      <w:r w:rsidR="00EF38C6" w:rsidRPr="00956A2B">
        <w:rPr>
          <w:rFonts w:ascii="Arial" w:eastAsia="Aptos" w:hAnsi="Arial" w:cs="Arial"/>
          <w:i/>
          <w:iCs/>
          <w:kern w:val="2"/>
          <w:sz w:val="28"/>
          <w:szCs w:val="28"/>
          <w14:ligatures w14:val="standardContextual"/>
        </w:rPr>
        <w:t>Dep't</w:t>
      </w:r>
      <w:proofErr w:type="spellEnd"/>
      <w:r w:rsidR="00EF38C6" w:rsidRPr="00956A2B">
        <w:rPr>
          <w:rFonts w:ascii="Arial" w:eastAsia="Aptos" w:hAnsi="Arial" w:cs="Arial"/>
          <w:i/>
          <w:iCs/>
          <w:kern w:val="2"/>
          <w:sz w:val="28"/>
          <w:szCs w:val="28"/>
          <w14:ligatures w14:val="standardContextual"/>
        </w:rPr>
        <w:t xml:space="preserve"> of Rehab.,</w:t>
      </w:r>
      <w:r w:rsidR="00EF38C6" w:rsidRPr="00956A2B">
        <w:rPr>
          <w:rFonts w:ascii="Arial" w:eastAsia="Aptos" w:hAnsi="Arial" w:cs="Arial"/>
          <w:kern w:val="2"/>
          <w:sz w:val="28"/>
          <w:szCs w:val="28"/>
          <w14:ligatures w14:val="standardContextual"/>
        </w:rPr>
        <w:t xml:space="preserve"> 103 Cal. App. 5th 1327, 324 Cal. </w:t>
      </w:r>
      <w:proofErr w:type="spellStart"/>
      <w:r w:rsidR="00EF38C6" w:rsidRPr="00956A2B">
        <w:rPr>
          <w:rFonts w:ascii="Arial" w:eastAsia="Aptos" w:hAnsi="Arial" w:cs="Arial"/>
          <w:kern w:val="2"/>
          <w:sz w:val="28"/>
          <w:szCs w:val="28"/>
          <w14:ligatures w14:val="standardContextual"/>
        </w:rPr>
        <w:t>Rptr</w:t>
      </w:r>
      <w:proofErr w:type="spellEnd"/>
      <w:r w:rsidR="00EF38C6" w:rsidRPr="00956A2B">
        <w:rPr>
          <w:rFonts w:ascii="Arial" w:eastAsia="Aptos" w:hAnsi="Arial" w:cs="Arial"/>
          <w:kern w:val="2"/>
          <w:sz w:val="28"/>
          <w:szCs w:val="28"/>
          <w14:ligatures w14:val="standardContextual"/>
        </w:rPr>
        <w:t>. 3d 150, 152 (2024)</w:t>
      </w:r>
      <w:r w:rsidRPr="00274CB7">
        <w:rPr>
          <w:rFonts w:ascii="Arial" w:hAnsi="Arial" w:cs="Arial"/>
          <w:color w:val="000000" w:themeColor="text1"/>
          <w:kern w:val="24"/>
          <w:sz w:val="28"/>
          <w:szCs w:val="28"/>
        </w:rPr>
        <w:t xml:space="preserve"> involved a plaintiff who appealed their </w:t>
      </w:r>
      <w:r w:rsidR="0097556C">
        <w:rPr>
          <w:rFonts w:ascii="Arial" w:hAnsi="Arial" w:cs="Arial"/>
          <w:color w:val="000000" w:themeColor="text1"/>
          <w:kern w:val="24"/>
          <w:sz w:val="28"/>
          <w:szCs w:val="28"/>
        </w:rPr>
        <w:t>f</w:t>
      </w:r>
      <w:r w:rsidRPr="00274CB7">
        <w:rPr>
          <w:rFonts w:ascii="Arial" w:hAnsi="Arial" w:cs="Arial"/>
          <w:color w:val="000000" w:themeColor="text1"/>
          <w:kern w:val="24"/>
          <w:sz w:val="28"/>
          <w:szCs w:val="28"/>
        </w:rPr>
        <w:t xml:space="preserve">air </w:t>
      </w:r>
      <w:r w:rsidR="0097556C">
        <w:rPr>
          <w:rFonts w:ascii="Arial" w:hAnsi="Arial" w:cs="Arial"/>
          <w:color w:val="000000" w:themeColor="text1"/>
          <w:kern w:val="24"/>
          <w:sz w:val="28"/>
          <w:szCs w:val="28"/>
        </w:rPr>
        <w:t>h</w:t>
      </w:r>
      <w:r w:rsidRPr="00274CB7">
        <w:rPr>
          <w:rFonts w:ascii="Arial" w:hAnsi="Arial" w:cs="Arial"/>
          <w:color w:val="000000" w:themeColor="text1"/>
          <w:kern w:val="24"/>
          <w:sz w:val="28"/>
          <w:szCs w:val="28"/>
        </w:rPr>
        <w:t xml:space="preserve">earing decision denying their request for rent for an apartment while attending law school for three years. The </w:t>
      </w:r>
      <w:r w:rsidR="00EF38C6" w:rsidRPr="00430806">
        <w:rPr>
          <w:rFonts w:ascii="Arial" w:hAnsi="Arial" w:cs="Arial"/>
          <w:sz w:val="28"/>
          <w:szCs w:val="28"/>
        </w:rPr>
        <w:t>Department</w:t>
      </w:r>
      <w:r w:rsidR="00EF38C6" w:rsidRPr="00274CB7">
        <w:rPr>
          <w:rFonts w:ascii="Arial" w:hAnsi="Arial" w:cs="Arial"/>
          <w:color w:val="000000" w:themeColor="text1"/>
          <w:kern w:val="24"/>
          <w:sz w:val="28"/>
          <w:szCs w:val="28"/>
        </w:rPr>
        <w:t xml:space="preserve"> </w:t>
      </w:r>
      <w:r w:rsidRPr="00274CB7">
        <w:rPr>
          <w:rFonts w:ascii="Arial" w:hAnsi="Arial" w:cs="Arial"/>
          <w:color w:val="000000" w:themeColor="text1"/>
          <w:kern w:val="24"/>
          <w:sz w:val="28"/>
          <w:szCs w:val="28"/>
        </w:rPr>
        <w:t xml:space="preserve">argued that, per its regulations, maintenance support does not cover “long-term,” ongoing expenses such as three years of rent. However, the Court held </w:t>
      </w:r>
      <w:r w:rsidR="00B456DF" w:rsidRPr="00274CB7">
        <w:rPr>
          <w:rFonts w:ascii="Arial" w:hAnsi="Arial" w:cs="Arial"/>
          <w:color w:val="000000" w:themeColor="text1"/>
          <w:kern w:val="24"/>
          <w:sz w:val="28"/>
          <w:szCs w:val="28"/>
        </w:rPr>
        <w:t xml:space="preserve">that </w:t>
      </w:r>
      <w:r w:rsidR="00B456DF" w:rsidRPr="00EF38C6">
        <w:rPr>
          <w:rFonts w:ascii="Arial" w:hAnsi="Arial" w:cs="Arial"/>
          <w:sz w:val="28"/>
          <w:szCs w:val="28"/>
        </w:rPr>
        <w:t>the</w:t>
      </w:r>
      <w:r w:rsidR="00EF38C6">
        <w:rPr>
          <w:rFonts w:ascii="Arial" w:hAnsi="Arial" w:cs="Arial"/>
          <w:sz w:val="28"/>
          <w:szCs w:val="28"/>
        </w:rPr>
        <w:t xml:space="preserve"> </w:t>
      </w:r>
      <w:r w:rsidR="00EF38C6" w:rsidRPr="00430806">
        <w:rPr>
          <w:rFonts w:ascii="Arial" w:hAnsi="Arial" w:cs="Arial"/>
          <w:sz w:val="28"/>
          <w:szCs w:val="28"/>
        </w:rPr>
        <w:t>Department</w:t>
      </w:r>
      <w:r w:rsidR="00B456DF">
        <w:rPr>
          <w:rFonts w:ascii="Arial" w:hAnsi="Arial" w:cs="Arial"/>
          <w:sz w:val="28"/>
          <w:szCs w:val="28"/>
        </w:rPr>
        <w:t xml:space="preserve"> </w:t>
      </w:r>
      <w:r w:rsidRPr="00274CB7">
        <w:rPr>
          <w:rFonts w:ascii="Arial" w:hAnsi="Arial" w:cs="Arial"/>
          <w:color w:val="000000" w:themeColor="text1"/>
          <w:kern w:val="24"/>
          <w:sz w:val="28"/>
          <w:szCs w:val="28"/>
        </w:rPr>
        <w:t xml:space="preserve">could not deny rent support strictly because it is “long-term,” because this would constitute an impermissible categorical distinction. Rather, </w:t>
      </w:r>
      <w:r w:rsidR="00EF38C6">
        <w:rPr>
          <w:rFonts w:ascii="Arial" w:hAnsi="Arial" w:cs="Arial"/>
          <w:color w:val="000000" w:themeColor="text1"/>
          <w:kern w:val="24"/>
          <w:sz w:val="28"/>
          <w:szCs w:val="28"/>
        </w:rPr>
        <w:t xml:space="preserve">the </w:t>
      </w:r>
      <w:r w:rsidR="00EF38C6" w:rsidRPr="00430806">
        <w:rPr>
          <w:rFonts w:ascii="Arial" w:hAnsi="Arial" w:cs="Arial"/>
          <w:sz w:val="28"/>
          <w:szCs w:val="28"/>
        </w:rPr>
        <w:t>Department</w:t>
      </w:r>
      <w:r w:rsidR="00EF38C6" w:rsidRPr="00274CB7">
        <w:rPr>
          <w:rFonts w:ascii="Arial" w:hAnsi="Arial" w:cs="Arial"/>
          <w:color w:val="000000" w:themeColor="text1"/>
          <w:kern w:val="24"/>
          <w:sz w:val="28"/>
          <w:szCs w:val="28"/>
        </w:rPr>
        <w:t xml:space="preserve"> </w:t>
      </w:r>
      <w:r w:rsidRPr="00274CB7">
        <w:rPr>
          <w:rFonts w:ascii="Arial" w:hAnsi="Arial" w:cs="Arial"/>
          <w:color w:val="000000" w:themeColor="text1"/>
          <w:kern w:val="24"/>
          <w:sz w:val="28"/>
          <w:szCs w:val="28"/>
        </w:rPr>
        <w:t xml:space="preserve">must assess everyone’s circumstances, considering whether an individual must incur additional shelter costs to receive vocational </w:t>
      </w:r>
      <w:r w:rsidR="00EF38C6" w:rsidRPr="00430806">
        <w:rPr>
          <w:rFonts w:ascii="Arial" w:hAnsi="Arial" w:cs="Arial"/>
          <w:sz w:val="28"/>
          <w:szCs w:val="28"/>
        </w:rPr>
        <w:t>Department</w:t>
      </w:r>
      <w:r w:rsidR="00EF38C6" w:rsidRPr="00274CB7">
        <w:rPr>
          <w:rFonts w:ascii="Arial" w:hAnsi="Arial" w:cs="Arial"/>
          <w:color w:val="000000" w:themeColor="text1"/>
          <w:kern w:val="24"/>
          <w:sz w:val="28"/>
          <w:szCs w:val="28"/>
        </w:rPr>
        <w:t xml:space="preserve"> </w:t>
      </w:r>
      <w:r w:rsidRPr="00274CB7">
        <w:rPr>
          <w:rFonts w:ascii="Arial" w:hAnsi="Arial" w:cs="Arial"/>
          <w:color w:val="000000" w:themeColor="text1"/>
          <w:kern w:val="24"/>
          <w:sz w:val="28"/>
          <w:szCs w:val="28"/>
        </w:rPr>
        <w:t xml:space="preserve">rehabilitation services. The </w:t>
      </w:r>
      <w:r w:rsidR="0097556C">
        <w:rPr>
          <w:rFonts w:ascii="Arial" w:hAnsi="Arial" w:cs="Arial"/>
          <w:color w:val="000000" w:themeColor="text1"/>
          <w:kern w:val="24"/>
          <w:sz w:val="28"/>
          <w:szCs w:val="28"/>
        </w:rPr>
        <w:t xml:space="preserve">appellate court </w:t>
      </w:r>
      <w:r w:rsidRPr="00274CB7">
        <w:rPr>
          <w:rFonts w:ascii="Arial" w:hAnsi="Arial" w:cs="Arial"/>
          <w:color w:val="000000" w:themeColor="text1"/>
          <w:kern w:val="24"/>
          <w:sz w:val="28"/>
          <w:szCs w:val="28"/>
        </w:rPr>
        <w:t xml:space="preserve">ruling changes the way </w:t>
      </w:r>
      <w:r w:rsidR="00EF38C6">
        <w:rPr>
          <w:rFonts w:ascii="Arial" w:hAnsi="Arial" w:cs="Arial"/>
          <w:color w:val="000000" w:themeColor="text1"/>
          <w:kern w:val="24"/>
          <w:sz w:val="28"/>
          <w:szCs w:val="28"/>
        </w:rPr>
        <w:t xml:space="preserve">the </w:t>
      </w:r>
      <w:r w:rsidR="00B456DF">
        <w:rPr>
          <w:rFonts w:ascii="Arial" w:hAnsi="Arial" w:cs="Arial"/>
          <w:color w:val="000000" w:themeColor="text1"/>
          <w:kern w:val="24"/>
          <w:sz w:val="28"/>
          <w:szCs w:val="28"/>
        </w:rPr>
        <w:t xml:space="preserve">Department </w:t>
      </w:r>
      <w:r w:rsidR="0097556C">
        <w:rPr>
          <w:rFonts w:ascii="Arial" w:hAnsi="Arial" w:cs="Arial"/>
          <w:color w:val="000000" w:themeColor="text1"/>
          <w:kern w:val="24"/>
          <w:sz w:val="28"/>
          <w:szCs w:val="28"/>
        </w:rPr>
        <w:t>analyzes</w:t>
      </w:r>
      <w:r w:rsidRPr="00274CB7">
        <w:rPr>
          <w:rFonts w:ascii="Arial" w:hAnsi="Arial" w:cs="Arial"/>
          <w:color w:val="000000" w:themeColor="text1"/>
          <w:kern w:val="24"/>
          <w:sz w:val="28"/>
          <w:szCs w:val="28"/>
        </w:rPr>
        <w:t xml:space="preserve"> and appl</w:t>
      </w:r>
      <w:r w:rsidR="0097556C">
        <w:rPr>
          <w:rFonts w:ascii="Arial" w:hAnsi="Arial" w:cs="Arial"/>
          <w:color w:val="000000" w:themeColor="text1"/>
          <w:kern w:val="24"/>
          <w:sz w:val="28"/>
          <w:szCs w:val="28"/>
        </w:rPr>
        <w:t>ies</w:t>
      </w:r>
      <w:r w:rsidRPr="00274CB7">
        <w:rPr>
          <w:rFonts w:ascii="Arial" w:hAnsi="Arial" w:cs="Arial"/>
          <w:color w:val="000000" w:themeColor="text1"/>
          <w:kern w:val="24"/>
          <w:sz w:val="28"/>
          <w:szCs w:val="28"/>
        </w:rPr>
        <w:t xml:space="preserve"> its regulations</w:t>
      </w:r>
      <w:r w:rsidR="00C00167">
        <w:rPr>
          <w:rFonts w:ascii="Arial" w:hAnsi="Arial" w:cs="Arial"/>
          <w:color w:val="000000" w:themeColor="text1"/>
          <w:kern w:val="24"/>
          <w:sz w:val="28"/>
          <w:szCs w:val="28"/>
        </w:rPr>
        <w:t xml:space="preserve"> regarding maintenance support</w:t>
      </w:r>
      <w:r w:rsidRPr="00274CB7">
        <w:rPr>
          <w:rFonts w:ascii="Arial" w:hAnsi="Arial" w:cs="Arial"/>
          <w:color w:val="000000" w:themeColor="text1"/>
          <w:kern w:val="24"/>
          <w:sz w:val="28"/>
          <w:szCs w:val="28"/>
        </w:rPr>
        <w:t xml:space="preserve">. </w:t>
      </w:r>
    </w:p>
    <w:p w14:paraId="12156056" w14:textId="7D3332F6" w:rsidR="00274CB7" w:rsidRPr="00274CB7" w:rsidRDefault="00B9521C" w:rsidP="001A7FA9">
      <w:pPr>
        <w:autoSpaceDE w:val="0"/>
        <w:autoSpaceDN w:val="0"/>
        <w:adjustRightInd w:val="0"/>
        <w:rPr>
          <w:rFonts w:ascii="Arial" w:hAnsi="Arial" w:cs="Arial"/>
          <w:color w:val="000000" w:themeColor="text1"/>
          <w:kern w:val="24"/>
          <w:sz w:val="28"/>
          <w:szCs w:val="28"/>
        </w:rPr>
      </w:pPr>
      <w:r>
        <w:rPr>
          <w:rFonts w:ascii="Arial" w:hAnsi="Arial" w:cs="Arial"/>
          <w:color w:val="000000" w:themeColor="text1"/>
          <w:kern w:val="24"/>
          <w:sz w:val="28"/>
          <w:szCs w:val="28"/>
        </w:rPr>
        <w:t>As a result, t</w:t>
      </w:r>
      <w:r w:rsidR="00274CB7" w:rsidRPr="00274CB7">
        <w:rPr>
          <w:rFonts w:ascii="Arial" w:hAnsi="Arial" w:cs="Arial"/>
          <w:color w:val="000000" w:themeColor="text1"/>
          <w:kern w:val="24"/>
          <w:sz w:val="28"/>
          <w:szCs w:val="28"/>
        </w:rPr>
        <w:t xml:space="preserve">his rulemaking package brings the regulatory language in alignment with the </w:t>
      </w:r>
      <w:r w:rsidR="00B456DF" w:rsidRPr="00274CB7">
        <w:rPr>
          <w:rFonts w:ascii="Arial" w:hAnsi="Arial" w:cs="Arial"/>
          <w:i/>
          <w:iCs/>
          <w:color w:val="000000" w:themeColor="text1"/>
          <w:kern w:val="24"/>
          <w:sz w:val="28"/>
          <w:szCs w:val="28"/>
        </w:rPr>
        <w:t>Doe</w:t>
      </w:r>
      <w:r w:rsidR="00274CB7" w:rsidRPr="00274CB7">
        <w:rPr>
          <w:rFonts w:ascii="Arial" w:hAnsi="Arial" w:cs="Arial"/>
          <w:color w:val="000000" w:themeColor="text1"/>
          <w:kern w:val="24"/>
          <w:sz w:val="28"/>
          <w:szCs w:val="28"/>
        </w:rPr>
        <w:t xml:space="preserve"> decision</w:t>
      </w:r>
      <w:r>
        <w:rPr>
          <w:rFonts w:ascii="Arial" w:hAnsi="Arial" w:cs="Arial"/>
          <w:color w:val="000000" w:themeColor="text1"/>
          <w:kern w:val="24"/>
          <w:sz w:val="28"/>
          <w:szCs w:val="28"/>
        </w:rPr>
        <w:t xml:space="preserve">. </w:t>
      </w:r>
      <w:r w:rsidR="00274CB7" w:rsidRPr="00274CB7">
        <w:rPr>
          <w:rFonts w:ascii="Arial" w:hAnsi="Arial" w:cs="Arial"/>
          <w:color w:val="000000" w:themeColor="text1"/>
          <w:kern w:val="24"/>
          <w:sz w:val="28"/>
          <w:szCs w:val="28"/>
        </w:rPr>
        <w:t xml:space="preserve"> </w:t>
      </w:r>
    </w:p>
    <w:p w14:paraId="27CCDC45" w14:textId="77777777" w:rsidR="00B9521C" w:rsidRPr="00B9521C" w:rsidRDefault="00B9521C" w:rsidP="00B9521C">
      <w:pPr>
        <w:autoSpaceDE w:val="0"/>
        <w:autoSpaceDN w:val="0"/>
        <w:adjustRightInd w:val="0"/>
        <w:rPr>
          <w:rFonts w:ascii="Arial" w:hAnsi="Arial" w:cs="Arial"/>
          <w:b/>
          <w:bCs/>
          <w:color w:val="000000" w:themeColor="text1"/>
          <w:kern w:val="24"/>
          <w:sz w:val="28"/>
          <w:szCs w:val="28"/>
        </w:rPr>
      </w:pPr>
    </w:p>
    <w:p w14:paraId="42C8D446" w14:textId="77777777" w:rsidR="00B9521C" w:rsidRPr="00B9521C" w:rsidRDefault="00B9521C" w:rsidP="00421439">
      <w:pPr>
        <w:pStyle w:val="Heading1"/>
      </w:pPr>
      <w:r w:rsidRPr="00B9521C">
        <w:t>ANTICIPATED BENEFIT</w:t>
      </w:r>
    </w:p>
    <w:p w14:paraId="2A91A248" w14:textId="77777777" w:rsidR="00267505" w:rsidRDefault="00267505" w:rsidP="007F4F77">
      <w:pPr>
        <w:pStyle w:val="ListParagraph"/>
        <w:ind w:left="0"/>
        <w:rPr>
          <w:rFonts w:cs="Arial"/>
          <w:bCs/>
          <w:szCs w:val="28"/>
        </w:rPr>
      </w:pPr>
    </w:p>
    <w:p w14:paraId="5DDEEDB8" w14:textId="3F3B2BC9" w:rsidR="007808AD" w:rsidRPr="007808AD" w:rsidRDefault="003B6A4D" w:rsidP="007808AD">
      <w:pPr>
        <w:pStyle w:val="ListParagraph"/>
        <w:ind w:left="0"/>
        <w:rPr>
          <w:rFonts w:cs="Arial"/>
          <w:szCs w:val="28"/>
        </w:rPr>
      </w:pPr>
      <w:r w:rsidRPr="003B6A4D">
        <w:rPr>
          <w:rFonts w:cs="Arial"/>
          <w:szCs w:val="28"/>
        </w:rPr>
        <w:t xml:space="preserve">The </w:t>
      </w:r>
      <w:r>
        <w:rPr>
          <w:rFonts w:cs="Arial"/>
          <w:szCs w:val="28"/>
        </w:rPr>
        <w:t xml:space="preserve">appellate </w:t>
      </w:r>
      <w:r w:rsidRPr="003B6A4D">
        <w:rPr>
          <w:rFonts w:cs="Arial"/>
          <w:szCs w:val="28"/>
        </w:rPr>
        <w:t>case decision</w:t>
      </w:r>
      <w:r>
        <w:rPr>
          <w:rFonts w:cs="Arial"/>
          <w:szCs w:val="28"/>
        </w:rPr>
        <w:t>,</w:t>
      </w:r>
      <w:r w:rsidR="00EF38C6" w:rsidRPr="00EF38C6">
        <w:rPr>
          <w:rFonts w:cs="Arial"/>
          <w:i/>
          <w:iCs/>
          <w:szCs w:val="28"/>
        </w:rPr>
        <w:t xml:space="preserve"> </w:t>
      </w:r>
      <w:r w:rsidR="00EF38C6" w:rsidRPr="006837D4">
        <w:rPr>
          <w:rFonts w:cs="Arial"/>
          <w:i/>
          <w:iCs/>
          <w:szCs w:val="28"/>
        </w:rPr>
        <w:t xml:space="preserve">Doe v. </w:t>
      </w:r>
      <w:proofErr w:type="spellStart"/>
      <w:r w:rsidR="00EF38C6" w:rsidRPr="006837D4">
        <w:rPr>
          <w:rFonts w:cs="Arial"/>
          <w:i/>
          <w:iCs/>
          <w:szCs w:val="28"/>
        </w:rPr>
        <w:t>D</w:t>
      </w:r>
      <w:r w:rsidR="00EF38C6">
        <w:rPr>
          <w:rFonts w:cs="Arial"/>
          <w:i/>
          <w:iCs/>
          <w:szCs w:val="28"/>
        </w:rPr>
        <w:t>ep’t</w:t>
      </w:r>
      <w:proofErr w:type="spellEnd"/>
      <w:r w:rsidR="00EF38C6">
        <w:rPr>
          <w:rFonts w:cs="Arial"/>
          <w:i/>
          <w:iCs/>
          <w:szCs w:val="28"/>
        </w:rPr>
        <w:t xml:space="preserve"> of </w:t>
      </w:r>
      <w:r w:rsidR="00EF38C6" w:rsidRPr="006837D4">
        <w:rPr>
          <w:rFonts w:cs="Arial"/>
          <w:i/>
          <w:iCs/>
          <w:szCs w:val="28"/>
        </w:rPr>
        <w:t>R</w:t>
      </w:r>
      <w:r w:rsidR="00EF38C6">
        <w:rPr>
          <w:rFonts w:cs="Arial"/>
          <w:i/>
          <w:iCs/>
          <w:szCs w:val="28"/>
        </w:rPr>
        <w:t>ehab.</w:t>
      </w:r>
      <w:r w:rsidR="00B137A8">
        <w:rPr>
          <w:rFonts w:cs="Arial"/>
          <w:i/>
          <w:iCs/>
          <w:szCs w:val="28"/>
        </w:rPr>
        <w:t>,</w:t>
      </w:r>
      <w:r w:rsidR="00457E62" w:rsidRPr="00457E62">
        <w:rPr>
          <w:rFonts w:eastAsia="Aptos" w:cs="Arial"/>
          <w:kern w:val="2"/>
          <w:szCs w:val="28"/>
          <w14:ligatures w14:val="standardContextual"/>
        </w:rPr>
        <w:t xml:space="preserve"> </w:t>
      </w:r>
      <w:r w:rsidR="00457E62" w:rsidRPr="00956A2B">
        <w:rPr>
          <w:rFonts w:eastAsia="Aptos" w:cs="Arial"/>
          <w:kern w:val="2"/>
          <w:szCs w:val="28"/>
          <w14:ligatures w14:val="standardContextual"/>
        </w:rPr>
        <w:t xml:space="preserve">103 Cal. App. 5th 1327, 324 Cal. </w:t>
      </w:r>
      <w:proofErr w:type="spellStart"/>
      <w:r w:rsidR="00457E62" w:rsidRPr="00956A2B">
        <w:rPr>
          <w:rFonts w:eastAsia="Aptos" w:cs="Arial"/>
          <w:kern w:val="2"/>
          <w:szCs w:val="28"/>
          <w14:ligatures w14:val="standardContextual"/>
        </w:rPr>
        <w:t>Rptr</w:t>
      </w:r>
      <w:proofErr w:type="spellEnd"/>
      <w:r w:rsidR="00457E62" w:rsidRPr="00956A2B">
        <w:rPr>
          <w:rFonts w:eastAsia="Aptos" w:cs="Arial"/>
          <w:kern w:val="2"/>
          <w:szCs w:val="28"/>
          <w14:ligatures w14:val="standardContextual"/>
        </w:rPr>
        <w:t>. 3d 150, 152 (2024)</w:t>
      </w:r>
      <w:r w:rsidR="00274CB7">
        <w:rPr>
          <w:rFonts w:cs="Arial"/>
          <w:i/>
          <w:iCs/>
          <w:szCs w:val="28"/>
        </w:rPr>
        <w:t xml:space="preserve"> </w:t>
      </w:r>
      <w:r>
        <w:rPr>
          <w:rFonts w:cs="Arial"/>
          <w:szCs w:val="28"/>
        </w:rPr>
        <w:t xml:space="preserve">has interpreted the </w:t>
      </w:r>
      <w:r w:rsidR="00274CB7" w:rsidRPr="00274CB7">
        <w:rPr>
          <w:rFonts w:cs="Arial"/>
          <w:szCs w:val="28"/>
        </w:rPr>
        <w:t>law</w:t>
      </w:r>
      <w:r>
        <w:rPr>
          <w:rFonts w:cs="Arial"/>
          <w:szCs w:val="28"/>
        </w:rPr>
        <w:t xml:space="preserve"> currently in place</w:t>
      </w:r>
      <w:r w:rsidR="00274CB7" w:rsidRPr="00274CB7">
        <w:rPr>
          <w:rFonts w:cs="Arial"/>
          <w:szCs w:val="28"/>
        </w:rPr>
        <w:t>, and</w:t>
      </w:r>
      <w:r w:rsidR="00274CB7">
        <w:rPr>
          <w:rFonts w:cs="Arial"/>
          <w:szCs w:val="28"/>
        </w:rPr>
        <w:t xml:space="preserve"> these</w:t>
      </w:r>
      <w:r w:rsidR="00274CB7" w:rsidRPr="00274CB7">
        <w:rPr>
          <w:rFonts w:cs="Arial"/>
          <w:szCs w:val="28"/>
        </w:rPr>
        <w:t xml:space="preserve"> regulatory changes are simply aimed </w:t>
      </w:r>
      <w:r w:rsidR="00B137A8" w:rsidRPr="00274CB7">
        <w:rPr>
          <w:rFonts w:cs="Arial"/>
          <w:szCs w:val="28"/>
        </w:rPr>
        <w:t>at bringing</w:t>
      </w:r>
      <w:r w:rsidR="00274CB7" w:rsidRPr="00274CB7">
        <w:rPr>
          <w:rFonts w:cs="Arial"/>
          <w:szCs w:val="28"/>
        </w:rPr>
        <w:t xml:space="preserve"> the </w:t>
      </w:r>
      <w:r w:rsidR="00EF38C6">
        <w:rPr>
          <w:rFonts w:cs="Arial"/>
          <w:szCs w:val="28"/>
        </w:rPr>
        <w:t xml:space="preserve">Department </w:t>
      </w:r>
      <w:r>
        <w:rPr>
          <w:rFonts w:cs="Arial"/>
          <w:szCs w:val="28"/>
        </w:rPr>
        <w:t>regulatory language</w:t>
      </w:r>
      <w:r w:rsidR="00274CB7" w:rsidRPr="00274CB7">
        <w:rPr>
          <w:rFonts w:cs="Arial"/>
          <w:szCs w:val="28"/>
        </w:rPr>
        <w:t xml:space="preserve"> up to date to reflect </w:t>
      </w:r>
      <w:r>
        <w:rPr>
          <w:rFonts w:cs="Arial"/>
          <w:szCs w:val="28"/>
        </w:rPr>
        <w:t>the court’s interpretation</w:t>
      </w:r>
      <w:r w:rsidR="00274CB7" w:rsidRPr="00274CB7">
        <w:rPr>
          <w:rFonts w:cs="Arial"/>
          <w:szCs w:val="28"/>
        </w:rPr>
        <w:t>.</w:t>
      </w:r>
      <w:r w:rsidR="00274CB7">
        <w:rPr>
          <w:rFonts w:cs="Arial"/>
          <w:szCs w:val="28"/>
        </w:rPr>
        <w:t xml:space="preserve"> These changes are beneficial, if not crucial, for ensuring vocational rehabilitation counselors and consumers reading the maintenance regulations do not mistakenly assume that maintenance support does not cover requests</w:t>
      </w:r>
      <w:r w:rsidR="007D5F63">
        <w:rPr>
          <w:rFonts w:cs="Arial"/>
          <w:szCs w:val="28"/>
        </w:rPr>
        <w:t xml:space="preserve"> simply because they </w:t>
      </w:r>
      <w:r w:rsidR="00B137A8">
        <w:rPr>
          <w:rFonts w:cs="Arial"/>
          <w:szCs w:val="28"/>
        </w:rPr>
        <w:t>can be</w:t>
      </w:r>
      <w:r w:rsidR="007D5F63">
        <w:rPr>
          <w:rFonts w:cs="Arial"/>
          <w:szCs w:val="28"/>
        </w:rPr>
        <w:t xml:space="preserve"> long-term in nature</w:t>
      </w:r>
      <w:r w:rsidR="00274CB7">
        <w:rPr>
          <w:rFonts w:cs="Arial"/>
          <w:szCs w:val="28"/>
        </w:rPr>
        <w:t xml:space="preserve">. Rather, the changes will reflect the need for counselors to determine maintenance based on the individual circumstances of each consumer. </w:t>
      </w:r>
    </w:p>
    <w:p w14:paraId="6808703A" w14:textId="77777777" w:rsidR="00584A2F" w:rsidRDefault="00584A2F" w:rsidP="00883362">
      <w:pPr>
        <w:rPr>
          <w:rFonts w:ascii="Arial" w:hAnsi="Arial" w:cs="Arial"/>
          <w:b/>
          <w:sz w:val="28"/>
          <w:szCs w:val="28"/>
        </w:rPr>
      </w:pPr>
    </w:p>
    <w:p w14:paraId="4C52866E" w14:textId="06578EE1" w:rsidR="00F51319" w:rsidRPr="009666F3" w:rsidRDefault="00F51319" w:rsidP="00421439">
      <w:pPr>
        <w:pStyle w:val="Heading1"/>
        <w:spacing w:line="276" w:lineRule="auto"/>
      </w:pPr>
      <w:r w:rsidRPr="009666F3">
        <w:lastRenderedPageBreak/>
        <w:t xml:space="preserve">SPECIFIC PURPOSE </w:t>
      </w:r>
      <w:r w:rsidR="00B9521C">
        <w:t xml:space="preserve">OF </w:t>
      </w:r>
      <w:r w:rsidR="003B2DF8">
        <w:t xml:space="preserve">AND </w:t>
      </w:r>
      <w:r w:rsidR="00B9521C">
        <w:t>RATIONALE FOR EACH PROPOSED AMENDMENT</w:t>
      </w:r>
    </w:p>
    <w:p w14:paraId="14FC1AF5" w14:textId="77777777" w:rsidR="00F51319" w:rsidRPr="009666F3" w:rsidRDefault="00F51319" w:rsidP="00883362">
      <w:pPr>
        <w:rPr>
          <w:rFonts w:ascii="Arial" w:hAnsi="Arial" w:cs="Arial"/>
          <w:b/>
          <w:sz w:val="28"/>
          <w:szCs w:val="28"/>
        </w:rPr>
      </w:pPr>
    </w:p>
    <w:p w14:paraId="26A2D92F" w14:textId="4B2F842E" w:rsidR="00F51319" w:rsidRDefault="00F51319" w:rsidP="00883362">
      <w:pPr>
        <w:rPr>
          <w:rFonts w:ascii="Arial" w:hAnsi="Arial" w:cs="Arial"/>
          <w:sz w:val="28"/>
          <w:szCs w:val="28"/>
        </w:rPr>
      </w:pPr>
      <w:r w:rsidRPr="009666F3">
        <w:rPr>
          <w:rFonts w:ascii="Arial" w:hAnsi="Arial" w:cs="Arial"/>
          <w:sz w:val="28"/>
          <w:szCs w:val="28"/>
        </w:rPr>
        <w:t>The specific purpose of each adoption, and the rationale for the determination that each adoption is reasonably necessary to carry out the purpose for which it is proposed, together with a description of the problem, administrative requirement, or other circumstance that each adoption is intended to address is as follows</w:t>
      </w:r>
      <w:r w:rsidR="0008009B">
        <w:rPr>
          <w:rFonts w:ascii="Arial" w:hAnsi="Arial" w:cs="Arial"/>
          <w:sz w:val="28"/>
          <w:szCs w:val="28"/>
        </w:rPr>
        <w:t>.</w:t>
      </w:r>
    </w:p>
    <w:p w14:paraId="381616ED" w14:textId="77777777" w:rsidR="007613BF" w:rsidRDefault="007613BF" w:rsidP="007613BF">
      <w:pPr>
        <w:rPr>
          <w:rFonts w:ascii="Arial" w:hAnsi="Arial" w:cs="Arial"/>
          <w:sz w:val="28"/>
          <w:szCs w:val="28"/>
          <w:u w:val="single"/>
        </w:rPr>
      </w:pPr>
      <w:bookmarkStart w:id="1" w:name="_Hlk197069978"/>
    </w:p>
    <w:p w14:paraId="16F46175" w14:textId="6A862A6A" w:rsidR="007613BF" w:rsidRPr="00421439" w:rsidRDefault="007613BF" w:rsidP="00421439">
      <w:pPr>
        <w:pStyle w:val="Heading2"/>
        <w:rPr>
          <w:rFonts w:ascii="Arial" w:hAnsi="Arial" w:cs="Arial"/>
          <w:b w:val="0"/>
          <w:bCs w:val="0"/>
          <w:i w:val="0"/>
          <w:iCs w:val="0"/>
          <w:u w:val="single"/>
        </w:rPr>
      </w:pPr>
      <w:r w:rsidRPr="00421439">
        <w:rPr>
          <w:rFonts w:ascii="Arial" w:hAnsi="Arial" w:cs="Arial"/>
          <w:b w:val="0"/>
          <w:bCs w:val="0"/>
          <w:i w:val="0"/>
          <w:iCs w:val="0"/>
          <w:u w:val="single"/>
        </w:rPr>
        <w:t>§ 7019. Maintenance.</w:t>
      </w:r>
    </w:p>
    <w:p w14:paraId="2F9A0E43" w14:textId="77777777" w:rsidR="00421439" w:rsidRDefault="00421439" w:rsidP="00421439">
      <w:pPr>
        <w:rPr>
          <w:rFonts w:ascii="Arial" w:hAnsi="Arial" w:cs="Arial"/>
          <w:sz w:val="28"/>
          <w:szCs w:val="28"/>
        </w:rPr>
      </w:pPr>
    </w:p>
    <w:p w14:paraId="73FEFD29" w14:textId="50FDB1C7" w:rsidR="00A67F1E" w:rsidRPr="00421439" w:rsidRDefault="00A67F1E" w:rsidP="00421439">
      <w:pPr>
        <w:rPr>
          <w:rFonts w:ascii="Arial" w:hAnsi="Arial" w:cs="Arial"/>
          <w:b/>
          <w:bCs/>
          <w:sz w:val="28"/>
          <w:szCs w:val="28"/>
          <w:u w:val="single"/>
        </w:rPr>
      </w:pPr>
      <w:r w:rsidRPr="00421439">
        <w:rPr>
          <w:rFonts w:ascii="Arial" w:hAnsi="Arial" w:cs="Arial"/>
          <w:sz w:val="28"/>
          <w:szCs w:val="28"/>
          <w:u w:val="single"/>
        </w:rPr>
        <w:t>Purpose</w:t>
      </w:r>
      <w:r w:rsidRPr="00421439">
        <w:rPr>
          <w:rFonts w:ascii="Arial" w:hAnsi="Arial" w:cs="Arial"/>
          <w:sz w:val="28"/>
          <w:szCs w:val="28"/>
        </w:rPr>
        <w:t xml:space="preserve">: </w:t>
      </w:r>
      <w:r w:rsidR="00B55821" w:rsidRPr="00421439">
        <w:rPr>
          <w:rFonts w:ascii="Arial" w:hAnsi="Arial" w:cs="Arial"/>
          <w:sz w:val="28"/>
          <w:szCs w:val="28"/>
        </w:rPr>
        <w:t>I</w:t>
      </w:r>
      <w:r w:rsidR="006E304F" w:rsidRPr="00421439">
        <w:rPr>
          <w:rFonts w:ascii="Arial" w:hAnsi="Arial" w:cs="Arial"/>
          <w:sz w:val="28"/>
          <w:szCs w:val="28"/>
        </w:rPr>
        <w:t>n §</w:t>
      </w:r>
      <w:r w:rsidR="00584A2F" w:rsidRPr="00421439">
        <w:rPr>
          <w:rFonts w:ascii="Arial" w:hAnsi="Arial" w:cs="Arial"/>
          <w:sz w:val="28"/>
          <w:szCs w:val="28"/>
        </w:rPr>
        <w:t>7019</w:t>
      </w:r>
      <w:r w:rsidR="002E3E84" w:rsidRPr="00421439">
        <w:rPr>
          <w:rFonts w:ascii="Arial" w:hAnsi="Arial" w:cs="Arial"/>
          <w:sz w:val="28"/>
          <w:szCs w:val="28"/>
        </w:rPr>
        <w:t>(b)</w:t>
      </w:r>
      <w:r w:rsidR="00CE1275" w:rsidRPr="00421439">
        <w:rPr>
          <w:rFonts w:ascii="Arial" w:hAnsi="Arial" w:cs="Arial"/>
          <w:sz w:val="28"/>
          <w:szCs w:val="28"/>
        </w:rPr>
        <w:t>(2),</w:t>
      </w:r>
      <w:r w:rsidR="006E304F" w:rsidRPr="00421439">
        <w:rPr>
          <w:rFonts w:ascii="Arial" w:hAnsi="Arial" w:cs="Arial"/>
          <w:sz w:val="28"/>
          <w:szCs w:val="28"/>
        </w:rPr>
        <w:t xml:space="preserve"> </w:t>
      </w:r>
      <w:r w:rsidR="00B55821" w:rsidRPr="00421439">
        <w:rPr>
          <w:rFonts w:ascii="Arial" w:hAnsi="Arial" w:cs="Arial"/>
          <w:sz w:val="28"/>
          <w:szCs w:val="28"/>
        </w:rPr>
        <w:t>the Department deleted “short term”</w:t>
      </w:r>
      <w:r w:rsidR="00CE1275" w:rsidRPr="00421439">
        <w:rPr>
          <w:rFonts w:ascii="Arial" w:hAnsi="Arial" w:cs="Arial"/>
          <w:sz w:val="28"/>
          <w:szCs w:val="28"/>
        </w:rPr>
        <w:t xml:space="preserve"> to describe the word shelter</w:t>
      </w:r>
      <w:r w:rsidR="00B55821" w:rsidRPr="00421439">
        <w:rPr>
          <w:rFonts w:ascii="Arial" w:hAnsi="Arial" w:cs="Arial"/>
          <w:sz w:val="28"/>
          <w:szCs w:val="28"/>
        </w:rPr>
        <w:t>. T</w:t>
      </w:r>
      <w:r w:rsidR="00CE1275" w:rsidRPr="00421439">
        <w:rPr>
          <w:rFonts w:ascii="Arial" w:hAnsi="Arial" w:cs="Arial"/>
          <w:sz w:val="28"/>
          <w:szCs w:val="28"/>
        </w:rPr>
        <w:t xml:space="preserve">he purpose is to broaden the term of the housing an individual may have. Further, the Department added the wording “beyond an individual’s normal living expenses” to make clear that </w:t>
      </w:r>
      <w:r w:rsidR="0043384C" w:rsidRPr="00421439">
        <w:rPr>
          <w:rFonts w:ascii="Arial" w:hAnsi="Arial" w:cs="Arial"/>
          <w:sz w:val="28"/>
          <w:szCs w:val="28"/>
        </w:rPr>
        <w:t xml:space="preserve">the maintenance support not only has to </w:t>
      </w:r>
      <w:r w:rsidR="00116737" w:rsidRPr="00421439">
        <w:rPr>
          <w:rFonts w:ascii="Arial" w:hAnsi="Arial" w:cs="Arial"/>
          <w:sz w:val="28"/>
          <w:szCs w:val="28"/>
        </w:rPr>
        <w:t xml:space="preserve">be </w:t>
      </w:r>
      <w:r w:rsidR="0043384C" w:rsidRPr="00421439">
        <w:rPr>
          <w:rFonts w:ascii="Arial" w:hAnsi="Arial" w:cs="Arial"/>
          <w:sz w:val="28"/>
          <w:szCs w:val="28"/>
        </w:rPr>
        <w:t xml:space="preserve">necessary, </w:t>
      </w:r>
      <w:r w:rsidR="005863B8" w:rsidRPr="00421439">
        <w:rPr>
          <w:rFonts w:ascii="Arial" w:hAnsi="Arial" w:cs="Arial"/>
          <w:sz w:val="28"/>
          <w:szCs w:val="28"/>
        </w:rPr>
        <w:t xml:space="preserve">as stated in subsection (a), </w:t>
      </w:r>
      <w:r w:rsidR="0043384C" w:rsidRPr="00421439">
        <w:rPr>
          <w:rFonts w:ascii="Arial" w:hAnsi="Arial" w:cs="Arial"/>
          <w:sz w:val="28"/>
          <w:szCs w:val="28"/>
        </w:rPr>
        <w:t xml:space="preserve">it also </w:t>
      </w:r>
      <w:r w:rsidR="00B456DF" w:rsidRPr="00421439">
        <w:rPr>
          <w:rFonts w:ascii="Arial" w:hAnsi="Arial" w:cs="Arial"/>
          <w:sz w:val="28"/>
          <w:szCs w:val="28"/>
        </w:rPr>
        <w:t>must</w:t>
      </w:r>
      <w:r w:rsidR="0043384C" w:rsidRPr="00421439">
        <w:rPr>
          <w:rFonts w:ascii="Arial" w:hAnsi="Arial" w:cs="Arial"/>
          <w:sz w:val="28"/>
          <w:szCs w:val="28"/>
        </w:rPr>
        <w:t xml:space="preserve"> be in excess of what the individual’s living expenses were prior to the authorization of the VR service to which the maintenance support is linked.</w:t>
      </w:r>
      <w:r w:rsidR="00AF38F5" w:rsidRPr="00421439">
        <w:rPr>
          <w:rFonts w:ascii="Arial" w:hAnsi="Arial" w:cs="Arial"/>
          <w:sz w:val="28"/>
          <w:szCs w:val="28"/>
        </w:rPr>
        <w:t xml:space="preserve"> Finally, the Department made minor syntax changes to effectuate these changes. </w:t>
      </w:r>
    </w:p>
    <w:p w14:paraId="1CC3654C" w14:textId="4FBE6A56" w:rsidR="00CE1275" w:rsidRPr="00F91CE3" w:rsidRDefault="00A67F1E" w:rsidP="006C6603">
      <w:pPr>
        <w:pStyle w:val="BodyText"/>
        <w:spacing w:before="240" w:line="240" w:lineRule="auto"/>
        <w:rPr>
          <w:rFonts w:cs="Arial"/>
          <w:bCs/>
          <w:szCs w:val="28"/>
        </w:rPr>
      </w:pPr>
      <w:r w:rsidRPr="00752A3C">
        <w:rPr>
          <w:rFonts w:cs="Arial"/>
          <w:bCs/>
          <w:szCs w:val="28"/>
          <w:u w:val="single"/>
        </w:rPr>
        <w:t>Necessity:</w:t>
      </w:r>
      <w:r w:rsidRPr="00752A3C">
        <w:rPr>
          <w:rFonts w:cs="Arial"/>
          <w:bCs/>
          <w:szCs w:val="28"/>
        </w:rPr>
        <w:t xml:space="preserve"> </w:t>
      </w:r>
      <w:r w:rsidR="00EC4927">
        <w:rPr>
          <w:rFonts w:cs="Arial"/>
          <w:bCs/>
          <w:szCs w:val="28"/>
        </w:rPr>
        <w:t xml:space="preserve">This language is needed because </w:t>
      </w:r>
      <w:bookmarkStart w:id="2" w:name="_Hlk197070482"/>
      <w:bookmarkEnd w:id="1"/>
      <w:r w:rsidR="00F91CE3">
        <w:rPr>
          <w:rFonts w:cs="Arial"/>
          <w:bCs/>
          <w:szCs w:val="28"/>
        </w:rPr>
        <w:t xml:space="preserve">the </w:t>
      </w:r>
      <w:r w:rsidR="00F91CE3">
        <w:rPr>
          <w:rFonts w:cs="Arial"/>
          <w:bCs/>
          <w:i/>
          <w:iCs/>
          <w:szCs w:val="28"/>
        </w:rPr>
        <w:t xml:space="preserve">Doe </w:t>
      </w:r>
      <w:r w:rsidR="00F91CE3">
        <w:rPr>
          <w:rFonts w:cs="Arial"/>
          <w:bCs/>
          <w:szCs w:val="28"/>
        </w:rPr>
        <w:t xml:space="preserve">decision clarified maintenance support does not </w:t>
      </w:r>
      <w:r w:rsidR="007D5F63">
        <w:rPr>
          <w:rFonts w:cs="Arial"/>
          <w:bCs/>
          <w:szCs w:val="28"/>
        </w:rPr>
        <w:t>solely</w:t>
      </w:r>
      <w:r w:rsidR="00F91CE3">
        <w:rPr>
          <w:rFonts w:cs="Arial"/>
          <w:bCs/>
          <w:szCs w:val="28"/>
        </w:rPr>
        <w:t xml:space="preserve"> cover “short-term” shelter costs in contrast to costs that could be considered “long-term.” By removing the phrase “short-term,” </w:t>
      </w:r>
      <w:r w:rsidR="00E33471">
        <w:rPr>
          <w:rFonts w:cs="Arial"/>
          <w:bCs/>
          <w:szCs w:val="28"/>
        </w:rPr>
        <w:t xml:space="preserve">the Department </w:t>
      </w:r>
      <w:r w:rsidR="00F91CE3">
        <w:rPr>
          <w:rFonts w:cs="Arial"/>
          <w:bCs/>
          <w:szCs w:val="28"/>
        </w:rPr>
        <w:t xml:space="preserve">ensures counselors and consumers do not mistakenly believe that maintenance is limited by </w:t>
      </w:r>
      <w:r w:rsidR="007D5F63">
        <w:rPr>
          <w:rFonts w:cs="Arial"/>
          <w:bCs/>
          <w:szCs w:val="28"/>
        </w:rPr>
        <w:t xml:space="preserve">categorical distinctions. </w:t>
      </w:r>
      <w:r w:rsidR="00F91CE3">
        <w:rPr>
          <w:rFonts w:cs="Arial"/>
          <w:bCs/>
          <w:szCs w:val="28"/>
        </w:rPr>
        <w:t>Th</w:t>
      </w:r>
      <w:r w:rsidR="00E33471">
        <w:rPr>
          <w:rFonts w:cs="Arial"/>
          <w:bCs/>
          <w:szCs w:val="28"/>
        </w:rPr>
        <w:t xml:space="preserve">e Department </w:t>
      </w:r>
      <w:r w:rsidR="00F91CE3">
        <w:rPr>
          <w:rFonts w:cs="Arial"/>
          <w:bCs/>
          <w:szCs w:val="28"/>
        </w:rPr>
        <w:t xml:space="preserve">added the phrase “beyond an individual’s normal living expenses” to clarify that </w:t>
      </w:r>
      <w:r w:rsidR="00E33471">
        <w:rPr>
          <w:rFonts w:cs="Arial"/>
          <w:bCs/>
          <w:szCs w:val="28"/>
        </w:rPr>
        <w:t xml:space="preserve">the Department </w:t>
      </w:r>
      <w:r w:rsidR="00F91CE3">
        <w:rPr>
          <w:rFonts w:cs="Arial"/>
          <w:bCs/>
          <w:szCs w:val="28"/>
        </w:rPr>
        <w:t xml:space="preserve">bases its calculation of maintenance in reference to the consumer’s </w:t>
      </w:r>
      <w:r w:rsidR="00F91CE3">
        <w:rPr>
          <w:rFonts w:cs="Arial"/>
          <w:bCs/>
          <w:i/>
          <w:iCs/>
          <w:szCs w:val="28"/>
        </w:rPr>
        <w:t xml:space="preserve">own </w:t>
      </w:r>
      <w:r w:rsidR="00F91CE3">
        <w:rPr>
          <w:rFonts w:cs="Arial"/>
          <w:bCs/>
          <w:szCs w:val="28"/>
        </w:rPr>
        <w:t xml:space="preserve">baseline/normal costs absent their participation in VR services. By emphasizing that maintenance is “beyond” an individual’s normal living expenses, the </w:t>
      </w:r>
      <w:r w:rsidR="00E33471">
        <w:rPr>
          <w:rFonts w:cs="Arial"/>
          <w:bCs/>
          <w:szCs w:val="28"/>
        </w:rPr>
        <w:t xml:space="preserve">Department </w:t>
      </w:r>
      <w:r w:rsidR="00F91CE3">
        <w:rPr>
          <w:rFonts w:cs="Arial"/>
          <w:bCs/>
          <w:szCs w:val="28"/>
        </w:rPr>
        <w:t xml:space="preserve">is aligned with federal regulations, which aim to provide maintenance support because the individual incurred those costs </w:t>
      </w:r>
      <w:r w:rsidR="00F91CE3" w:rsidRPr="00FD3F08">
        <w:rPr>
          <w:rFonts w:cs="Arial"/>
          <w:bCs/>
          <w:i/>
          <w:iCs/>
          <w:szCs w:val="28"/>
        </w:rPr>
        <w:t>due to their participation in VR services.</w:t>
      </w:r>
      <w:r w:rsidR="00F91CE3">
        <w:rPr>
          <w:rFonts w:cs="Arial"/>
          <w:bCs/>
          <w:szCs w:val="28"/>
        </w:rPr>
        <w:t xml:space="preserve"> </w:t>
      </w:r>
    </w:p>
    <w:p w14:paraId="378F0D2A" w14:textId="08856B19" w:rsidR="00CE1275" w:rsidRDefault="00CE1275" w:rsidP="006C6603">
      <w:pPr>
        <w:pStyle w:val="BodyText"/>
        <w:spacing w:before="240" w:line="240" w:lineRule="auto"/>
        <w:rPr>
          <w:rFonts w:cs="Arial"/>
          <w:bCs/>
          <w:szCs w:val="28"/>
        </w:rPr>
      </w:pPr>
      <w:r w:rsidRPr="00CE1275">
        <w:rPr>
          <w:rFonts w:cs="Arial"/>
          <w:bCs/>
          <w:szCs w:val="28"/>
          <w:u w:val="single"/>
        </w:rPr>
        <w:t>Purpose</w:t>
      </w:r>
      <w:r>
        <w:rPr>
          <w:rFonts w:cs="Arial"/>
          <w:bCs/>
          <w:szCs w:val="28"/>
          <w:u w:val="single"/>
        </w:rPr>
        <w:t xml:space="preserve">: </w:t>
      </w:r>
      <w:r>
        <w:rPr>
          <w:rFonts w:cs="Arial"/>
          <w:bCs/>
          <w:szCs w:val="28"/>
        </w:rPr>
        <w:t>In §7019</w:t>
      </w:r>
      <w:r w:rsidR="00FD3F08">
        <w:rPr>
          <w:rFonts w:cs="Arial"/>
          <w:bCs/>
          <w:szCs w:val="28"/>
        </w:rPr>
        <w:t xml:space="preserve"> </w:t>
      </w:r>
      <w:r>
        <w:rPr>
          <w:rFonts w:cs="Arial"/>
          <w:bCs/>
          <w:szCs w:val="28"/>
        </w:rPr>
        <w:t>(c), the Department has eliminated language that used the terms, “long-term” and “ongoing basis” as well as the “individual’s everyday living expenses” to expound on the possibility</w:t>
      </w:r>
      <w:r w:rsidR="000A6624">
        <w:rPr>
          <w:rFonts w:cs="Arial"/>
          <w:bCs/>
          <w:szCs w:val="28"/>
        </w:rPr>
        <w:t xml:space="preserve"> that long-term maintenance on an on-going basis is now a possibility contrary to the </w:t>
      </w:r>
      <w:r w:rsidR="000A6624">
        <w:rPr>
          <w:rFonts w:cs="Arial"/>
          <w:bCs/>
          <w:szCs w:val="28"/>
        </w:rPr>
        <w:lastRenderedPageBreak/>
        <w:t>current language in the regulation.</w:t>
      </w:r>
      <w:r w:rsidR="00AF38F5">
        <w:rPr>
          <w:rFonts w:cs="Arial"/>
          <w:bCs/>
          <w:szCs w:val="28"/>
        </w:rPr>
        <w:t xml:space="preserve"> Finally, the Department made minor syntax changes to effectuate these changes.</w:t>
      </w:r>
    </w:p>
    <w:p w14:paraId="60E784FF" w14:textId="78A4E865" w:rsidR="000A6624" w:rsidRDefault="000A6624" w:rsidP="006C6603">
      <w:pPr>
        <w:pStyle w:val="BodyText"/>
        <w:spacing w:before="240" w:line="240" w:lineRule="auto"/>
        <w:rPr>
          <w:rFonts w:cs="Arial"/>
          <w:bCs/>
          <w:color w:val="FF0000"/>
          <w:szCs w:val="28"/>
        </w:rPr>
      </w:pPr>
      <w:r w:rsidRPr="000A6624">
        <w:rPr>
          <w:rFonts w:cs="Arial"/>
          <w:bCs/>
          <w:szCs w:val="28"/>
          <w:u w:val="single"/>
        </w:rPr>
        <w:t>Necessity:</w:t>
      </w:r>
      <w:r>
        <w:rPr>
          <w:rFonts w:cs="Arial"/>
          <w:bCs/>
          <w:szCs w:val="28"/>
          <w:u w:val="single"/>
        </w:rPr>
        <w:t xml:space="preserve"> </w:t>
      </w:r>
      <w:r w:rsidRPr="000A6624">
        <w:rPr>
          <w:rFonts w:cs="Arial"/>
          <w:bCs/>
          <w:szCs w:val="28"/>
        </w:rPr>
        <w:t>This language is needed because</w:t>
      </w:r>
      <w:r w:rsidR="00F91CE3">
        <w:rPr>
          <w:rFonts w:cs="Arial"/>
          <w:bCs/>
          <w:szCs w:val="28"/>
        </w:rPr>
        <w:t xml:space="preserve"> the </w:t>
      </w:r>
      <w:r w:rsidR="00F91CE3">
        <w:rPr>
          <w:rFonts w:cs="Arial"/>
          <w:bCs/>
          <w:i/>
          <w:iCs/>
          <w:szCs w:val="28"/>
        </w:rPr>
        <w:t xml:space="preserve">Doe </w:t>
      </w:r>
      <w:r w:rsidR="00F91CE3">
        <w:rPr>
          <w:rFonts w:cs="Arial"/>
          <w:bCs/>
          <w:szCs w:val="28"/>
        </w:rPr>
        <w:t xml:space="preserve">decision clarified maintenance support does not bar shelter and other maintenance costs simply because they are “long-term” or “ongoing.”  By removing </w:t>
      </w:r>
      <w:r w:rsidR="00D937EA">
        <w:rPr>
          <w:rFonts w:cs="Arial"/>
          <w:bCs/>
          <w:szCs w:val="28"/>
        </w:rPr>
        <w:t>these phrases,</w:t>
      </w:r>
      <w:r w:rsidR="00F91CE3">
        <w:rPr>
          <w:rFonts w:cs="Arial"/>
          <w:bCs/>
          <w:szCs w:val="28"/>
        </w:rPr>
        <w:t xml:space="preserve"> </w:t>
      </w:r>
      <w:r w:rsidR="00E33471">
        <w:rPr>
          <w:rFonts w:cs="Arial"/>
          <w:bCs/>
          <w:szCs w:val="28"/>
        </w:rPr>
        <w:t xml:space="preserve">the Department </w:t>
      </w:r>
      <w:r w:rsidR="00F91CE3">
        <w:rPr>
          <w:rFonts w:cs="Arial"/>
          <w:bCs/>
          <w:szCs w:val="28"/>
        </w:rPr>
        <w:t xml:space="preserve">ensures counselors and consumers do not mistakenly believe that maintenance is limited by </w:t>
      </w:r>
      <w:r w:rsidR="007D5F63">
        <w:rPr>
          <w:rFonts w:cs="Arial"/>
          <w:bCs/>
          <w:szCs w:val="28"/>
        </w:rPr>
        <w:t>categorical distinctions</w:t>
      </w:r>
      <w:r w:rsidR="00F91CE3">
        <w:rPr>
          <w:rFonts w:cs="Arial"/>
          <w:bCs/>
          <w:szCs w:val="28"/>
        </w:rPr>
        <w:t>, rather than calculated on an individual basis according to the costs incurred to participate in VR services.</w:t>
      </w:r>
    </w:p>
    <w:p w14:paraId="6782BE38" w14:textId="77777777" w:rsidR="000D7EFB" w:rsidRDefault="000D7EFB" w:rsidP="000D7EFB">
      <w:pPr>
        <w:pStyle w:val="BodyText"/>
        <w:spacing w:before="240" w:line="240" w:lineRule="auto"/>
        <w:rPr>
          <w:rFonts w:cs="Arial"/>
          <w:bCs/>
          <w:szCs w:val="28"/>
        </w:rPr>
      </w:pPr>
      <w:bookmarkStart w:id="3" w:name="_Hlk199842265"/>
      <w:r w:rsidRPr="000A6624">
        <w:rPr>
          <w:rFonts w:cs="Arial"/>
          <w:bCs/>
          <w:szCs w:val="28"/>
          <w:u w:val="single"/>
        </w:rPr>
        <w:t>Purpose:</w:t>
      </w:r>
      <w:r>
        <w:rPr>
          <w:rFonts w:cs="Arial"/>
          <w:bCs/>
          <w:szCs w:val="28"/>
          <w:u w:val="single"/>
        </w:rPr>
        <w:t xml:space="preserve"> T</w:t>
      </w:r>
      <w:r w:rsidRPr="000A6624">
        <w:rPr>
          <w:rFonts w:cs="Arial"/>
          <w:bCs/>
          <w:szCs w:val="28"/>
        </w:rPr>
        <w:t>he Department deleted the subsections and pinpoint citations</w:t>
      </w:r>
      <w:r>
        <w:rPr>
          <w:rFonts w:cs="Arial"/>
          <w:bCs/>
          <w:szCs w:val="28"/>
        </w:rPr>
        <w:t xml:space="preserve"> i</w:t>
      </w:r>
      <w:r w:rsidRPr="000A6624">
        <w:rPr>
          <w:rFonts w:cs="Arial"/>
          <w:bCs/>
          <w:szCs w:val="28"/>
        </w:rPr>
        <w:t>n the Reference section at the bottom of the regulation.</w:t>
      </w:r>
    </w:p>
    <w:p w14:paraId="202586A4" w14:textId="697459BC" w:rsidR="000A6624" w:rsidRPr="000A6624" w:rsidRDefault="000D7EFB" w:rsidP="006C6603">
      <w:pPr>
        <w:pStyle w:val="BodyText"/>
        <w:spacing w:before="240" w:line="240" w:lineRule="auto"/>
        <w:rPr>
          <w:rFonts w:cs="Arial"/>
          <w:bCs/>
          <w:szCs w:val="28"/>
        </w:rPr>
      </w:pPr>
      <w:r w:rsidRPr="000A6624">
        <w:rPr>
          <w:rFonts w:cs="Arial"/>
          <w:bCs/>
          <w:szCs w:val="28"/>
          <w:u w:val="single"/>
        </w:rPr>
        <w:t>Necessity:</w:t>
      </w:r>
      <w:r>
        <w:rPr>
          <w:rFonts w:cs="Arial"/>
          <w:bCs/>
          <w:szCs w:val="28"/>
        </w:rPr>
        <w:t xml:space="preserve"> This is needed for consistency and clarity because the Department began eliminating pinpoint citations and subsections in their Authority and Reference sections in 2021. The chance of state pinpoint citations to federal regulation subsection numbers becoming incorrect, repealed, or renumbered is very high over the course of the Department’s regulation. </w:t>
      </w:r>
      <w:r w:rsidR="00B1737D">
        <w:rPr>
          <w:rFonts w:cs="Arial"/>
          <w:bCs/>
          <w:szCs w:val="28"/>
        </w:rPr>
        <w:t xml:space="preserve">Some </w:t>
      </w:r>
      <w:r>
        <w:rPr>
          <w:rFonts w:cs="Arial"/>
          <w:bCs/>
          <w:szCs w:val="28"/>
        </w:rPr>
        <w:t xml:space="preserve">Department regulations do not change as much or as often as the federal regulations and keeping subsections in our rulemaking has caused confusion on behalf of the public who try to use the pinpoint citation and find that the subsection has been renumbered, repealed, or deleted. To embrace consistency and clarity, the Department is trying to eliminate pinpoint citations every time a change is made within our regulations.   </w:t>
      </w:r>
      <w:r w:rsidR="005E7EB5">
        <w:rPr>
          <w:rFonts w:cs="Arial"/>
          <w:bCs/>
          <w:szCs w:val="28"/>
        </w:rPr>
        <w:t xml:space="preserve">  </w:t>
      </w:r>
      <w:r w:rsidR="000A6624">
        <w:rPr>
          <w:rFonts w:cs="Arial"/>
          <w:bCs/>
          <w:szCs w:val="28"/>
        </w:rPr>
        <w:t xml:space="preserve"> </w:t>
      </w:r>
    </w:p>
    <w:bookmarkEnd w:id="3"/>
    <w:p w14:paraId="4274A0C8" w14:textId="3AF4421B" w:rsidR="00EC4927" w:rsidRPr="00421439" w:rsidRDefault="006C6603" w:rsidP="00421439">
      <w:pPr>
        <w:pStyle w:val="Heading2"/>
        <w:rPr>
          <w:rFonts w:ascii="Arial" w:hAnsi="Arial" w:cs="Arial"/>
          <w:b w:val="0"/>
          <w:bCs w:val="0"/>
          <w:i w:val="0"/>
          <w:iCs w:val="0"/>
          <w:u w:val="single"/>
        </w:rPr>
      </w:pPr>
      <w:r w:rsidRPr="00421439">
        <w:rPr>
          <w:rFonts w:ascii="Arial" w:hAnsi="Arial" w:cs="Arial"/>
          <w:b w:val="0"/>
          <w:bCs w:val="0"/>
          <w:i w:val="0"/>
          <w:iCs w:val="0"/>
          <w:u w:val="single"/>
        </w:rPr>
        <w:t>§ 7174. Other Goods and Services--General Provisions.</w:t>
      </w:r>
    </w:p>
    <w:p w14:paraId="0F48FE7D" w14:textId="370EDC22" w:rsidR="00EC4927" w:rsidRPr="00752A3C" w:rsidRDefault="00EC4927" w:rsidP="00EC4927">
      <w:pPr>
        <w:pStyle w:val="BodyText"/>
        <w:spacing w:before="240" w:line="240" w:lineRule="auto"/>
        <w:rPr>
          <w:rFonts w:cs="Arial"/>
          <w:bCs/>
          <w:szCs w:val="28"/>
        </w:rPr>
      </w:pPr>
      <w:r w:rsidRPr="00752A3C">
        <w:rPr>
          <w:rFonts w:cs="Arial"/>
          <w:bCs/>
          <w:szCs w:val="28"/>
          <w:u w:val="single"/>
        </w:rPr>
        <w:t>Purpose:</w:t>
      </w:r>
      <w:r w:rsidRPr="00752A3C">
        <w:rPr>
          <w:rFonts w:cs="Arial"/>
          <w:bCs/>
          <w:szCs w:val="28"/>
        </w:rPr>
        <w:t xml:space="preserve"> </w:t>
      </w:r>
      <w:r>
        <w:rPr>
          <w:rFonts w:cs="Arial"/>
          <w:bCs/>
          <w:szCs w:val="28"/>
        </w:rPr>
        <w:t xml:space="preserve">The purpose </w:t>
      </w:r>
      <w:r w:rsidR="005E7EB5">
        <w:rPr>
          <w:rFonts w:cs="Arial"/>
          <w:bCs/>
          <w:szCs w:val="28"/>
        </w:rPr>
        <w:t>of deleting “short-term” from §7174</w:t>
      </w:r>
      <w:r w:rsidR="00FD3F08">
        <w:rPr>
          <w:rFonts w:cs="Arial"/>
          <w:bCs/>
          <w:szCs w:val="28"/>
        </w:rPr>
        <w:t xml:space="preserve"> </w:t>
      </w:r>
      <w:r w:rsidR="005E7EB5">
        <w:rPr>
          <w:rFonts w:cs="Arial"/>
          <w:bCs/>
          <w:szCs w:val="28"/>
        </w:rPr>
        <w:t>(b)(1) is to stop limiting the provision of goods and services by the Department</w:t>
      </w:r>
      <w:r w:rsidR="00B1737D">
        <w:rPr>
          <w:rFonts w:cs="Arial"/>
          <w:bCs/>
          <w:szCs w:val="28"/>
        </w:rPr>
        <w:t xml:space="preserve"> on this basis.</w:t>
      </w:r>
      <w:r w:rsidR="003B2717" w:rsidRPr="003B2717">
        <w:rPr>
          <w:rFonts w:cs="Arial"/>
          <w:bCs/>
          <w:szCs w:val="28"/>
        </w:rPr>
        <w:t xml:space="preserve"> </w:t>
      </w:r>
      <w:r w:rsidR="003B2717">
        <w:rPr>
          <w:rFonts w:cs="Arial"/>
          <w:bCs/>
          <w:szCs w:val="28"/>
        </w:rPr>
        <w:t>Also, the Department made minor syntax changes and renumbering to effectuate these changes.</w:t>
      </w:r>
    </w:p>
    <w:p w14:paraId="1006782F" w14:textId="77777777" w:rsidR="00EC4927" w:rsidRDefault="00EC4927" w:rsidP="00EC4927">
      <w:pPr>
        <w:pStyle w:val="BodyText"/>
        <w:spacing w:line="240" w:lineRule="auto"/>
        <w:rPr>
          <w:rFonts w:cs="Arial"/>
          <w:bCs/>
          <w:szCs w:val="28"/>
          <w:u w:val="single"/>
        </w:rPr>
      </w:pPr>
    </w:p>
    <w:p w14:paraId="2EF3AEDA" w14:textId="2385DA3E" w:rsidR="0091038A" w:rsidRPr="0091038A" w:rsidRDefault="00EC4927" w:rsidP="00EC4927">
      <w:pPr>
        <w:pStyle w:val="BodyText"/>
        <w:spacing w:line="240" w:lineRule="auto"/>
        <w:rPr>
          <w:rFonts w:cs="Arial"/>
          <w:bCs/>
          <w:szCs w:val="28"/>
        </w:rPr>
      </w:pPr>
      <w:r w:rsidRPr="00752A3C">
        <w:rPr>
          <w:rFonts w:cs="Arial"/>
          <w:bCs/>
          <w:szCs w:val="28"/>
          <w:u w:val="single"/>
        </w:rPr>
        <w:t>Necessity:</w:t>
      </w:r>
      <w:r w:rsidRPr="00752A3C">
        <w:rPr>
          <w:rFonts w:cs="Arial"/>
          <w:bCs/>
          <w:szCs w:val="28"/>
        </w:rPr>
        <w:t xml:space="preserve"> </w:t>
      </w:r>
      <w:r>
        <w:rPr>
          <w:rFonts w:cs="Arial"/>
          <w:bCs/>
          <w:szCs w:val="28"/>
        </w:rPr>
        <w:t xml:space="preserve">This language is needed </w:t>
      </w:r>
      <w:r w:rsidR="00D937EA">
        <w:rPr>
          <w:rFonts w:cs="Arial"/>
          <w:bCs/>
          <w:szCs w:val="28"/>
        </w:rPr>
        <w:t xml:space="preserve">to eliminate any conflation and confusion between maintenance support, and support that falls under “other goods and services”— a separate form of </w:t>
      </w:r>
      <w:r w:rsidR="0091038A">
        <w:rPr>
          <w:rFonts w:cs="Arial"/>
          <w:bCs/>
          <w:szCs w:val="28"/>
        </w:rPr>
        <w:t xml:space="preserve">assistance </w:t>
      </w:r>
      <w:r w:rsidR="00D937EA">
        <w:rPr>
          <w:rFonts w:cs="Arial"/>
          <w:bCs/>
          <w:szCs w:val="28"/>
        </w:rPr>
        <w:t xml:space="preserve">under </w:t>
      </w:r>
      <w:r w:rsidR="00E33471">
        <w:rPr>
          <w:rFonts w:cs="Arial"/>
          <w:bCs/>
          <w:szCs w:val="28"/>
        </w:rPr>
        <w:t xml:space="preserve">the Department’s </w:t>
      </w:r>
      <w:r w:rsidR="00D937EA">
        <w:rPr>
          <w:rFonts w:cs="Arial"/>
          <w:bCs/>
          <w:szCs w:val="28"/>
        </w:rPr>
        <w:t xml:space="preserve">regulations. </w:t>
      </w:r>
      <w:r w:rsidR="0091038A">
        <w:rPr>
          <w:rFonts w:cs="Arial"/>
          <w:bCs/>
          <w:szCs w:val="28"/>
        </w:rPr>
        <w:t xml:space="preserve">As the regulations exist now, </w:t>
      </w:r>
      <w:r w:rsidR="0091038A" w:rsidRPr="0091038A">
        <w:rPr>
          <w:rFonts w:cs="Arial"/>
          <w:bCs/>
          <w:szCs w:val="28"/>
        </w:rPr>
        <w:t>§7019</w:t>
      </w:r>
      <w:r w:rsidR="0091038A">
        <w:rPr>
          <w:rFonts w:cs="Arial"/>
          <w:bCs/>
          <w:szCs w:val="28"/>
        </w:rPr>
        <w:t xml:space="preserve"> on maintenance, and §7174(b)(1) on emergency support contain very similar language. Specifically, both regulations seem to indicate that </w:t>
      </w:r>
      <w:r w:rsidR="00E33471">
        <w:rPr>
          <w:rFonts w:cs="Arial"/>
          <w:bCs/>
          <w:szCs w:val="28"/>
        </w:rPr>
        <w:t xml:space="preserve">the </w:t>
      </w:r>
      <w:r w:rsidR="002E2036">
        <w:rPr>
          <w:rFonts w:cs="Arial"/>
          <w:bCs/>
          <w:szCs w:val="28"/>
        </w:rPr>
        <w:t>Department cannot</w:t>
      </w:r>
      <w:r w:rsidR="0091038A">
        <w:rPr>
          <w:rFonts w:cs="Arial"/>
          <w:bCs/>
          <w:szCs w:val="28"/>
        </w:rPr>
        <w:t xml:space="preserve"> provide support to an individual simply because it is </w:t>
      </w:r>
      <w:r w:rsidR="0091038A">
        <w:rPr>
          <w:rFonts w:cs="Arial"/>
          <w:bCs/>
          <w:szCs w:val="28"/>
        </w:rPr>
        <w:lastRenderedPageBreak/>
        <w:t xml:space="preserve">“long-term” rather than “short-term.” The goal of changing </w:t>
      </w:r>
      <w:r w:rsidR="0091038A" w:rsidRPr="0091038A">
        <w:rPr>
          <w:rFonts w:cs="Arial"/>
          <w:bCs/>
          <w:szCs w:val="28"/>
        </w:rPr>
        <w:t>§7174(b)(1)</w:t>
      </w:r>
      <w:r w:rsidR="0091038A">
        <w:rPr>
          <w:rFonts w:cs="Arial"/>
          <w:bCs/>
          <w:szCs w:val="28"/>
        </w:rPr>
        <w:t xml:space="preserve"> is to disentangle it from </w:t>
      </w:r>
      <w:r w:rsidR="0091038A" w:rsidRPr="0091038A">
        <w:rPr>
          <w:rFonts w:cs="Arial"/>
          <w:bCs/>
          <w:szCs w:val="28"/>
        </w:rPr>
        <w:t>§7019</w:t>
      </w:r>
      <w:r w:rsidR="0091038A">
        <w:rPr>
          <w:rFonts w:cs="Arial"/>
          <w:bCs/>
          <w:szCs w:val="28"/>
        </w:rPr>
        <w:t xml:space="preserve"> and maintenance support. The phrase “short-term” might trigger association with </w:t>
      </w:r>
      <w:r w:rsidR="00B1737D">
        <w:rPr>
          <w:rFonts w:cs="Arial"/>
          <w:bCs/>
          <w:szCs w:val="28"/>
        </w:rPr>
        <w:t xml:space="preserve">what will be </w:t>
      </w:r>
      <w:r w:rsidR="0091038A">
        <w:rPr>
          <w:rFonts w:cs="Arial"/>
          <w:bCs/>
          <w:szCs w:val="28"/>
        </w:rPr>
        <w:t xml:space="preserve">the old maintenance </w:t>
      </w:r>
      <w:r w:rsidR="002E2036">
        <w:rPr>
          <w:rFonts w:cs="Arial"/>
          <w:bCs/>
          <w:szCs w:val="28"/>
        </w:rPr>
        <w:t>regulations and</w:t>
      </w:r>
      <w:r w:rsidR="0091038A">
        <w:rPr>
          <w:rFonts w:cs="Arial"/>
          <w:bCs/>
          <w:szCs w:val="28"/>
        </w:rPr>
        <w:t xml:space="preserve"> therefore collapse one’s understanding of these two regulations as being synonymous with each other. However, they are not. Maintenance support plays a different and distinct role other than support provided under </w:t>
      </w:r>
      <w:r w:rsidR="000B4B90">
        <w:rPr>
          <w:rFonts w:cs="Arial"/>
          <w:bCs/>
          <w:szCs w:val="28"/>
        </w:rPr>
        <w:t>“</w:t>
      </w:r>
      <w:r w:rsidR="0091038A">
        <w:rPr>
          <w:rFonts w:cs="Arial"/>
          <w:bCs/>
          <w:szCs w:val="28"/>
        </w:rPr>
        <w:t>Other Goods and Services</w:t>
      </w:r>
      <w:r w:rsidR="000B4B90">
        <w:rPr>
          <w:rFonts w:cs="Arial"/>
          <w:bCs/>
          <w:szCs w:val="28"/>
        </w:rPr>
        <w:t>”</w:t>
      </w:r>
      <w:r w:rsidR="0091038A">
        <w:rPr>
          <w:rFonts w:cs="Arial"/>
          <w:bCs/>
          <w:szCs w:val="28"/>
        </w:rPr>
        <w:t xml:space="preserve">. Additionally, the rest of §7174(b)(1) is sufficiently clear without the term “short-term.” Section 7174(b)(1) states that financial assistance is available for an “emergency,” and </w:t>
      </w:r>
      <w:r w:rsidR="0091038A">
        <w:rPr>
          <w:rFonts w:cs="Arial"/>
          <w:bCs/>
          <w:i/>
          <w:iCs/>
          <w:szCs w:val="28"/>
        </w:rPr>
        <w:t xml:space="preserve">not </w:t>
      </w:r>
      <w:r w:rsidR="0091038A">
        <w:rPr>
          <w:rFonts w:cs="Arial"/>
          <w:bCs/>
          <w:szCs w:val="28"/>
        </w:rPr>
        <w:t xml:space="preserve">“to support an individual’s everyday living expenses.” This language is sufficiently clear without the phrase “short-term,” which could be read as a redundancy. </w:t>
      </w:r>
    </w:p>
    <w:p w14:paraId="0840E11A" w14:textId="77777777" w:rsidR="005E7EB5" w:rsidRDefault="005E7EB5" w:rsidP="00EC4927">
      <w:pPr>
        <w:pStyle w:val="BodyText"/>
        <w:spacing w:line="240" w:lineRule="auto"/>
        <w:rPr>
          <w:rFonts w:cs="Arial"/>
          <w:bCs/>
          <w:color w:val="FF0000"/>
          <w:szCs w:val="28"/>
        </w:rPr>
      </w:pPr>
    </w:p>
    <w:p w14:paraId="0E2E5CE6" w14:textId="185C6A7B" w:rsidR="005E7EB5" w:rsidRDefault="005E7EB5" w:rsidP="00EC4927">
      <w:pPr>
        <w:pStyle w:val="BodyText"/>
        <w:spacing w:line="240" w:lineRule="auto"/>
        <w:rPr>
          <w:rFonts w:cs="Arial"/>
          <w:bCs/>
          <w:szCs w:val="28"/>
        </w:rPr>
      </w:pPr>
      <w:r w:rsidRPr="005E7EB5">
        <w:rPr>
          <w:rFonts w:cs="Arial"/>
          <w:bCs/>
          <w:szCs w:val="28"/>
          <w:u w:val="single"/>
        </w:rPr>
        <w:t xml:space="preserve">Purpose: </w:t>
      </w:r>
      <w:r w:rsidRPr="005E7EB5">
        <w:rPr>
          <w:rFonts w:cs="Arial"/>
          <w:bCs/>
          <w:szCs w:val="28"/>
        </w:rPr>
        <w:t>The purpose of deleting §7174(2)</w:t>
      </w:r>
      <w:r>
        <w:rPr>
          <w:rFonts w:cs="Arial"/>
          <w:bCs/>
          <w:szCs w:val="28"/>
        </w:rPr>
        <w:t xml:space="preserve"> is to remove the language </w:t>
      </w:r>
      <w:r w:rsidR="003663DD">
        <w:rPr>
          <w:rFonts w:cs="Arial"/>
          <w:bCs/>
          <w:szCs w:val="28"/>
        </w:rPr>
        <w:t>listing as other goods and services,</w:t>
      </w:r>
      <w:r>
        <w:rPr>
          <w:rFonts w:cs="Arial"/>
          <w:bCs/>
          <w:szCs w:val="28"/>
        </w:rPr>
        <w:t xml:space="preserve"> </w:t>
      </w:r>
      <w:r w:rsidR="00447A23">
        <w:rPr>
          <w:rFonts w:cs="Arial"/>
          <w:bCs/>
          <w:szCs w:val="28"/>
        </w:rPr>
        <w:t>“Occasional or emergency purchases of haircuts, handbags, or toiletries for an individual</w:t>
      </w:r>
      <w:r w:rsidR="000C3A9B">
        <w:rPr>
          <w:rFonts w:cs="Arial"/>
          <w:bCs/>
          <w:szCs w:val="28"/>
        </w:rPr>
        <w:t>,</w:t>
      </w:r>
      <w:r w:rsidR="00447A23">
        <w:rPr>
          <w:rFonts w:cs="Arial"/>
          <w:bCs/>
          <w:szCs w:val="28"/>
        </w:rPr>
        <w:t>”</w:t>
      </w:r>
      <w:r w:rsidR="003B2717">
        <w:rPr>
          <w:rFonts w:cs="Arial"/>
          <w:bCs/>
          <w:szCs w:val="28"/>
        </w:rPr>
        <w:t xml:space="preserve"> </w:t>
      </w:r>
      <w:r w:rsidR="003663DD">
        <w:rPr>
          <w:rFonts w:cs="Arial"/>
          <w:bCs/>
          <w:szCs w:val="28"/>
        </w:rPr>
        <w:t xml:space="preserve">as these items </w:t>
      </w:r>
      <w:r w:rsidR="00447A23">
        <w:rPr>
          <w:rFonts w:cs="Arial"/>
          <w:bCs/>
          <w:szCs w:val="28"/>
        </w:rPr>
        <w:t xml:space="preserve">are </w:t>
      </w:r>
      <w:r w:rsidR="00F571A1">
        <w:rPr>
          <w:rFonts w:cs="Arial"/>
          <w:bCs/>
          <w:szCs w:val="28"/>
        </w:rPr>
        <w:t xml:space="preserve">unnecessarily specific and may be </w:t>
      </w:r>
      <w:r w:rsidR="00447A23">
        <w:rPr>
          <w:rFonts w:cs="Arial"/>
          <w:bCs/>
          <w:szCs w:val="28"/>
        </w:rPr>
        <w:t xml:space="preserve">encompassed by other regulatory provisions, such as through subsection (a) “emergency financial assistance” </w:t>
      </w:r>
      <w:r w:rsidR="00661449">
        <w:rPr>
          <w:rFonts w:cs="Arial"/>
          <w:bCs/>
          <w:szCs w:val="28"/>
        </w:rPr>
        <w:t xml:space="preserve">or in </w:t>
      </w:r>
      <w:r w:rsidR="001F2AEC">
        <w:rPr>
          <w:rFonts w:cs="Arial"/>
          <w:bCs/>
          <w:szCs w:val="28"/>
        </w:rPr>
        <w:t xml:space="preserve">the </w:t>
      </w:r>
      <w:r w:rsidR="003B2717">
        <w:rPr>
          <w:rFonts w:cs="Arial"/>
          <w:bCs/>
          <w:szCs w:val="28"/>
        </w:rPr>
        <w:t>maintenance support</w:t>
      </w:r>
      <w:r w:rsidR="00075AC8">
        <w:rPr>
          <w:rFonts w:cs="Arial"/>
          <w:bCs/>
          <w:szCs w:val="28"/>
        </w:rPr>
        <w:t xml:space="preserve"> specific regulation</w:t>
      </w:r>
      <w:r w:rsidR="00656A49">
        <w:rPr>
          <w:rFonts w:cs="Arial"/>
          <w:bCs/>
          <w:szCs w:val="28"/>
        </w:rPr>
        <w:t xml:space="preserve"> in </w:t>
      </w:r>
      <w:r w:rsidR="00656A49" w:rsidRPr="005E7EB5">
        <w:rPr>
          <w:rFonts w:cs="Arial"/>
          <w:bCs/>
          <w:szCs w:val="28"/>
        </w:rPr>
        <w:t>§717</w:t>
      </w:r>
      <w:r w:rsidR="00656A49">
        <w:rPr>
          <w:rFonts w:cs="Arial"/>
          <w:bCs/>
          <w:szCs w:val="28"/>
        </w:rPr>
        <w:t>7</w:t>
      </w:r>
      <w:r w:rsidR="009F4C6B">
        <w:rPr>
          <w:rFonts w:cs="Arial"/>
          <w:bCs/>
          <w:szCs w:val="28"/>
        </w:rPr>
        <w:t>.</w:t>
      </w:r>
    </w:p>
    <w:p w14:paraId="7988CC2E" w14:textId="77777777" w:rsidR="005E7EB5" w:rsidRDefault="005E7EB5" w:rsidP="00EC4927">
      <w:pPr>
        <w:pStyle w:val="BodyText"/>
        <w:spacing w:line="240" w:lineRule="auto"/>
        <w:rPr>
          <w:rFonts w:cs="Arial"/>
          <w:bCs/>
          <w:szCs w:val="28"/>
        </w:rPr>
      </w:pPr>
    </w:p>
    <w:p w14:paraId="625B38BC" w14:textId="5050EA26" w:rsidR="005E7EB5" w:rsidRPr="004C643C" w:rsidRDefault="005E7EB5" w:rsidP="00EC4927">
      <w:pPr>
        <w:pStyle w:val="BodyText"/>
        <w:spacing w:line="240" w:lineRule="auto"/>
        <w:rPr>
          <w:rFonts w:cs="Arial"/>
          <w:bCs/>
          <w:color w:val="FF0000"/>
          <w:szCs w:val="28"/>
        </w:rPr>
      </w:pPr>
      <w:r w:rsidRPr="005E7EB5">
        <w:rPr>
          <w:rFonts w:cs="Arial"/>
          <w:bCs/>
          <w:szCs w:val="28"/>
          <w:u w:val="single"/>
        </w:rPr>
        <w:t>Necessity:</w:t>
      </w:r>
      <w:r>
        <w:rPr>
          <w:rFonts w:cs="Arial"/>
          <w:bCs/>
          <w:szCs w:val="28"/>
          <w:u w:val="single"/>
        </w:rPr>
        <w:t xml:space="preserve"> </w:t>
      </w:r>
      <w:r w:rsidR="004C643C">
        <w:rPr>
          <w:rFonts w:cs="Arial"/>
          <w:bCs/>
          <w:szCs w:val="28"/>
        </w:rPr>
        <w:t>Removal of this language is necessary to disentangle “Other Goods and Services” from other services that DOR provides.</w:t>
      </w:r>
      <w:r w:rsidR="000B4B90">
        <w:rPr>
          <w:rFonts w:cs="Arial"/>
          <w:bCs/>
          <w:szCs w:val="28"/>
        </w:rPr>
        <w:t xml:space="preserve"> </w:t>
      </w:r>
      <w:r w:rsidR="004C643C">
        <w:rPr>
          <w:rFonts w:cs="Arial"/>
          <w:bCs/>
          <w:szCs w:val="28"/>
        </w:rPr>
        <w:t xml:space="preserve">DOR already provides support for the items listed in </w:t>
      </w:r>
      <w:r w:rsidR="004C643C" w:rsidRPr="004C643C">
        <w:rPr>
          <w:rFonts w:cs="Arial"/>
          <w:bCs/>
          <w:szCs w:val="28"/>
        </w:rPr>
        <w:t>§7174(2)</w:t>
      </w:r>
      <w:r w:rsidR="004C643C">
        <w:rPr>
          <w:rFonts w:cs="Arial"/>
          <w:bCs/>
          <w:szCs w:val="28"/>
        </w:rPr>
        <w:t xml:space="preserve">, but through other mechanisms, including through maintenance support. The purpose of striking this provision is to ensure “Other Goods and Services” plays a distinct role as a catchall regulation for services not otherwise provided for in </w:t>
      </w:r>
      <w:r w:rsidR="004C643C">
        <w:rPr>
          <w:rFonts w:cs="Arial"/>
          <w:bCs/>
          <w:i/>
          <w:iCs/>
          <w:szCs w:val="28"/>
        </w:rPr>
        <w:t xml:space="preserve">other </w:t>
      </w:r>
      <w:r w:rsidR="004C643C">
        <w:rPr>
          <w:rFonts w:cs="Arial"/>
          <w:bCs/>
          <w:szCs w:val="28"/>
        </w:rPr>
        <w:t>regulations, and that are necessary for the individual to achieve the employment outcome specifi</w:t>
      </w:r>
      <w:r w:rsidR="000B4B90">
        <w:rPr>
          <w:rFonts w:cs="Arial"/>
          <w:bCs/>
          <w:szCs w:val="28"/>
        </w:rPr>
        <w:t>ed</w:t>
      </w:r>
      <w:r w:rsidR="004C643C">
        <w:rPr>
          <w:rFonts w:cs="Arial"/>
          <w:bCs/>
          <w:szCs w:val="28"/>
        </w:rPr>
        <w:t xml:space="preserve"> in his or her IPE. </w:t>
      </w:r>
    </w:p>
    <w:p w14:paraId="4A30DDCC" w14:textId="53B2B726" w:rsidR="005E7EB5" w:rsidRDefault="005E7EB5" w:rsidP="005E7EB5">
      <w:pPr>
        <w:pStyle w:val="BodyText"/>
        <w:spacing w:before="240" w:line="240" w:lineRule="auto"/>
        <w:rPr>
          <w:rFonts w:cs="Arial"/>
          <w:bCs/>
          <w:szCs w:val="28"/>
        </w:rPr>
      </w:pPr>
      <w:r w:rsidRPr="000A6624">
        <w:rPr>
          <w:rFonts w:cs="Arial"/>
          <w:bCs/>
          <w:szCs w:val="28"/>
          <w:u w:val="single"/>
        </w:rPr>
        <w:t>Purpose:</w:t>
      </w:r>
      <w:r>
        <w:rPr>
          <w:rFonts w:cs="Arial"/>
          <w:bCs/>
          <w:szCs w:val="28"/>
          <w:u w:val="single"/>
        </w:rPr>
        <w:t xml:space="preserve"> T</w:t>
      </w:r>
      <w:r w:rsidRPr="000A6624">
        <w:rPr>
          <w:rFonts w:cs="Arial"/>
          <w:bCs/>
          <w:szCs w:val="28"/>
        </w:rPr>
        <w:t>he Department deleted the subsections and pinpoint citations</w:t>
      </w:r>
      <w:r>
        <w:rPr>
          <w:rFonts w:cs="Arial"/>
          <w:bCs/>
          <w:szCs w:val="28"/>
        </w:rPr>
        <w:t xml:space="preserve"> i</w:t>
      </w:r>
      <w:r w:rsidRPr="000A6624">
        <w:rPr>
          <w:rFonts w:cs="Arial"/>
          <w:bCs/>
          <w:szCs w:val="28"/>
        </w:rPr>
        <w:t xml:space="preserve">n the Reference section at the bottom of the </w:t>
      </w:r>
      <w:r w:rsidR="000B4B90">
        <w:rPr>
          <w:rFonts w:cs="Arial"/>
          <w:bCs/>
          <w:szCs w:val="28"/>
        </w:rPr>
        <w:t>§7174</w:t>
      </w:r>
      <w:r w:rsidRPr="000A6624">
        <w:rPr>
          <w:rFonts w:cs="Arial"/>
          <w:bCs/>
          <w:szCs w:val="28"/>
        </w:rPr>
        <w:t>.</w:t>
      </w:r>
    </w:p>
    <w:p w14:paraId="4FB9ADFB" w14:textId="2C6DB16C" w:rsidR="005E7EB5" w:rsidRPr="000A6624" w:rsidRDefault="005E7EB5" w:rsidP="005E7EB5">
      <w:pPr>
        <w:pStyle w:val="BodyText"/>
        <w:spacing w:before="240" w:line="240" w:lineRule="auto"/>
        <w:rPr>
          <w:rFonts w:cs="Arial"/>
          <w:bCs/>
          <w:szCs w:val="28"/>
        </w:rPr>
      </w:pPr>
      <w:r w:rsidRPr="000A6624">
        <w:rPr>
          <w:rFonts w:cs="Arial"/>
          <w:bCs/>
          <w:szCs w:val="28"/>
          <w:u w:val="single"/>
        </w:rPr>
        <w:t>Necessity:</w:t>
      </w:r>
      <w:r>
        <w:rPr>
          <w:rFonts w:cs="Arial"/>
          <w:bCs/>
          <w:szCs w:val="28"/>
        </w:rPr>
        <w:t xml:space="preserve"> This is needed </w:t>
      </w:r>
      <w:r w:rsidR="000D7EFB">
        <w:rPr>
          <w:rFonts w:cs="Arial"/>
          <w:bCs/>
          <w:szCs w:val="28"/>
        </w:rPr>
        <w:t>for consistency and clarity because</w:t>
      </w:r>
      <w:r>
        <w:rPr>
          <w:rFonts w:cs="Arial"/>
          <w:bCs/>
          <w:szCs w:val="28"/>
        </w:rPr>
        <w:t xml:space="preserve"> the Department began eliminating pinpoint citations and subsections in their Authority and Reference</w:t>
      </w:r>
      <w:r w:rsidR="000D7EFB">
        <w:rPr>
          <w:rFonts w:cs="Arial"/>
          <w:bCs/>
          <w:szCs w:val="28"/>
        </w:rPr>
        <w:t xml:space="preserve"> sections</w:t>
      </w:r>
      <w:r>
        <w:rPr>
          <w:rFonts w:cs="Arial"/>
          <w:bCs/>
          <w:szCs w:val="28"/>
        </w:rPr>
        <w:t xml:space="preserve"> in 2021. The chance of state pinpoint citations to federal regulation subsection numbers becoming incorrect, repealed, or renumbered is very high over the course of the Department’s regulation. </w:t>
      </w:r>
      <w:r w:rsidR="003B2717">
        <w:rPr>
          <w:rFonts w:cs="Arial"/>
          <w:bCs/>
          <w:szCs w:val="28"/>
        </w:rPr>
        <w:t xml:space="preserve">Some </w:t>
      </w:r>
      <w:r>
        <w:rPr>
          <w:rFonts w:cs="Arial"/>
          <w:bCs/>
          <w:szCs w:val="28"/>
        </w:rPr>
        <w:t xml:space="preserve">Department regulations do not change as much or as often as the federal regulations and keeping subsections in our rulemaking has caused confusion on behalf of the public who try to use the pinpoint </w:t>
      </w:r>
      <w:r>
        <w:rPr>
          <w:rFonts w:cs="Arial"/>
          <w:bCs/>
          <w:szCs w:val="28"/>
        </w:rPr>
        <w:lastRenderedPageBreak/>
        <w:t xml:space="preserve">citation and find that the subsection has been renumbered, repealed, or deleted. To embrace consistency and clarity, the Department is trying to eliminate pinpoint citations every time a change is made within our regulations.   </w:t>
      </w:r>
    </w:p>
    <w:p w14:paraId="18C8703A" w14:textId="304E755D" w:rsidR="000B5C4B" w:rsidRPr="00421439" w:rsidRDefault="006C6603" w:rsidP="00421439">
      <w:pPr>
        <w:pStyle w:val="Heading2"/>
        <w:rPr>
          <w:rFonts w:ascii="Arial" w:hAnsi="Arial" w:cs="Arial"/>
          <w:b w:val="0"/>
          <w:bCs w:val="0"/>
          <w:i w:val="0"/>
          <w:iCs w:val="0"/>
          <w:u w:val="single"/>
        </w:rPr>
      </w:pPr>
      <w:bookmarkStart w:id="4" w:name="_Hlk205904941"/>
      <w:bookmarkEnd w:id="2"/>
      <w:r w:rsidRPr="00421439">
        <w:rPr>
          <w:rFonts w:ascii="Arial" w:hAnsi="Arial" w:cs="Arial"/>
          <w:b w:val="0"/>
          <w:bCs w:val="0"/>
          <w:i w:val="0"/>
          <w:iCs w:val="0"/>
          <w:u w:val="single"/>
        </w:rPr>
        <w:t xml:space="preserve">§ 7177. </w:t>
      </w:r>
      <w:bookmarkEnd w:id="4"/>
      <w:r w:rsidRPr="00421439">
        <w:rPr>
          <w:rFonts w:ascii="Arial" w:hAnsi="Arial" w:cs="Arial"/>
          <w:b w:val="0"/>
          <w:bCs w:val="0"/>
          <w:i w:val="0"/>
          <w:iCs w:val="0"/>
          <w:u w:val="single"/>
        </w:rPr>
        <w:t xml:space="preserve">Department </w:t>
      </w:r>
      <w:r w:rsidR="00B555BF" w:rsidRPr="00421439">
        <w:rPr>
          <w:rFonts w:ascii="Arial" w:hAnsi="Arial" w:cs="Arial"/>
          <w:b w:val="0"/>
          <w:bCs w:val="0"/>
          <w:i w:val="0"/>
          <w:iCs w:val="0"/>
          <w:u w:val="single"/>
        </w:rPr>
        <w:t>P</w:t>
      </w:r>
      <w:r w:rsidRPr="00421439">
        <w:rPr>
          <w:rFonts w:ascii="Arial" w:hAnsi="Arial" w:cs="Arial"/>
          <w:b w:val="0"/>
          <w:bCs w:val="0"/>
          <w:i w:val="0"/>
          <w:iCs w:val="0"/>
          <w:u w:val="single"/>
        </w:rPr>
        <w:t>rovided Maintenance.</w:t>
      </w:r>
    </w:p>
    <w:p w14:paraId="5C862C5F" w14:textId="11A559D4" w:rsidR="000B5C4B" w:rsidRPr="00752A3C" w:rsidRDefault="000B5C4B" w:rsidP="000B5C4B">
      <w:pPr>
        <w:pStyle w:val="BodyText"/>
        <w:spacing w:before="240" w:line="240" w:lineRule="auto"/>
        <w:rPr>
          <w:rFonts w:cs="Arial"/>
          <w:bCs/>
          <w:szCs w:val="28"/>
        </w:rPr>
      </w:pPr>
      <w:r w:rsidRPr="00752A3C">
        <w:rPr>
          <w:rFonts w:cs="Arial"/>
          <w:bCs/>
          <w:szCs w:val="28"/>
          <w:u w:val="single"/>
        </w:rPr>
        <w:t>Purpose:</w:t>
      </w:r>
      <w:r w:rsidRPr="00752A3C">
        <w:rPr>
          <w:rFonts w:cs="Arial"/>
          <w:bCs/>
          <w:szCs w:val="28"/>
        </w:rPr>
        <w:t xml:space="preserve"> </w:t>
      </w:r>
      <w:r>
        <w:rPr>
          <w:rFonts w:cs="Arial"/>
          <w:bCs/>
          <w:szCs w:val="28"/>
        </w:rPr>
        <w:t xml:space="preserve">The purpose of </w:t>
      </w:r>
      <w:r w:rsidR="000D7EFB">
        <w:rPr>
          <w:rFonts w:cs="Arial"/>
          <w:bCs/>
          <w:szCs w:val="28"/>
        </w:rPr>
        <w:t xml:space="preserve">adding “Department </w:t>
      </w:r>
      <w:r w:rsidR="00B555BF">
        <w:rPr>
          <w:rFonts w:cs="Arial"/>
          <w:bCs/>
          <w:szCs w:val="28"/>
        </w:rPr>
        <w:t>P</w:t>
      </w:r>
      <w:r w:rsidR="000D7EFB">
        <w:rPr>
          <w:rFonts w:cs="Arial"/>
          <w:bCs/>
          <w:szCs w:val="28"/>
        </w:rPr>
        <w:t>rovided” to the title is to eliminate the appearance of two regulations within Title 9 that have the same title</w:t>
      </w:r>
      <w:r>
        <w:rPr>
          <w:rFonts w:cs="Arial"/>
          <w:bCs/>
          <w:szCs w:val="28"/>
        </w:rPr>
        <w:t>.</w:t>
      </w:r>
      <w:r w:rsidRPr="000B5C4B">
        <w:rPr>
          <w:rFonts w:cs="Arial"/>
          <w:color w:val="000000"/>
          <w:szCs w:val="28"/>
        </w:rPr>
        <w:t xml:space="preserve"> </w:t>
      </w:r>
    </w:p>
    <w:p w14:paraId="22612768" w14:textId="77777777" w:rsidR="000B5C4B" w:rsidRDefault="000B5C4B" w:rsidP="000B5C4B">
      <w:pPr>
        <w:pStyle w:val="BodyText"/>
        <w:spacing w:line="240" w:lineRule="auto"/>
        <w:rPr>
          <w:rFonts w:cs="Arial"/>
          <w:bCs/>
          <w:szCs w:val="28"/>
          <w:u w:val="single"/>
        </w:rPr>
      </w:pPr>
    </w:p>
    <w:p w14:paraId="03B199DB" w14:textId="53AFDCAA" w:rsidR="000B4B90" w:rsidRDefault="000B5C4B" w:rsidP="000B5C4B">
      <w:pPr>
        <w:pStyle w:val="BodyText"/>
        <w:spacing w:line="240" w:lineRule="auto"/>
        <w:rPr>
          <w:rFonts w:cs="Arial"/>
          <w:szCs w:val="28"/>
          <w:u w:val="single"/>
        </w:rPr>
      </w:pPr>
      <w:r w:rsidRPr="00752A3C">
        <w:rPr>
          <w:rFonts w:cs="Arial"/>
          <w:bCs/>
          <w:szCs w:val="28"/>
          <w:u w:val="single"/>
        </w:rPr>
        <w:t>Necessity:</w:t>
      </w:r>
      <w:r w:rsidRPr="00752A3C">
        <w:rPr>
          <w:rFonts w:cs="Arial"/>
          <w:bCs/>
          <w:szCs w:val="28"/>
        </w:rPr>
        <w:t xml:space="preserve"> </w:t>
      </w:r>
      <w:r w:rsidR="000D7EFB">
        <w:rPr>
          <w:rFonts w:cs="Arial"/>
          <w:bCs/>
          <w:szCs w:val="28"/>
        </w:rPr>
        <w:t xml:space="preserve">This change is needed to create clarity and consistency within the </w:t>
      </w:r>
      <w:r w:rsidR="000B4B90">
        <w:rPr>
          <w:rFonts w:cs="Arial"/>
          <w:bCs/>
          <w:szCs w:val="28"/>
        </w:rPr>
        <w:t>r</w:t>
      </w:r>
      <w:r w:rsidR="000D7EFB">
        <w:rPr>
          <w:rFonts w:cs="Arial"/>
          <w:bCs/>
          <w:szCs w:val="28"/>
        </w:rPr>
        <w:t xml:space="preserve">egulations so that there are not two regulations within </w:t>
      </w:r>
      <w:r w:rsidR="000B4B90">
        <w:rPr>
          <w:rFonts w:cs="Arial"/>
          <w:bCs/>
          <w:szCs w:val="28"/>
        </w:rPr>
        <w:t>C</w:t>
      </w:r>
      <w:r w:rsidR="000D7EFB">
        <w:rPr>
          <w:rFonts w:cs="Arial"/>
          <w:bCs/>
          <w:szCs w:val="28"/>
        </w:rPr>
        <w:t xml:space="preserve">hapter </w:t>
      </w:r>
      <w:r w:rsidR="000B4B90">
        <w:rPr>
          <w:rFonts w:cs="Arial"/>
          <w:bCs/>
          <w:szCs w:val="28"/>
        </w:rPr>
        <w:t xml:space="preserve">3 of Title 9 in the CCRs </w:t>
      </w:r>
      <w:r w:rsidR="000D7EFB">
        <w:rPr>
          <w:rFonts w:cs="Arial"/>
          <w:bCs/>
          <w:szCs w:val="28"/>
        </w:rPr>
        <w:t>with the same title of “Maintenance”. The added language delineates that the maintenance discussed within the regulation is provided to an eligible individual by the Department and is not merely a definition of maintenance.</w:t>
      </w:r>
    </w:p>
    <w:p w14:paraId="672EC347" w14:textId="77777777" w:rsidR="000B4B90" w:rsidRDefault="000B4B90" w:rsidP="000B5C4B">
      <w:pPr>
        <w:pStyle w:val="BodyText"/>
        <w:spacing w:line="240" w:lineRule="auto"/>
        <w:rPr>
          <w:rFonts w:cs="Arial"/>
          <w:szCs w:val="28"/>
          <w:u w:val="single"/>
        </w:rPr>
      </w:pPr>
    </w:p>
    <w:p w14:paraId="2D347976" w14:textId="64F6E861" w:rsidR="00D40267" w:rsidRPr="00530E74" w:rsidRDefault="00530E74" w:rsidP="004952AD">
      <w:pPr>
        <w:pStyle w:val="BodyText"/>
        <w:spacing w:line="240" w:lineRule="auto"/>
        <w:rPr>
          <w:rFonts w:cs="Arial"/>
          <w:bCs/>
          <w:szCs w:val="28"/>
        </w:rPr>
      </w:pPr>
      <w:r w:rsidRPr="00530E74">
        <w:rPr>
          <w:rFonts w:cs="Arial"/>
          <w:bCs/>
          <w:szCs w:val="28"/>
          <w:u w:val="single"/>
        </w:rPr>
        <w:t>Purpose:</w:t>
      </w:r>
      <w:r>
        <w:rPr>
          <w:rFonts w:cs="Arial"/>
          <w:bCs/>
          <w:szCs w:val="28"/>
        </w:rPr>
        <w:t xml:space="preserve"> Deleting </w:t>
      </w:r>
      <w:r w:rsidR="003B2717">
        <w:rPr>
          <w:rFonts w:cs="Arial"/>
          <w:bCs/>
          <w:szCs w:val="28"/>
        </w:rPr>
        <w:t>sub</w:t>
      </w:r>
      <w:r>
        <w:rPr>
          <w:rFonts w:cs="Arial"/>
          <w:bCs/>
          <w:szCs w:val="28"/>
        </w:rPr>
        <w:t xml:space="preserve">section (b) </w:t>
      </w:r>
      <w:r w:rsidR="003B2717">
        <w:rPr>
          <w:rFonts w:cs="Arial"/>
          <w:bCs/>
          <w:szCs w:val="28"/>
        </w:rPr>
        <w:t xml:space="preserve">of </w:t>
      </w:r>
      <w:r w:rsidR="003B2717" w:rsidRPr="006C6603">
        <w:rPr>
          <w:rFonts w:cs="Arial"/>
          <w:szCs w:val="28"/>
          <w:u w:val="single"/>
        </w:rPr>
        <w:t>§</w:t>
      </w:r>
      <w:r w:rsidR="003B2717">
        <w:rPr>
          <w:rFonts w:cs="Arial"/>
          <w:szCs w:val="28"/>
          <w:u w:val="single"/>
        </w:rPr>
        <w:t xml:space="preserve"> 7177 </w:t>
      </w:r>
      <w:r w:rsidR="000B4B90">
        <w:rPr>
          <w:rFonts w:cs="Arial"/>
          <w:bCs/>
          <w:szCs w:val="28"/>
        </w:rPr>
        <w:t>allows</w:t>
      </w:r>
      <w:r>
        <w:rPr>
          <w:rFonts w:cs="Arial"/>
          <w:bCs/>
          <w:szCs w:val="28"/>
        </w:rPr>
        <w:t xml:space="preserve"> the potential </w:t>
      </w:r>
      <w:r w:rsidR="003B2717">
        <w:rPr>
          <w:rFonts w:cs="Arial"/>
          <w:bCs/>
          <w:szCs w:val="28"/>
        </w:rPr>
        <w:t>for</w:t>
      </w:r>
      <w:r>
        <w:rPr>
          <w:rFonts w:cs="Arial"/>
          <w:bCs/>
          <w:szCs w:val="28"/>
        </w:rPr>
        <w:t xml:space="preserve"> the Department </w:t>
      </w:r>
      <w:r w:rsidR="00716F4F">
        <w:rPr>
          <w:rFonts w:cs="Arial"/>
          <w:bCs/>
          <w:szCs w:val="28"/>
        </w:rPr>
        <w:t>to provide</w:t>
      </w:r>
      <w:r>
        <w:rPr>
          <w:rFonts w:cs="Arial"/>
          <w:bCs/>
          <w:szCs w:val="28"/>
        </w:rPr>
        <w:t xml:space="preserve"> maintenance for </w:t>
      </w:r>
      <w:r w:rsidR="00362F95">
        <w:rPr>
          <w:rFonts w:cs="Arial"/>
          <w:bCs/>
          <w:szCs w:val="28"/>
        </w:rPr>
        <w:t xml:space="preserve">what could be characterized as </w:t>
      </w:r>
      <w:r>
        <w:rPr>
          <w:rFonts w:cs="Arial"/>
          <w:bCs/>
          <w:szCs w:val="28"/>
        </w:rPr>
        <w:t>basic living expenses</w:t>
      </w:r>
      <w:r w:rsidR="00D70282">
        <w:rPr>
          <w:rFonts w:cs="Arial"/>
          <w:bCs/>
          <w:szCs w:val="28"/>
        </w:rPr>
        <w:t xml:space="preserve">, </w:t>
      </w:r>
      <w:r w:rsidR="00D1402E">
        <w:rPr>
          <w:rFonts w:cs="Arial"/>
          <w:bCs/>
          <w:szCs w:val="28"/>
        </w:rPr>
        <w:t>though</w:t>
      </w:r>
      <w:r w:rsidR="00D70282">
        <w:rPr>
          <w:rFonts w:cs="Arial"/>
          <w:bCs/>
          <w:szCs w:val="28"/>
        </w:rPr>
        <w:t xml:space="preserve"> regulated,</w:t>
      </w:r>
      <w:r>
        <w:rPr>
          <w:rFonts w:cs="Arial"/>
          <w:bCs/>
          <w:szCs w:val="28"/>
        </w:rPr>
        <w:t xml:space="preserve"> since the </w:t>
      </w:r>
      <w:r w:rsidR="00D70282">
        <w:rPr>
          <w:rFonts w:cs="Arial"/>
          <w:bCs/>
          <w:szCs w:val="28"/>
        </w:rPr>
        <w:t xml:space="preserve">sentence in this </w:t>
      </w:r>
      <w:r>
        <w:rPr>
          <w:rFonts w:cs="Arial"/>
          <w:bCs/>
          <w:szCs w:val="28"/>
        </w:rPr>
        <w:t xml:space="preserve">section </w:t>
      </w:r>
      <w:r w:rsidR="00D70282">
        <w:rPr>
          <w:rFonts w:cs="Arial"/>
          <w:bCs/>
          <w:szCs w:val="28"/>
        </w:rPr>
        <w:t xml:space="preserve">seems to </w:t>
      </w:r>
      <w:r w:rsidR="00444EA4">
        <w:rPr>
          <w:rFonts w:cs="Arial"/>
          <w:bCs/>
          <w:szCs w:val="28"/>
        </w:rPr>
        <w:t xml:space="preserve">categorically </w:t>
      </w:r>
      <w:r>
        <w:rPr>
          <w:rFonts w:cs="Arial"/>
          <w:bCs/>
          <w:szCs w:val="28"/>
        </w:rPr>
        <w:t>prohibit</w:t>
      </w:r>
      <w:r w:rsidR="00444EA4">
        <w:rPr>
          <w:rFonts w:cs="Arial"/>
          <w:bCs/>
          <w:szCs w:val="28"/>
        </w:rPr>
        <w:t xml:space="preserve"> support for basic living expenses</w:t>
      </w:r>
      <w:r>
        <w:rPr>
          <w:rFonts w:cs="Arial"/>
          <w:bCs/>
          <w:szCs w:val="28"/>
        </w:rPr>
        <w:t>. It also delete</w:t>
      </w:r>
      <w:r w:rsidR="00716F4F">
        <w:rPr>
          <w:rFonts w:cs="Arial"/>
          <w:bCs/>
          <w:szCs w:val="28"/>
        </w:rPr>
        <w:t>s</w:t>
      </w:r>
      <w:r>
        <w:rPr>
          <w:rFonts w:cs="Arial"/>
          <w:bCs/>
          <w:szCs w:val="28"/>
        </w:rPr>
        <w:t xml:space="preserve"> the conditional award of “short-term emergency</w:t>
      </w:r>
      <w:r w:rsidR="00716F4F">
        <w:rPr>
          <w:rFonts w:cs="Arial"/>
          <w:bCs/>
          <w:szCs w:val="28"/>
        </w:rPr>
        <w:t xml:space="preserve"> </w:t>
      </w:r>
      <w:r>
        <w:rPr>
          <w:rFonts w:cs="Arial"/>
          <w:bCs/>
          <w:szCs w:val="28"/>
        </w:rPr>
        <w:t>a</w:t>
      </w:r>
      <w:r w:rsidRPr="00530E74">
        <w:rPr>
          <w:rFonts w:cs="Arial"/>
          <w:bCs/>
          <w:szCs w:val="28"/>
        </w:rPr>
        <w:t>ssistance</w:t>
      </w:r>
      <w:r w:rsidR="00552F60">
        <w:rPr>
          <w:rFonts w:cs="Arial"/>
          <w:bCs/>
          <w:szCs w:val="28"/>
        </w:rPr>
        <w:t>,</w:t>
      </w:r>
      <w:r w:rsidRPr="00530E74">
        <w:rPr>
          <w:rFonts w:cs="Arial"/>
          <w:bCs/>
          <w:szCs w:val="28"/>
        </w:rPr>
        <w:t>”</w:t>
      </w:r>
      <w:r w:rsidR="002C2A50">
        <w:rPr>
          <w:rFonts w:cs="Arial"/>
          <w:bCs/>
          <w:szCs w:val="28"/>
        </w:rPr>
        <w:t xml:space="preserve"> </w:t>
      </w:r>
      <w:r w:rsidR="00764A7C">
        <w:rPr>
          <w:rFonts w:cs="Arial"/>
          <w:bCs/>
          <w:szCs w:val="28"/>
        </w:rPr>
        <w:t xml:space="preserve">as the “short-term” distinction is not </w:t>
      </w:r>
      <w:r w:rsidR="00954740">
        <w:rPr>
          <w:rFonts w:cs="Arial"/>
          <w:bCs/>
          <w:szCs w:val="28"/>
        </w:rPr>
        <w:t>definitive</w:t>
      </w:r>
      <w:r w:rsidR="00764A7C">
        <w:rPr>
          <w:rFonts w:cs="Arial"/>
          <w:bCs/>
          <w:szCs w:val="28"/>
        </w:rPr>
        <w:t xml:space="preserve"> </w:t>
      </w:r>
      <w:r w:rsidR="00954740">
        <w:rPr>
          <w:rFonts w:cs="Arial"/>
          <w:bCs/>
          <w:szCs w:val="28"/>
        </w:rPr>
        <w:t xml:space="preserve">per the </w:t>
      </w:r>
      <w:r w:rsidR="00954740" w:rsidRPr="00E33471">
        <w:rPr>
          <w:rFonts w:cs="Arial"/>
          <w:bCs/>
          <w:i/>
          <w:iCs/>
          <w:szCs w:val="28"/>
        </w:rPr>
        <w:t>Doe</w:t>
      </w:r>
      <w:r w:rsidR="00954740">
        <w:rPr>
          <w:rFonts w:cs="Arial"/>
          <w:bCs/>
          <w:szCs w:val="28"/>
        </w:rPr>
        <w:t xml:space="preserve"> decision</w:t>
      </w:r>
      <w:r>
        <w:rPr>
          <w:rFonts w:cs="Arial"/>
          <w:bCs/>
          <w:szCs w:val="28"/>
        </w:rPr>
        <w:t>.</w:t>
      </w:r>
      <w:r w:rsidR="008F6ED9">
        <w:rPr>
          <w:rFonts w:cs="Arial"/>
          <w:bCs/>
          <w:szCs w:val="28"/>
        </w:rPr>
        <w:t xml:space="preserve"> Accordingly, subsection (c) was renumbered to (b</w:t>
      </w:r>
      <w:r w:rsidR="00AC535E" w:rsidRPr="00AC535E">
        <w:rPr>
          <w:rFonts w:cs="Arial"/>
          <w:bCs/>
          <w:szCs w:val="28"/>
        </w:rPr>
        <w:t>),</w:t>
      </w:r>
      <w:r w:rsidR="00872288" w:rsidRPr="00AC535E">
        <w:rPr>
          <w:rFonts w:cs="Arial"/>
          <w:bCs/>
          <w:szCs w:val="28"/>
        </w:rPr>
        <w:t xml:space="preserve"> </w:t>
      </w:r>
      <w:r w:rsidR="00872288">
        <w:rPr>
          <w:rFonts w:cs="Arial"/>
          <w:bCs/>
          <w:szCs w:val="28"/>
        </w:rPr>
        <w:t xml:space="preserve">and </w:t>
      </w:r>
      <w:r w:rsidR="00C05A46">
        <w:rPr>
          <w:rFonts w:cs="Arial"/>
          <w:bCs/>
          <w:szCs w:val="28"/>
        </w:rPr>
        <w:t>the rest of the subdivisions were renumbered accordingly</w:t>
      </w:r>
      <w:r w:rsidR="008F6ED9">
        <w:rPr>
          <w:rFonts w:cs="Arial"/>
          <w:bCs/>
          <w:szCs w:val="28"/>
        </w:rPr>
        <w:t>.</w:t>
      </w:r>
    </w:p>
    <w:p w14:paraId="2FF7DEE8" w14:textId="77777777" w:rsidR="00530E74" w:rsidRDefault="00530E74" w:rsidP="004952AD">
      <w:pPr>
        <w:pStyle w:val="BodyText"/>
        <w:spacing w:line="240" w:lineRule="auto"/>
        <w:rPr>
          <w:rFonts w:cs="Arial"/>
          <w:bCs/>
          <w:szCs w:val="28"/>
        </w:rPr>
      </w:pPr>
    </w:p>
    <w:p w14:paraId="65A78FCE" w14:textId="01B8924B" w:rsidR="00530E74" w:rsidRDefault="00530E74" w:rsidP="004952AD">
      <w:pPr>
        <w:pStyle w:val="BodyText"/>
        <w:spacing w:line="240" w:lineRule="auto"/>
        <w:rPr>
          <w:rFonts w:cs="Arial"/>
          <w:bCs/>
          <w:szCs w:val="28"/>
        </w:rPr>
      </w:pPr>
      <w:r w:rsidRPr="00530E74">
        <w:rPr>
          <w:rFonts w:cs="Arial"/>
          <w:bCs/>
          <w:szCs w:val="28"/>
          <w:u w:val="single"/>
        </w:rPr>
        <w:t>Necessity:</w:t>
      </w:r>
      <w:r>
        <w:rPr>
          <w:rFonts w:cs="Arial"/>
          <w:bCs/>
          <w:szCs w:val="28"/>
          <w:u w:val="single"/>
        </w:rPr>
        <w:t xml:space="preserve"> </w:t>
      </w:r>
      <w:r w:rsidR="008F6ED9" w:rsidRPr="008F6ED9">
        <w:rPr>
          <w:rFonts w:cs="Arial"/>
          <w:bCs/>
          <w:szCs w:val="28"/>
        </w:rPr>
        <w:t xml:space="preserve">It is necessary to delete this </w:t>
      </w:r>
      <w:r w:rsidR="002A18C1">
        <w:rPr>
          <w:rFonts w:cs="Arial"/>
          <w:bCs/>
          <w:szCs w:val="28"/>
        </w:rPr>
        <w:t>sub</w:t>
      </w:r>
      <w:r w:rsidR="008F6ED9" w:rsidRPr="008F6ED9">
        <w:rPr>
          <w:rFonts w:cs="Arial"/>
          <w:bCs/>
          <w:szCs w:val="28"/>
        </w:rPr>
        <w:t xml:space="preserve">section because it </w:t>
      </w:r>
      <w:r w:rsidR="000462DF">
        <w:rPr>
          <w:rFonts w:cs="Arial"/>
          <w:bCs/>
          <w:szCs w:val="28"/>
        </w:rPr>
        <w:t xml:space="preserve">could be seen to create a categorical distinction that was </w:t>
      </w:r>
      <w:r w:rsidR="00B83EB3">
        <w:rPr>
          <w:rFonts w:cs="Arial"/>
          <w:bCs/>
          <w:szCs w:val="28"/>
        </w:rPr>
        <w:t xml:space="preserve">invalidated by the </w:t>
      </w:r>
      <w:r w:rsidR="00B83EB3" w:rsidRPr="00E33471">
        <w:rPr>
          <w:rFonts w:cs="Arial"/>
          <w:bCs/>
          <w:i/>
          <w:iCs/>
          <w:szCs w:val="28"/>
        </w:rPr>
        <w:t>Doe</w:t>
      </w:r>
      <w:r w:rsidR="00B83EB3">
        <w:rPr>
          <w:rFonts w:cs="Arial"/>
          <w:bCs/>
          <w:szCs w:val="28"/>
        </w:rPr>
        <w:t xml:space="preserve"> decision</w:t>
      </w:r>
      <w:r w:rsidR="008F6ED9" w:rsidRPr="008F6ED9">
        <w:rPr>
          <w:rFonts w:cs="Arial"/>
          <w:bCs/>
          <w:szCs w:val="28"/>
        </w:rPr>
        <w:t>.</w:t>
      </w:r>
      <w:r w:rsidR="008F6ED9">
        <w:rPr>
          <w:rFonts w:cs="Arial"/>
          <w:bCs/>
          <w:szCs w:val="28"/>
        </w:rPr>
        <w:t xml:space="preserve"> The Department </w:t>
      </w:r>
      <w:r w:rsidR="0076560D">
        <w:rPr>
          <w:rFonts w:cs="Arial"/>
          <w:bCs/>
          <w:szCs w:val="28"/>
        </w:rPr>
        <w:t xml:space="preserve">also </w:t>
      </w:r>
      <w:r w:rsidR="008F6ED9">
        <w:rPr>
          <w:rFonts w:cs="Arial"/>
          <w:bCs/>
          <w:szCs w:val="28"/>
        </w:rPr>
        <w:t>strives for clarity and consistency throughout its regulations and to maintain such, this section must be deleted. Subsection (c) must be renumbered to subsection (b) since it was deleted. This is necessary to avoid confusion for the reader.</w:t>
      </w:r>
    </w:p>
    <w:p w14:paraId="57D0C55F" w14:textId="77777777" w:rsidR="00530E74" w:rsidRPr="008F6ED9" w:rsidRDefault="00530E74" w:rsidP="004952AD">
      <w:pPr>
        <w:pStyle w:val="BodyText"/>
        <w:spacing w:line="240" w:lineRule="auto"/>
        <w:rPr>
          <w:rFonts w:cs="Arial"/>
          <w:b/>
          <w:szCs w:val="28"/>
        </w:rPr>
      </w:pPr>
    </w:p>
    <w:p w14:paraId="35AAB0B9" w14:textId="77777777" w:rsidR="00B9521C" w:rsidRPr="00B9521C" w:rsidRDefault="00B9521C" w:rsidP="00421439">
      <w:pPr>
        <w:pStyle w:val="Heading1"/>
        <w:spacing w:line="276" w:lineRule="auto"/>
      </w:pPr>
      <w:r w:rsidRPr="00B9521C">
        <w:t>OTHER</w:t>
      </w:r>
      <w:r w:rsidRPr="00B9521C">
        <w:rPr>
          <w:spacing w:val="-2"/>
        </w:rPr>
        <w:t xml:space="preserve"> </w:t>
      </w:r>
      <w:r w:rsidRPr="00B9521C">
        <w:t>REQUIRED</w:t>
      </w:r>
      <w:r w:rsidRPr="00B9521C">
        <w:rPr>
          <w:spacing w:val="-2"/>
        </w:rPr>
        <w:t xml:space="preserve"> </w:t>
      </w:r>
      <w:r w:rsidRPr="00B9521C">
        <w:t>SHOWINGS</w:t>
      </w:r>
      <w:r w:rsidRPr="00B9521C">
        <w:rPr>
          <w:spacing w:val="-1"/>
        </w:rPr>
        <w:t xml:space="preserve"> </w:t>
      </w:r>
      <w:r w:rsidRPr="00B9521C">
        <w:t>–</w:t>
      </w:r>
      <w:r w:rsidRPr="00B9521C">
        <w:rPr>
          <w:spacing w:val="-2"/>
        </w:rPr>
        <w:t xml:space="preserve"> </w:t>
      </w:r>
      <w:r w:rsidRPr="00B9521C">
        <w:t>GOVERNMENT</w:t>
      </w:r>
      <w:r w:rsidRPr="00B9521C">
        <w:rPr>
          <w:spacing w:val="-1"/>
        </w:rPr>
        <w:t xml:space="preserve"> </w:t>
      </w:r>
      <w:r w:rsidRPr="00B9521C">
        <w:t>CODE</w:t>
      </w:r>
      <w:r w:rsidRPr="00B9521C">
        <w:rPr>
          <w:spacing w:val="-2"/>
        </w:rPr>
        <w:t xml:space="preserve"> </w:t>
      </w:r>
      <w:r w:rsidRPr="00B9521C">
        <w:t>§</w:t>
      </w:r>
      <w:r w:rsidRPr="00B9521C">
        <w:rPr>
          <w:spacing w:val="-1"/>
        </w:rPr>
        <w:t xml:space="preserve"> </w:t>
      </w:r>
      <w:r w:rsidRPr="00B9521C">
        <w:t>11346.2(b)(2)-</w:t>
      </w:r>
      <w:r w:rsidRPr="00B9521C">
        <w:rPr>
          <w:spacing w:val="-5"/>
        </w:rPr>
        <w:t>(5)</w:t>
      </w:r>
    </w:p>
    <w:p w14:paraId="1EB8DC08" w14:textId="77777777" w:rsidR="00B9521C" w:rsidRDefault="00B9521C" w:rsidP="0045534C">
      <w:pPr>
        <w:pStyle w:val="BodyText"/>
        <w:spacing w:line="240" w:lineRule="auto"/>
        <w:rPr>
          <w:b/>
          <w:sz w:val="23"/>
        </w:rPr>
      </w:pPr>
    </w:p>
    <w:p w14:paraId="31D577C2" w14:textId="22033959" w:rsidR="00B9521C" w:rsidRPr="00B9521C" w:rsidRDefault="00B9521C" w:rsidP="0045534C">
      <w:pPr>
        <w:pStyle w:val="BodyText"/>
        <w:spacing w:line="240" w:lineRule="auto"/>
        <w:rPr>
          <w:spacing w:val="-2"/>
        </w:rPr>
      </w:pPr>
      <w:r>
        <w:rPr>
          <w:u w:val="single"/>
        </w:rPr>
        <w:t>Studies,</w:t>
      </w:r>
      <w:r>
        <w:rPr>
          <w:spacing w:val="-6"/>
          <w:u w:val="single"/>
        </w:rPr>
        <w:t xml:space="preserve"> </w:t>
      </w:r>
      <w:r>
        <w:rPr>
          <w:u w:val="single"/>
        </w:rPr>
        <w:t>Reports,</w:t>
      </w:r>
      <w:r>
        <w:rPr>
          <w:spacing w:val="-3"/>
          <w:u w:val="single"/>
        </w:rPr>
        <w:t xml:space="preserve"> </w:t>
      </w:r>
      <w:r>
        <w:rPr>
          <w:u w:val="single"/>
        </w:rPr>
        <w:t>or</w:t>
      </w:r>
      <w:r>
        <w:rPr>
          <w:spacing w:val="-2"/>
          <w:u w:val="single"/>
        </w:rPr>
        <w:t xml:space="preserve"> </w:t>
      </w:r>
      <w:r>
        <w:rPr>
          <w:u w:val="single"/>
        </w:rPr>
        <w:t>Documents</w:t>
      </w:r>
      <w:r>
        <w:rPr>
          <w:spacing w:val="-2"/>
          <w:u w:val="single"/>
        </w:rPr>
        <w:t xml:space="preserve"> </w:t>
      </w:r>
      <w:r>
        <w:rPr>
          <w:u w:val="single"/>
        </w:rPr>
        <w:t>Relied</w:t>
      </w:r>
      <w:r>
        <w:rPr>
          <w:spacing w:val="-1"/>
          <w:u w:val="single"/>
        </w:rPr>
        <w:t xml:space="preserve"> </w:t>
      </w:r>
      <w:r>
        <w:rPr>
          <w:u w:val="single"/>
        </w:rPr>
        <w:t>Upon</w:t>
      </w:r>
      <w:r>
        <w:rPr>
          <w:spacing w:val="-2"/>
          <w:u w:val="single"/>
        </w:rPr>
        <w:t xml:space="preserve"> </w:t>
      </w:r>
      <w:r>
        <w:rPr>
          <w:u w:val="single"/>
        </w:rPr>
        <w:t>–</w:t>
      </w:r>
      <w:r>
        <w:rPr>
          <w:spacing w:val="-2"/>
          <w:u w:val="single"/>
        </w:rPr>
        <w:t xml:space="preserve"> </w:t>
      </w:r>
      <w:r>
        <w:rPr>
          <w:u w:val="single"/>
        </w:rPr>
        <w:t>Gov.</w:t>
      </w:r>
      <w:r>
        <w:rPr>
          <w:spacing w:val="-4"/>
          <w:u w:val="single"/>
        </w:rPr>
        <w:t xml:space="preserve"> </w:t>
      </w:r>
      <w:r>
        <w:rPr>
          <w:u w:val="single"/>
        </w:rPr>
        <w:t>Code</w:t>
      </w:r>
      <w:r>
        <w:rPr>
          <w:spacing w:val="-4"/>
          <w:u w:val="single"/>
        </w:rPr>
        <w:t xml:space="preserve"> </w:t>
      </w:r>
      <w:r>
        <w:rPr>
          <w:u w:val="single"/>
        </w:rPr>
        <w:t>§ 11346.2(b)(2):</w:t>
      </w:r>
      <w:r>
        <w:rPr>
          <w:spacing w:val="-1"/>
        </w:rPr>
        <w:t xml:space="preserve"> </w:t>
      </w:r>
      <w:r w:rsidRPr="00B9521C">
        <w:rPr>
          <w:rFonts w:cs="Arial"/>
          <w:szCs w:val="28"/>
        </w:rPr>
        <w:t>The Department has relied upon case</w:t>
      </w:r>
      <w:r>
        <w:rPr>
          <w:rFonts w:cs="Arial"/>
          <w:szCs w:val="28"/>
        </w:rPr>
        <w:t xml:space="preserve">, </w:t>
      </w:r>
      <w:r w:rsidRPr="00B9521C">
        <w:rPr>
          <w:rFonts w:eastAsia="Aptos" w:cs="Arial"/>
          <w:i/>
          <w:iCs/>
          <w:kern w:val="2"/>
          <w:szCs w:val="28"/>
          <w14:ligatures w14:val="standardContextual"/>
        </w:rPr>
        <w:t xml:space="preserve">Doe v. </w:t>
      </w:r>
      <w:proofErr w:type="spellStart"/>
      <w:r w:rsidRPr="00B9521C">
        <w:rPr>
          <w:rFonts w:eastAsia="Aptos" w:cs="Arial"/>
          <w:i/>
          <w:iCs/>
          <w:kern w:val="2"/>
          <w:szCs w:val="28"/>
          <w14:ligatures w14:val="standardContextual"/>
        </w:rPr>
        <w:t>Dep't</w:t>
      </w:r>
      <w:proofErr w:type="spellEnd"/>
      <w:r w:rsidRPr="00B9521C">
        <w:rPr>
          <w:rFonts w:eastAsia="Aptos" w:cs="Arial"/>
          <w:i/>
          <w:iCs/>
          <w:kern w:val="2"/>
          <w:szCs w:val="28"/>
          <w14:ligatures w14:val="standardContextual"/>
        </w:rPr>
        <w:t xml:space="preserve"> of Rehab</w:t>
      </w:r>
      <w:r w:rsidRPr="00B9521C">
        <w:rPr>
          <w:rFonts w:eastAsia="Aptos" w:cs="Arial"/>
          <w:kern w:val="2"/>
          <w:szCs w:val="28"/>
          <w14:ligatures w14:val="standardContextual"/>
        </w:rPr>
        <w:t xml:space="preserve">., 103 Cal. App. 5th 1327, 324 Cal. </w:t>
      </w:r>
      <w:proofErr w:type="spellStart"/>
      <w:r w:rsidRPr="00B9521C">
        <w:rPr>
          <w:rFonts w:eastAsia="Aptos" w:cs="Arial"/>
          <w:kern w:val="2"/>
          <w:szCs w:val="28"/>
          <w14:ligatures w14:val="standardContextual"/>
        </w:rPr>
        <w:t>Rptr</w:t>
      </w:r>
      <w:proofErr w:type="spellEnd"/>
      <w:r w:rsidRPr="00B9521C">
        <w:rPr>
          <w:rFonts w:eastAsia="Aptos" w:cs="Arial"/>
          <w:kern w:val="2"/>
          <w:szCs w:val="28"/>
          <w14:ligatures w14:val="standardContextual"/>
        </w:rPr>
        <w:t>. 3d 150, 152 (2024).</w:t>
      </w:r>
    </w:p>
    <w:p w14:paraId="081C5EBC" w14:textId="77777777" w:rsidR="00B9521C" w:rsidRDefault="00B9521C" w:rsidP="0045534C">
      <w:pPr>
        <w:pStyle w:val="BodyText"/>
        <w:spacing w:line="240" w:lineRule="auto"/>
      </w:pPr>
    </w:p>
    <w:p w14:paraId="2CCDD137" w14:textId="77777777" w:rsidR="00B9521C" w:rsidRDefault="00B9521C" w:rsidP="0045534C">
      <w:pPr>
        <w:pStyle w:val="BodyText"/>
        <w:spacing w:line="240" w:lineRule="auto"/>
      </w:pPr>
      <w:r>
        <w:rPr>
          <w:u w:val="single"/>
        </w:rPr>
        <w:t>Reasonable</w:t>
      </w:r>
      <w:r>
        <w:rPr>
          <w:spacing w:val="-4"/>
          <w:u w:val="single"/>
        </w:rPr>
        <w:t xml:space="preserve"> </w:t>
      </w:r>
      <w:r>
        <w:rPr>
          <w:u w:val="single"/>
        </w:rPr>
        <w:t>Alternatives</w:t>
      </w:r>
      <w:r>
        <w:rPr>
          <w:spacing w:val="-3"/>
          <w:u w:val="single"/>
        </w:rPr>
        <w:t xml:space="preserve"> </w:t>
      </w:r>
      <w:r>
        <w:rPr>
          <w:u w:val="single"/>
        </w:rPr>
        <w:t>That</w:t>
      </w:r>
      <w:r>
        <w:rPr>
          <w:spacing w:val="-6"/>
          <w:u w:val="single"/>
        </w:rPr>
        <w:t xml:space="preserve"> </w:t>
      </w:r>
      <w:r>
        <w:rPr>
          <w:u w:val="single"/>
        </w:rPr>
        <w:t>Would</w:t>
      </w:r>
      <w:r>
        <w:rPr>
          <w:spacing w:val="-3"/>
          <w:u w:val="single"/>
        </w:rPr>
        <w:t xml:space="preserve"> </w:t>
      </w:r>
      <w:r>
        <w:rPr>
          <w:u w:val="single"/>
        </w:rPr>
        <w:t>Lessen</w:t>
      </w:r>
      <w:r>
        <w:rPr>
          <w:spacing w:val="-4"/>
          <w:u w:val="single"/>
        </w:rPr>
        <w:t xml:space="preserve"> </w:t>
      </w:r>
      <w:r>
        <w:rPr>
          <w:u w:val="single"/>
        </w:rPr>
        <w:t>the</w:t>
      </w:r>
      <w:r>
        <w:rPr>
          <w:spacing w:val="-4"/>
          <w:u w:val="single"/>
        </w:rPr>
        <w:t xml:space="preserve"> </w:t>
      </w:r>
      <w:r>
        <w:rPr>
          <w:u w:val="single"/>
        </w:rPr>
        <w:t>Impact</w:t>
      </w:r>
      <w:r>
        <w:rPr>
          <w:spacing w:val="-6"/>
          <w:u w:val="single"/>
        </w:rPr>
        <w:t xml:space="preserve"> </w:t>
      </w:r>
      <w:r>
        <w:rPr>
          <w:u w:val="single"/>
        </w:rPr>
        <w:t>on</w:t>
      </w:r>
      <w:r>
        <w:rPr>
          <w:spacing w:val="-6"/>
          <w:u w:val="single"/>
        </w:rPr>
        <w:t xml:space="preserve"> </w:t>
      </w:r>
      <w:r>
        <w:rPr>
          <w:u w:val="single"/>
        </w:rPr>
        <w:t>Small</w:t>
      </w:r>
      <w:r>
        <w:rPr>
          <w:spacing w:val="-4"/>
          <w:u w:val="single"/>
        </w:rPr>
        <w:t xml:space="preserve"> </w:t>
      </w:r>
      <w:r>
        <w:rPr>
          <w:u w:val="single"/>
        </w:rPr>
        <w:t>Businesses-</w:t>
      </w:r>
      <w:r>
        <w:t xml:space="preserve"> </w:t>
      </w:r>
      <w:r>
        <w:rPr>
          <w:u w:val="single"/>
        </w:rPr>
        <w:t>Government Code § 11346.2(b)(3)(B):</w:t>
      </w:r>
      <w:r>
        <w:t xml:space="preserve"> None.</w:t>
      </w:r>
    </w:p>
    <w:p w14:paraId="6EDFF29C" w14:textId="77777777" w:rsidR="00B9521C" w:rsidRDefault="00B9521C" w:rsidP="0045534C">
      <w:pPr>
        <w:pStyle w:val="BodyText"/>
        <w:spacing w:line="240" w:lineRule="auto"/>
      </w:pPr>
    </w:p>
    <w:p w14:paraId="206B3D64" w14:textId="37496E52" w:rsidR="00B9521C" w:rsidRDefault="00B9521C" w:rsidP="0045534C">
      <w:pPr>
        <w:pStyle w:val="BodyText"/>
        <w:spacing w:line="240" w:lineRule="auto"/>
      </w:pPr>
      <w:r>
        <w:rPr>
          <w:u w:val="single"/>
        </w:rPr>
        <w:t>Reasonable</w:t>
      </w:r>
      <w:r>
        <w:rPr>
          <w:spacing w:val="-4"/>
          <w:u w:val="single"/>
        </w:rPr>
        <w:t xml:space="preserve"> </w:t>
      </w:r>
      <w:r>
        <w:rPr>
          <w:u w:val="single"/>
        </w:rPr>
        <w:t>Alternatives</w:t>
      </w:r>
      <w:r>
        <w:rPr>
          <w:spacing w:val="-3"/>
          <w:u w:val="single"/>
        </w:rPr>
        <w:t xml:space="preserve"> </w:t>
      </w:r>
      <w:r>
        <w:rPr>
          <w:u w:val="single"/>
        </w:rPr>
        <w:t>That</w:t>
      </w:r>
      <w:r>
        <w:rPr>
          <w:spacing w:val="-6"/>
          <w:u w:val="single"/>
        </w:rPr>
        <w:t xml:space="preserve"> </w:t>
      </w:r>
      <w:r>
        <w:rPr>
          <w:u w:val="single"/>
        </w:rPr>
        <w:t>Would</w:t>
      </w:r>
      <w:r>
        <w:rPr>
          <w:spacing w:val="-3"/>
          <w:u w:val="single"/>
        </w:rPr>
        <w:t xml:space="preserve"> </w:t>
      </w:r>
      <w:r>
        <w:rPr>
          <w:u w:val="single"/>
        </w:rPr>
        <w:t>Be</w:t>
      </w:r>
      <w:r>
        <w:rPr>
          <w:spacing w:val="-4"/>
          <w:u w:val="single"/>
        </w:rPr>
        <w:t xml:space="preserve"> </w:t>
      </w:r>
      <w:r>
        <w:rPr>
          <w:u w:val="single"/>
        </w:rPr>
        <w:t>Less</w:t>
      </w:r>
      <w:r>
        <w:rPr>
          <w:spacing w:val="-3"/>
          <w:u w:val="single"/>
        </w:rPr>
        <w:t xml:space="preserve"> </w:t>
      </w:r>
      <w:r>
        <w:rPr>
          <w:u w:val="single"/>
        </w:rPr>
        <w:t>Burdensome</w:t>
      </w:r>
      <w:r>
        <w:rPr>
          <w:spacing w:val="-4"/>
          <w:u w:val="single"/>
        </w:rPr>
        <w:t xml:space="preserve"> </w:t>
      </w:r>
      <w:r>
        <w:rPr>
          <w:u w:val="single"/>
        </w:rPr>
        <w:t>and</w:t>
      </w:r>
      <w:r>
        <w:rPr>
          <w:spacing w:val="-5"/>
          <w:u w:val="single"/>
        </w:rPr>
        <w:t xml:space="preserve"> </w:t>
      </w:r>
      <w:r>
        <w:rPr>
          <w:u w:val="single"/>
        </w:rPr>
        <w:t>Equally</w:t>
      </w:r>
      <w:r>
        <w:rPr>
          <w:spacing w:val="-3"/>
          <w:u w:val="single"/>
        </w:rPr>
        <w:t xml:space="preserve"> </w:t>
      </w:r>
      <w:r>
        <w:rPr>
          <w:u w:val="single"/>
        </w:rPr>
        <w:t>Effective</w:t>
      </w:r>
      <w:r>
        <w:rPr>
          <w:spacing w:val="-4"/>
          <w:u w:val="single"/>
        </w:rPr>
        <w:t xml:space="preserve"> </w:t>
      </w:r>
      <w:r>
        <w:rPr>
          <w:u w:val="single"/>
        </w:rPr>
        <w:t>–</w:t>
      </w:r>
      <w:r>
        <w:t xml:space="preserve"> </w:t>
      </w:r>
      <w:r>
        <w:rPr>
          <w:u w:val="single"/>
        </w:rPr>
        <w:t>Government Code section 11346.2(b)(4)(A):</w:t>
      </w:r>
      <w:r>
        <w:rPr>
          <w:spacing w:val="40"/>
        </w:rPr>
        <w:t xml:space="preserve"> </w:t>
      </w:r>
      <w:r w:rsidR="00E61357">
        <w:t xml:space="preserve">The Department did consider alternatives such as adding to the maintenance regulation an index of average rental costs by County to establish what would be necessary to pay “in excess” should a consumer have to move from one county to another for VR services. However, the Department rejected this </w:t>
      </w:r>
      <w:r>
        <w:t>alternative</w:t>
      </w:r>
      <w:r w:rsidR="00E61357">
        <w:t xml:space="preserve"> because this would be a substantive change to regulations that </w:t>
      </w:r>
      <w:proofErr w:type="gramStart"/>
      <w:r w:rsidR="00E61357">
        <w:t>is</w:t>
      </w:r>
      <w:proofErr w:type="gramEnd"/>
      <w:r w:rsidR="00E61357">
        <w:t xml:space="preserve"> not mandated by the </w:t>
      </w:r>
      <w:r w:rsidR="00E61357" w:rsidRPr="00E61357">
        <w:rPr>
          <w:i/>
          <w:iCs/>
        </w:rPr>
        <w:t>Doe</w:t>
      </w:r>
      <w:r w:rsidR="00E61357">
        <w:t xml:space="preserve"> decision and at this time, the Department’s goal is merely to conform the regulations to be in line with what the </w:t>
      </w:r>
      <w:r w:rsidR="00E61357" w:rsidRPr="00E61357">
        <w:rPr>
          <w:i/>
          <w:iCs/>
        </w:rPr>
        <w:t xml:space="preserve">Doe </w:t>
      </w:r>
      <w:r w:rsidR="00E61357">
        <w:t>decision allows. As a result, there are no reasonable alternatives that are less burdensome.</w:t>
      </w:r>
    </w:p>
    <w:p w14:paraId="4D1EDC66" w14:textId="77777777" w:rsidR="00B9521C" w:rsidRDefault="00B9521C" w:rsidP="0045534C">
      <w:pPr>
        <w:pStyle w:val="BodyText"/>
        <w:spacing w:before="11" w:line="240" w:lineRule="auto"/>
        <w:rPr>
          <w:sz w:val="23"/>
        </w:rPr>
      </w:pPr>
    </w:p>
    <w:p w14:paraId="3CC43387" w14:textId="77777777" w:rsidR="0045534C" w:rsidRPr="008322F4" w:rsidRDefault="00B9521C" w:rsidP="008322F4">
      <w:pPr>
        <w:rPr>
          <w:rFonts w:ascii="Arial" w:hAnsi="Arial" w:cs="Arial"/>
          <w:b/>
          <w:bCs/>
          <w:sz w:val="28"/>
          <w:szCs w:val="28"/>
        </w:rPr>
      </w:pPr>
      <w:r w:rsidRPr="008322F4">
        <w:rPr>
          <w:rFonts w:ascii="Arial" w:hAnsi="Arial" w:cs="Arial"/>
          <w:sz w:val="28"/>
          <w:szCs w:val="28"/>
          <w:u w:val="single"/>
        </w:rPr>
        <w:t>Evidence Relied Upon to Support the Initial Determination That the Regulation Will</w:t>
      </w:r>
      <w:r w:rsidRPr="008322F4">
        <w:rPr>
          <w:rFonts w:ascii="Arial" w:hAnsi="Arial" w:cs="Arial"/>
          <w:spacing w:val="-4"/>
          <w:sz w:val="28"/>
          <w:szCs w:val="28"/>
          <w:u w:val="single"/>
        </w:rPr>
        <w:t xml:space="preserve"> </w:t>
      </w:r>
      <w:r w:rsidRPr="008322F4">
        <w:rPr>
          <w:rFonts w:ascii="Arial" w:hAnsi="Arial" w:cs="Arial"/>
          <w:sz w:val="28"/>
          <w:szCs w:val="28"/>
          <w:u w:val="single"/>
        </w:rPr>
        <w:t>Not</w:t>
      </w:r>
      <w:r w:rsidRPr="008322F4">
        <w:rPr>
          <w:rFonts w:ascii="Arial" w:hAnsi="Arial" w:cs="Arial"/>
          <w:spacing w:val="-3"/>
          <w:sz w:val="28"/>
          <w:szCs w:val="28"/>
          <w:u w:val="single"/>
        </w:rPr>
        <w:t xml:space="preserve"> </w:t>
      </w:r>
      <w:r w:rsidRPr="008322F4">
        <w:rPr>
          <w:rFonts w:ascii="Arial" w:hAnsi="Arial" w:cs="Arial"/>
          <w:sz w:val="28"/>
          <w:szCs w:val="28"/>
          <w:u w:val="single"/>
        </w:rPr>
        <w:t>Have</w:t>
      </w:r>
      <w:r w:rsidRPr="008322F4">
        <w:rPr>
          <w:rFonts w:ascii="Arial" w:hAnsi="Arial" w:cs="Arial"/>
          <w:spacing w:val="-4"/>
          <w:sz w:val="28"/>
          <w:szCs w:val="28"/>
          <w:u w:val="single"/>
        </w:rPr>
        <w:t xml:space="preserve"> </w:t>
      </w:r>
      <w:r w:rsidRPr="008322F4">
        <w:rPr>
          <w:rFonts w:ascii="Arial" w:hAnsi="Arial" w:cs="Arial"/>
          <w:sz w:val="28"/>
          <w:szCs w:val="28"/>
          <w:u w:val="single"/>
        </w:rPr>
        <w:t>A</w:t>
      </w:r>
      <w:r w:rsidRPr="008322F4">
        <w:rPr>
          <w:rFonts w:ascii="Arial" w:hAnsi="Arial" w:cs="Arial"/>
          <w:spacing w:val="-5"/>
          <w:sz w:val="28"/>
          <w:szCs w:val="28"/>
          <w:u w:val="single"/>
        </w:rPr>
        <w:t xml:space="preserve"> </w:t>
      </w:r>
      <w:r w:rsidRPr="008322F4">
        <w:rPr>
          <w:rFonts w:ascii="Arial" w:hAnsi="Arial" w:cs="Arial"/>
          <w:sz w:val="28"/>
          <w:szCs w:val="28"/>
          <w:u w:val="single"/>
        </w:rPr>
        <w:t>Significant</w:t>
      </w:r>
      <w:r w:rsidRPr="008322F4">
        <w:rPr>
          <w:rFonts w:ascii="Arial" w:hAnsi="Arial" w:cs="Arial"/>
          <w:spacing w:val="-3"/>
          <w:sz w:val="28"/>
          <w:szCs w:val="28"/>
          <w:u w:val="single"/>
        </w:rPr>
        <w:t xml:space="preserve"> </w:t>
      </w:r>
      <w:r w:rsidRPr="008322F4">
        <w:rPr>
          <w:rFonts w:ascii="Arial" w:hAnsi="Arial" w:cs="Arial"/>
          <w:sz w:val="28"/>
          <w:szCs w:val="28"/>
          <w:u w:val="single"/>
        </w:rPr>
        <w:t>Adverse</w:t>
      </w:r>
      <w:r w:rsidRPr="008322F4">
        <w:rPr>
          <w:rFonts w:ascii="Arial" w:hAnsi="Arial" w:cs="Arial"/>
          <w:spacing w:val="-4"/>
          <w:sz w:val="28"/>
          <w:szCs w:val="28"/>
          <w:u w:val="single"/>
        </w:rPr>
        <w:t xml:space="preserve"> </w:t>
      </w:r>
      <w:r w:rsidRPr="008322F4">
        <w:rPr>
          <w:rFonts w:ascii="Arial" w:hAnsi="Arial" w:cs="Arial"/>
          <w:sz w:val="28"/>
          <w:szCs w:val="28"/>
          <w:u w:val="single"/>
        </w:rPr>
        <w:t>Economic</w:t>
      </w:r>
      <w:r w:rsidRPr="008322F4">
        <w:rPr>
          <w:rFonts w:ascii="Arial" w:hAnsi="Arial" w:cs="Arial"/>
          <w:spacing w:val="-3"/>
          <w:sz w:val="28"/>
          <w:szCs w:val="28"/>
          <w:u w:val="single"/>
        </w:rPr>
        <w:t xml:space="preserve"> </w:t>
      </w:r>
      <w:r w:rsidRPr="008322F4">
        <w:rPr>
          <w:rFonts w:ascii="Arial" w:hAnsi="Arial" w:cs="Arial"/>
          <w:sz w:val="28"/>
          <w:szCs w:val="28"/>
          <w:u w:val="single"/>
        </w:rPr>
        <w:t>Impact</w:t>
      </w:r>
      <w:r w:rsidRPr="008322F4">
        <w:rPr>
          <w:rFonts w:ascii="Arial" w:hAnsi="Arial" w:cs="Arial"/>
          <w:spacing w:val="-5"/>
          <w:sz w:val="28"/>
          <w:szCs w:val="28"/>
          <w:u w:val="single"/>
        </w:rPr>
        <w:t xml:space="preserve"> </w:t>
      </w:r>
      <w:r w:rsidRPr="008322F4">
        <w:rPr>
          <w:rFonts w:ascii="Arial" w:hAnsi="Arial" w:cs="Arial"/>
          <w:sz w:val="28"/>
          <w:szCs w:val="28"/>
          <w:u w:val="single"/>
        </w:rPr>
        <w:t>on</w:t>
      </w:r>
      <w:r w:rsidRPr="008322F4">
        <w:rPr>
          <w:rFonts w:ascii="Arial" w:hAnsi="Arial" w:cs="Arial"/>
          <w:spacing w:val="-4"/>
          <w:sz w:val="28"/>
          <w:szCs w:val="28"/>
          <w:u w:val="single"/>
        </w:rPr>
        <w:t xml:space="preserve"> </w:t>
      </w:r>
      <w:r w:rsidRPr="008322F4">
        <w:rPr>
          <w:rFonts w:ascii="Arial" w:hAnsi="Arial" w:cs="Arial"/>
          <w:sz w:val="28"/>
          <w:szCs w:val="28"/>
          <w:u w:val="single"/>
        </w:rPr>
        <w:t>Business</w:t>
      </w:r>
      <w:r w:rsidRPr="008322F4">
        <w:rPr>
          <w:rFonts w:ascii="Arial" w:hAnsi="Arial" w:cs="Arial"/>
          <w:spacing w:val="-3"/>
          <w:sz w:val="28"/>
          <w:szCs w:val="28"/>
          <w:u w:val="single"/>
        </w:rPr>
        <w:t xml:space="preserve"> </w:t>
      </w:r>
      <w:r w:rsidRPr="008322F4">
        <w:rPr>
          <w:rFonts w:ascii="Arial" w:hAnsi="Arial" w:cs="Arial"/>
          <w:sz w:val="28"/>
          <w:szCs w:val="28"/>
          <w:u w:val="single"/>
        </w:rPr>
        <w:t>–</w:t>
      </w:r>
      <w:r w:rsidRPr="008322F4">
        <w:rPr>
          <w:rFonts w:ascii="Arial" w:hAnsi="Arial" w:cs="Arial"/>
          <w:spacing w:val="-4"/>
          <w:sz w:val="28"/>
          <w:szCs w:val="28"/>
          <w:u w:val="single"/>
        </w:rPr>
        <w:t xml:space="preserve"> </w:t>
      </w:r>
      <w:r w:rsidRPr="008322F4">
        <w:rPr>
          <w:rFonts w:ascii="Arial" w:hAnsi="Arial" w:cs="Arial"/>
          <w:sz w:val="28"/>
          <w:szCs w:val="28"/>
          <w:u w:val="single"/>
        </w:rPr>
        <w:t>Government Code § 11346.2(b)(4):</w:t>
      </w:r>
      <w:r w:rsidRPr="008322F4">
        <w:rPr>
          <w:rFonts w:ascii="Arial" w:hAnsi="Arial" w:cs="Arial"/>
          <w:sz w:val="28"/>
          <w:szCs w:val="28"/>
        </w:rPr>
        <w:t xml:space="preserve"> </w:t>
      </w:r>
      <w:r w:rsidR="0045534C" w:rsidRPr="008322F4">
        <w:rPr>
          <w:rFonts w:ascii="Arial" w:hAnsi="Arial" w:cs="Arial"/>
          <w:sz w:val="28"/>
          <w:szCs w:val="28"/>
        </w:rPr>
        <w:t xml:space="preserve">The regulation amendments expand the provision of “maintenance”, i.e. paying for normal living expenses including housing, that are more than what the individual incurred prior to receiving VR services. This expansion is a result of an appellate court decision, Doe v. </w:t>
      </w:r>
      <w:bookmarkStart w:id="5" w:name="_Hlk214355237"/>
      <w:proofErr w:type="spellStart"/>
      <w:r w:rsidR="0045534C" w:rsidRPr="008322F4">
        <w:rPr>
          <w:rFonts w:ascii="Arial" w:hAnsi="Arial" w:cs="Arial"/>
          <w:sz w:val="28"/>
          <w:szCs w:val="28"/>
        </w:rPr>
        <w:t>Dep’t</w:t>
      </w:r>
      <w:proofErr w:type="spellEnd"/>
      <w:r w:rsidR="0045534C" w:rsidRPr="008322F4">
        <w:rPr>
          <w:rFonts w:ascii="Arial" w:hAnsi="Arial" w:cs="Arial"/>
          <w:sz w:val="28"/>
          <w:szCs w:val="28"/>
        </w:rPr>
        <w:t xml:space="preserve"> of Rehab. </w:t>
      </w:r>
      <w:bookmarkEnd w:id="5"/>
      <w:r w:rsidR="0045534C" w:rsidRPr="008322F4">
        <w:rPr>
          <w:rFonts w:ascii="Arial" w:hAnsi="Arial" w:cs="Arial"/>
          <w:sz w:val="28"/>
          <w:szCs w:val="28"/>
        </w:rPr>
        <w:t>Since the regulation amendments are based entirely on the court decision, the regulation amendments themselves will not result in any impact on business. Ibid.</w:t>
      </w:r>
    </w:p>
    <w:p w14:paraId="33FA224D" w14:textId="4DF98973" w:rsidR="00B9521C" w:rsidRDefault="00B9521C" w:rsidP="0045534C">
      <w:pPr>
        <w:pStyle w:val="BodyText"/>
        <w:spacing w:before="1" w:line="240" w:lineRule="auto"/>
        <w:ind w:right="183"/>
      </w:pPr>
    </w:p>
    <w:p w14:paraId="6CA68BD0" w14:textId="23878D1B" w:rsidR="0045534C" w:rsidRDefault="00421439" w:rsidP="00421439">
      <w:pPr>
        <w:pStyle w:val="Heading1"/>
        <w:spacing w:line="276" w:lineRule="auto"/>
        <w:rPr>
          <w:i/>
          <w:iCs/>
        </w:rPr>
      </w:pPr>
      <w:r w:rsidRPr="00D5281A">
        <w:t>ECONOMIC IMPACT STATEMENT – GOVERNMENT CODE SECTION 11346.3(B)(1)</w:t>
      </w:r>
      <w:r>
        <w:t>(A)-</w:t>
      </w:r>
      <w:r w:rsidRPr="00D5281A">
        <w:t>(</w:t>
      </w:r>
      <w:r>
        <w:t>D</w:t>
      </w:r>
      <w:r w:rsidR="0045534C">
        <w:t xml:space="preserve">) </w:t>
      </w:r>
      <w:r w:rsidR="0045534C" w:rsidRPr="00D5281A">
        <w:t xml:space="preserve"> </w:t>
      </w:r>
    </w:p>
    <w:p w14:paraId="1E02B75F" w14:textId="77777777" w:rsidR="00B9521C" w:rsidRDefault="00B9521C" w:rsidP="0045534C">
      <w:pPr>
        <w:pStyle w:val="BodyText"/>
        <w:spacing w:before="1" w:line="240" w:lineRule="auto"/>
      </w:pPr>
    </w:p>
    <w:p w14:paraId="0F48F3E6" w14:textId="0E4FD3AA" w:rsidR="00D5281A" w:rsidRDefault="0045534C" w:rsidP="00FF4240">
      <w:pPr>
        <w:rPr>
          <w:rFonts w:ascii="Arial" w:hAnsi="Arial" w:cs="Arial"/>
          <w:sz w:val="28"/>
          <w:szCs w:val="28"/>
        </w:rPr>
      </w:pPr>
      <w:r>
        <w:rPr>
          <w:rFonts w:ascii="Arial" w:hAnsi="Arial" w:cs="Arial"/>
          <w:sz w:val="28"/>
          <w:szCs w:val="28"/>
        </w:rPr>
        <w:t>T</w:t>
      </w:r>
      <w:r w:rsidR="00FF4240" w:rsidRPr="005D57B9">
        <w:rPr>
          <w:rFonts w:ascii="Arial" w:hAnsi="Arial" w:cs="Arial"/>
          <w:sz w:val="28"/>
          <w:szCs w:val="28"/>
        </w:rPr>
        <w:t>he</w:t>
      </w:r>
      <w:r w:rsidR="00340E9C">
        <w:rPr>
          <w:rFonts w:ascii="Arial" w:hAnsi="Arial" w:cs="Arial"/>
          <w:sz w:val="28"/>
          <w:szCs w:val="28"/>
        </w:rPr>
        <w:t>re</w:t>
      </w:r>
      <w:r w:rsidR="00E2786F">
        <w:rPr>
          <w:rFonts w:ascii="Arial" w:hAnsi="Arial" w:cs="Arial"/>
          <w:sz w:val="28"/>
          <w:szCs w:val="28"/>
        </w:rPr>
        <w:t xml:space="preserve"> will be no </w:t>
      </w:r>
      <w:r w:rsidR="00FF4240" w:rsidRPr="005D57B9">
        <w:rPr>
          <w:rFonts w:ascii="Arial" w:hAnsi="Arial" w:cs="Arial"/>
          <w:sz w:val="28"/>
          <w:szCs w:val="28"/>
        </w:rPr>
        <w:t xml:space="preserve">economic impact </w:t>
      </w:r>
      <w:r w:rsidR="00E2786F">
        <w:rPr>
          <w:rFonts w:ascii="Arial" w:hAnsi="Arial" w:cs="Arial"/>
          <w:sz w:val="28"/>
          <w:szCs w:val="28"/>
        </w:rPr>
        <w:t>from</w:t>
      </w:r>
      <w:r w:rsidR="00FF4240" w:rsidRPr="005D57B9">
        <w:rPr>
          <w:rFonts w:ascii="Arial" w:hAnsi="Arial" w:cs="Arial"/>
          <w:sz w:val="28"/>
          <w:szCs w:val="28"/>
        </w:rPr>
        <w:t xml:space="preserve"> the proposed regulations </w:t>
      </w:r>
      <w:r w:rsidR="00340E9C">
        <w:rPr>
          <w:rFonts w:ascii="Arial" w:hAnsi="Arial" w:cs="Arial"/>
          <w:sz w:val="28"/>
          <w:szCs w:val="28"/>
        </w:rPr>
        <w:t xml:space="preserve">because the </w:t>
      </w:r>
      <w:r w:rsidR="00340E9C" w:rsidRPr="00E33471">
        <w:rPr>
          <w:rFonts w:ascii="Arial" w:hAnsi="Arial" w:cs="Arial"/>
          <w:i/>
          <w:iCs/>
          <w:sz w:val="28"/>
          <w:szCs w:val="28"/>
        </w:rPr>
        <w:t xml:space="preserve">Doe v. </w:t>
      </w:r>
      <w:proofErr w:type="spellStart"/>
      <w:r w:rsidR="00457E62" w:rsidRPr="00457E62">
        <w:rPr>
          <w:rFonts w:ascii="Arial" w:hAnsi="Arial" w:cs="Arial"/>
          <w:i/>
          <w:iCs/>
          <w:sz w:val="28"/>
          <w:szCs w:val="28"/>
        </w:rPr>
        <w:t>Dep’t</w:t>
      </w:r>
      <w:proofErr w:type="spellEnd"/>
      <w:r w:rsidR="00457E62" w:rsidRPr="00457E62">
        <w:rPr>
          <w:rFonts w:ascii="Arial" w:hAnsi="Arial" w:cs="Arial"/>
          <w:i/>
          <w:iCs/>
          <w:sz w:val="28"/>
          <w:szCs w:val="28"/>
        </w:rPr>
        <w:t xml:space="preserve"> of Rehab.</w:t>
      </w:r>
      <w:r w:rsidR="00457E62">
        <w:rPr>
          <w:rFonts w:ascii="Arial" w:hAnsi="Arial" w:cs="Arial"/>
          <w:i/>
          <w:iCs/>
          <w:sz w:val="28"/>
          <w:szCs w:val="28"/>
        </w:rPr>
        <w:t xml:space="preserve">, </w:t>
      </w:r>
      <w:r w:rsidR="00340E9C">
        <w:rPr>
          <w:rFonts w:ascii="Arial" w:hAnsi="Arial" w:cs="Arial"/>
          <w:sz w:val="28"/>
          <w:szCs w:val="28"/>
        </w:rPr>
        <w:t xml:space="preserve">decision </w:t>
      </w:r>
      <w:r w:rsidR="00E2786F">
        <w:rPr>
          <w:rFonts w:ascii="Arial" w:hAnsi="Arial" w:cs="Arial"/>
          <w:sz w:val="28"/>
          <w:szCs w:val="28"/>
        </w:rPr>
        <w:t xml:space="preserve">expanded the definition of “maintenance” and the Department is adopting the language, </w:t>
      </w:r>
      <w:r w:rsidR="00340E9C">
        <w:rPr>
          <w:rFonts w:ascii="Arial" w:hAnsi="Arial" w:cs="Arial"/>
          <w:sz w:val="28"/>
          <w:szCs w:val="28"/>
        </w:rPr>
        <w:t>necessit</w:t>
      </w:r>
      <w:r w:rsidR="00107F58">
        <w:rPr>
          <w:rFonts w:ascii="Arial" w:hAnsi="Arial" w:cs="Arial"/>
          <w:sz w:val="28"/>
          <w:szCs w:val="28"/>
        </w:rPr>
        <w:t>at</w:t>
      </w:r>
      <w:r w:rsidR="00340E9C">
        <w:rPr>
          <w:rFonts w:ascii="Arial" w:hAnsi="Arial" w:cs="Arial"/>
          <w:sz w:val="28"/>
          <w:szCs w:val="28"/>
        </w:rPr>
        <w:t xml:space="preserve">ing these changes to the regulations. </w:t>
      </w:r>
      <w:r w:rsidR="00E2786F">
        <w:rPr>
          <w:rFonts w:ascii="Arial" w:hAnsi="Arial" w:cs="Arial"/>
          <w:sz w:val="28"/>
          <w:szCs w:val="28"/>
        </w:rPr>
        <w:t>The regulations would only affect potential consumers who request maintenance which could mean housing, utilities, and other services that are already being provided to consumers. The increase in services would not change so dramatically to threaten or enrich current businesses.</w:t>
      </w:r>
      <w:r w:rsidR="00457E62" w:rsidRPr="00457E62">
        <w:rPr>
          <w:rFonts w:ascii="Arial" w:hAnsi="Arial" w:cs="Arial"/>
          <w:i/>
          <w:iCs/>
          <w:sz w:val="28"/>
          <w:szCs w:val="28"/>
        </w:rPr>
        <w:t xml:space="preserve"> </w:t>
      </w:r>
      <w:r w:rsidR="00457E62">
        <w:rPr>
          <w:rFonts w:ascii="Arial" w:hAnsi="Arial" w:cs="Arial"/>
          <w:i/>
          <w:iCs/>
          <w:sz w:val="28"/>
          <w:szCs w:val="28"/>
        </w:rPr>
        <w:t>Ibid.</w:t>
      </w:r>
    </w:p>
    <w:p w14:paraId="1B212FFC" w14:textId="77777777" w:rsidR="00FF4240" w:rsidRPr="000274C0" w:rsidRDefault="00FF4240" w:rsidP="00FF4240">
      <w:pPr>
        <w:rPr>
          <w:rFonts w:ascii="Arial" w:hAnsi="Arial" w:cs="Arial"/>
          <w:sz w:val="28"/>
          <w:szCs w:val="28"/>
        </w:rPr>
      </w:pPr>
    </w:p>
    <w:p w14:paraId="633A9183" w14:textId="77777777" w:rsidR="00FF4240" w:rsidRPr="00BC44B5" w:rsidRDefault="00FF4240" w:rsidP="00FF4240">
      <w:pPr>
        <w:rPr>
          <w:rFonts w:ascii="Arial" w:hAnsi="Arial" w:cs="Arial"/>
          <w:sz w:val="28"/>
          <w:szCs w:val="28"/>
        </w:rPr>
      </w:pPr>
      <w:r w:rsidRPr="00BC44B5">
        <w:rPr>
          <w:rFonts w:ascii="Arial" w:hAnsi="Arial" w:cs="Arial"/>
          <w:sz w:val="28"/>
          <w:szCs w:val="28"/>
        </w:rPr>
        <w:t>The Department concludes that the proposed regulations are:</w:t>
      </w:r>
    </w:p>
    <w:p w14:paraId="58ED4CEB" w14:textId="77777777" w:rsidR="00FF4240" w:rsidRPr="00BC44B5" w:rsidRDefault="00FF4240" w:rsidP="00FF4240">
      <w:pPr>
        <w:rPr>
          <w:rFonts w:ascii="Arial" w:hAnsi="Arial" w:cs="Arial"/>
          <w:sz w:val="28"/>
          <w:szCs w:val="28"/>
        </w:rPr>
      </w:pPr>
    </w:p>
    <w:p w14:paraId="22ACB6A7" w14:textId="77777777" w:rsidR="00FF4240" w:rsidRPr="00BC44B5" w:rsidRDefault="00FF4240" w:rsidP="00FF4240">
      <w:pPr>
        <w:numPr>
          <w:ilvl w:val="0"/>
          <w:numId w:val="8"/>
        </w:numPr>
        <w:ind w:left="540" w:hanging="540"/>
        <w:rPr>
          <w:rFonts w:ascii="Arial" w:hAnsi="Arial" w:cs="Arial"/>
          <w:sz w:val="28"/>
          <w:szCs w:val="28"/>
        </w:rPr>
      </w:pPr>
      <w:r w:rsidRPr="00BC44B5">
        <w:rPr>
          <w:rFonts w:ascii="Arial" w:hAnsi="Arial" w:cs="Arial"/>
          <w:sz w:val="28"/>
          <w:szCs w:val="28"/>
        </w:rPr>
        <w:lastRenderedPageBreak/>
        <w:t>Unlikely to eliminate any jobs within California.</w:t>
      </w:r>
    </w:p>
    <w:p w14:paraId="56E7F1FE" w14:textId="77777777" w:rsidR="00FF4240" w:rsidRPr="00BC44B5" w:rsidRDefault="00FF4240" w:rsidP="00FF4240">
      <w:pPr>
        <w:numPr>
          <w:ilvl w:val="0"/>
          <w:numId w:val="8"/>
        </w:numPr>
        <w:ind w:left="540" w:hanging="540"/>
        <w:rPr>
          <w:rFonts w:ascii="Arial" w:hAnsi="Arial" w:cs="Arial"/>
          <w:sz w:val="28"/>
          <w:szCs w:val="28"/>
        </w:rPr>
      </w:pPr>
      <w:r w:rsidRPr="00BC44B5">
        <w:rPr>
          <w:rFonts w:ascii="Arial" w:hAnsi="Arial" w:cs="Arial"/>
          <w:sz w:val="28"/>
          <w:szCs w:val="28"/>
        </w:rPr>
        <w:t>Unlikely to create any jobs in California.</w:t>
      </w:r>
    </w:p>
    <w:p w14:paraId="1B3B8880" w14:textId="77777777" w:rsidR="00FF4240" w:rsidRPr="00BC44B5" w:rsidRDefault="00FF4240" w:rsidP="00FF4240">
      <w:pPr>
        <w:numPr>
          <w:ilvl w:val="0"/>
          <w:numId w:val="8"/>
        </w:numPr>
        <w:ind w:left="540" w:hanging="540"/>
        <w:rPr>
          <w:rFonts w:ascii="Arial" w:hAnsi="Arial" w:cs="Arial"/>
          <w:sz w:val="28"/>
          <w:szCs w:val="28"/>
        </w:rPr>
      </w:pPr>
      <w:r w:rsidRPr="00BC44B5">
        <w:rPr>
          <w:rFonts w:ascii="Arial" w:hAnsi="Arial" w:cs="Arial"/>
          <w:sz w:val="28"/>
          <w:szCs w:val="28"/>
        </w:rPr>
        <w:t>Unlikely to create any new businesses in California.</w:t>
      </w:r>
    </w:p>
    <w:p w14:paraId="55F04734" w14:textId="77777777" w:rsidR="00FF4240" w:rsidRPr="00BC44B5" w:rsidRDefault="00FF4240" w:rsidP="00FF4240">
      <w:pPr>
        <w:numPr>
          <w:ilvl w:val="0"/>
          <w:numId w:val="8"/>
        </w:numPr>
        <w:ind w:left="540" w:hanging="540"/>
        <w:rPr>
          <w:rFonts w:ascii="Arial" w:hAnsi="Arial" w:cs="Arial"/>
          <w:sz w:val="28"/>
          <w:szCs w:val="28"/>
        </w:rPr>
      </w:pPr>
      <w:r w:rsidRPr="00BC44B5">
        <w:rPr>
          <w:rFonts w:ascii="Arial" w:hAnsi="Arial" w:cs="Arial"/>
          <w:sz w:val="28"/>
          <w:szCs w:val="28"/>
        </w:rPr>
        <w:t>Unlikely to eliminate any existing businesses in California.</w:t>
      </w:r>
    </w:p>
    <w:p w14:paraId="7DE87246" w14:textId="77777777" w:rsidR="00FF4240" w:rsidRPr="00E61357" w:rsidRDefault="00FF4240" w:rsidP="00FF4240">
      <w:pPr>
        <w:numPr>
          <w:ilvl w:val="0"/>
          <w:numId w:val="8"/>
        </w:numPr>
        <w:ind w:left="540" w:hanging="540"/>
        <w:rPr>
          <w:rFonts w:ascii="Arial" w:hAnsi="Arial" w:cs="Arial"/>
          <w:bCs/>
          <w:sz w:val="28"/>
          <w:szCs w:val="28"/>
        </w:rPr>
      </w:pPr>
      <w:r w:rsidRPr="00BC44B5">
        <w:rPr>
          <w:rFonts w:ascii="Arial" w:hAnsi="Arial" w:cs="Arial"/>
          <w:sz w:val="28"/>
          <w:szCs w:val="28"/>
        </w:rPr>
        <w:t>Unlikely to affect the expansion of existing businesses in California.</w:t>
      </w:r>
    </w:p>
    <w:p w14:paraId="4940A20C" w14:textId="77777777" w:rsidR="00E61357" w:rsidRDefault="00E61357" w:rsidP="00E2786F">
      <w:pPr>
        <w:numPr>
          <w:ilvl w:val="0"/>
          <w:numId w:val="8"/>
        </w:numPr>
        <w:ind w:left="540" w:hanging="540"/>
        <w:rPr>
          <w:rFonts w:ascii="Arial" w:hAnsi="Arial" w:cs="Arial"/>
          <w:bCs/>
          <w:sz w:val="28"/>
          <w:szCs w:val="28"/>
        </w:rPr>
      </w:pPr>
      <w:r w:rsidRPr="00E61357">
        <w:rPr>
          <w:rFonts w:ascii="Arial" w:hAnsi="Arial" w:cs="Arial"/>
          <w:bCs/>
          <w:sz w:val="28"/>
          <w:szCs w:val="28"/>
        </w:rPr>
        <w:t>The proposed rulemaking will benefit members of the California public by adding consistency and clarity to the state regulations</w:t>
      </w:r>
      <w:r>
        <w:rPr>
          <w:rFonts w:ascii="Arial" w:hAnsi="Arial" w:cs="Arial"/>
          <w:bCs/>
          <w:sz w:val="28"/>
          <w:szCs w:val="28"/>
        </w:rPr>
        <w:t xml:space="preserve"> </w:t>
      </w:r>
      <w:r w:rsidRPr="00E61357">
        <w:rPr>
          <w:rFonts w:ascii="Arial" w:hAnsi="Arial" w:cs="Arial"/>
          <w:bCs/>
          <w:sz w:val="28"/>
          <w:szCs w:val="28"/>
        </w:rPr>
        <w:t xml:space="preserve">codifying the changes in case law regarding the vocational rehabilitation program.  DOR consumers will be able to access support for expenses such as shelter, food, and clothing, more than their normal living expenses </w:t>
      </w:r>
      <w:r>
        <w:rPr>
          <w:rFonts w:ascii="Arial" w:hAnsi="Arial" w:cs="Arial"/>
          <w:bCs/>
          <w:sz w:val="28"/>
          <w:szCs w:val="28"/>
        </w:rPr>
        <w:t xml:space="preserve">if </w:t>
      </w:r>
      <w:r w:rsidRPr="00E61357">
        <w:rPr>
          <w:rFonts w:ascii="Arial" w:hAnsi="Arial" w:cs="Arial"/>
          <w:bCs/>
          <w:sz w:val="28"/>
          <w:szCs w:val="28"/>
        </w:rPr>
        <w:t>incurred because of the individual’s participation in vocational rehabilitation services</w:t>
      </w:r>
      <w:r>
        <w:rPr>
          <w:rFonts w:ascii="Arial" w:hAnsi="Arial" w:cs="Arial"/>
          <w:bCs/>
          <w:sz w:val="28"/>
          <w:szCs w:val="28"/>
        </w:rPr>
        <w:t xml:space="preserve">. </w:t>
      </w:r>
      <w:r w:rsidRPr="00E61357">
        <w:rPr>
          <w:rFonts w:ascii="Arial" w:hAnsi="Arial" w:cs="Arial"/>
          <w:bCs/>
          <w:sz w:val="28"/>
          <w:szCs w:val="28"/>
        </w:rPr>
        <w:t>As such, the changes will make participation in vocational rehabilitation services for DOR consumers more beneficial.</w:t>
      </w:r>
    </w:p>
    <w:p w14:paraId="338CA26A" w14:textId="77777777" w:rsidR="00E61357" w:rsidRPr="00E61357" w:rsidRDefault="00E2786F" w:rsidP="00E2786F">
      <w:pPr>
        <w:numPr>
          <w:ilvl w:val="0"/>
          <w:numId w:val="8"/>
        </w:numPr>
        <w:ind w:left="540" w:hanging="540"/>
        <w:rPr>
          <w:rFonts w:ascii="Arial" w:hAnsi="Arial" w:cs="Arial"/>
          <w:bCs/>
          <w:sz w:val="28"/>
          <w:szCs w:val="28"/>
        </w:rPr>
      </w:pPr>
      <w:r w:rsidRPr="00E61357">
        <w:rPr>
          <w:rFonts w:ascii="Arial" w:hAnsi="Arial" w:cs="Arial"/>
          <w:sz w:val="28"/>
          <w:szCs w:val="28"/>
        </w:rPr>
        <w:t xml:space="preserve">The adoption of this rulemaking will have no impact </w:t>
      </w:r>
      <w:r w:rsidR="00457E62" w:rsidRPr="00E61357">
        <w:rPr>
          <w:rFonts w:ascii="Arial" w:hAnsi="Arial" w:cs="Arial"/>
          <w:sz w:val="28"/>
          <w:szCs w:val="28"/>
        </w:rPr>
        <w:t>on</w:t>
      </w:r>
      <w:r w:rsidRPr="00E61357">
        <w:rPr>
          <w:rFonts w:ascii="Arial" w:hAnsi="Arial" w:cs="Arial"/>
          <w:sz w:val="28"/>
          <w:szCs w:val="28"/>
        </w:rPr>
        <w:t xml:space="preserve"> the environment. </w:t>
      </w:r>
    </w:p>
    <w:p w14:paraId="6254A8B6" w14:textId="4F9573E9" w:rsidR="00E2786F" w:rsidRPr="00E61357" w:rsidRDefault="00E2786F" w:rsidP="00E2786F">
      <w:pPr>
        <w:numPr>
          <w:ilvl w:val="0"/>
          <w:numId w:val="8"/>
        </w:numPr>
        <w:ind w:left="540" w:hanging="540"/>
        <w:rPr>
          <w:rFonts w:ascii="Arial" w:hAnsi="Arial" w:cs="Arial"/>
          <w:bCs/>
          <w:sz w:val="28"/>
          <w:szCs w:val="28"/>
        </w:rPr>
      </w:pPr>
      <w:r w:rsidRPr="00E61357">
        <w:rPr>
          <w:rFonts w:ascii="Arial" w:hAnsi="Arial" w:cs="Arial"/>
          <w:sz w:val="28"/>
          <w:szCs w:val="28"/>
        </w:rPr>
        <w:t>The Department does not anticipate any benefits to worker safety.</w:t>
      </w:r>
    </w:p>
    <w:sectPr w:rsidR="00E2786F" w:rsidRPr="00E61357" w:rsidSect="003770A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78DD" w14:textId="77777777" w:rsidR="00B65D9F" w:rsidRDefault="00B65D9F">
      <w:r>
        <w:separator/>
      </w:r>
    </w:p>
  </w:endnote>
  <w:endnote w:type="continuationSeparator" w:id="0">
    <w:p w14:paraId="16CFFF00" w14:textId="77777777" w:rsidR="00B65D9F" w:rsidRDefault="00B6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5A06" w14:textId="77777777" w:rsidR="00FB15C5" w:rsidRDefault="0004064A" w:rsidP="00AE4F05">
    <w:pPr>
      <w:pStyle w:val="Footer"/>
      <w:rPr>
        <w:rFonts w:ascii="Arial" w:hAnsi="Arial"/>
        <w:sz w:val="28"/>
      </w:rPr>
    </w:pPr>
    <w:r>
      <w:rPr>
        <w:rFonts w:ascii="Arial" w:hAnsi="Arial"/>
        <w:sz w:val="28"/>
      </w:rPr>
      <w:t>Initial Statement of Reasons</w:t>
    </w:r>
  </w:p>
  <w:p w14:paraId="40AE6DAC" w14:textId="77777777" w:rsidR="0004064A" w:rsidRDefault="00AE4F05" w:rsidP="00AE4F05">
    <w:pPr>
      <w:pStyle w:val="Footer"/>
      <w:rPr>
        <w:rStyle w:val="PageNumber"/>
        <w:rFonts w:ascii="Arial" w:hAnsi="Arial"/>
        <w:sz w:val="28"/>
      </w:rPr>
    </w:pPr>
    <w:r>
      <w:rPr>
        <w:rFonts w:ascii="Arial" w:hAnsi="Arial"/>
        <w:sz w:val="28"/>
      </w:rPr>
      <w:tab/>
    </w:r>
    <w:r w:rsidR="0004064A">
      <w:rPr>
        <w:rStyle w:val="PageNumber"/>
        <w:rFonts w:ascii="Arial" w:hAnsi="Arial"/>
        <w:sz w:val="28"/>
      </w:rPr>
      <w:fldChar w:fldCharType="begin"/>
    </w:r>
    <w:r w:rsidR="0004064A">
      <w:rPr>
        <w:rStyle w:val="PageNumber"/>
        <w:rFonts w:ascii="Arial" w:hAnsi="Arial"/>
        <w:sz w:val="28"/>
      </w:rPr>
      <w:instrText xml:space="preserve"> PAGE </w:instrText>
    </w:r>
    <w:r w:rsidR="0004064A">
      <w:rPr>
        <w:rStyle w:val="PageNumber"/>
        <w:rFonts w:ascii="Arial" w:hAnsi="Arial"/>
        <w:sz w:val="28"/>
      </w:rPr>
      <w:fldChar w:fldCharType="separate"/>
    </w:r>
    <w:r w:rsidR="000E2986">
      <w:rPr>
        <w:rStyle w:val="PageNumber"/>
        <w:rFonts w:ascii="Arial" w:hAnsi="Arial"/>
        <w:noProof/>
        <w:sz w:val="28"/>
      </w:rPr>
      <w:t>1</w:t>
    </w:r>
    <w:r w:rsidR="0004064A">
      <w:rPr>
        <w:rStyle w:val="PageNumber"/>
        <w:rFonts w:ascii="Arial" w:hAnsi="Arial"/>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FD1E" w14:textId="77777777" w:rsidR="00B65D9F" w:rsidRDefault="00B65D9F">
      <w:r>
        <w:separator/>
      </w:r>
    </w:p>
  </w:footnote>
  <w:footnote w:type="continuationSeparator" w:id="0">
    <w:p w14:paraId="465CB30E" w14:textId="77777777" w:rsidR="00B65D9F" w:rsidRDefault="00B6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6439"/>
    <w:multiLevelType w:val="hybridMultilevel"/>
    <w:tmpl w:val="A4F0266E"/>
    <w:lvl w:ilvl="0" w:tplc="547EC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E2191"/>
    <w:multiLevelType w:val="hybridMultilevel"/>
    <w:tmpl w:val="B2CCD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514BD"/>
    <w:multiLevelType w:val="hybridMultilevel"/>
    <w:tmpl w:val="B77C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56ACF"/>
    <w:multiLevelType w:val="hybridMultilevel"/>
    <w:tmpl w:val="172C3EF8"/>
    <w:lvl w:ilvl="0" w:tplc="B60A2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97300"/>
    <w:multiLevelType w:val="hybridMultilevel"/>
    <w:tmpl w:val="A9D875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EB446DA"/>
    <w:multiLevelType w:val="hybridMultilevel"/>
    <w:tmpl w:val="29EA6956"/>
    <w:lvl w:ilvl="0" w:tplc="C728F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8753D"/>
    <w:multiLevelType w:val="hybridMultilevel"/>
    <w:tmpl w:val="FA9E3508"/>
    <w:lvl w:ilvl="0" w:tplc="357897BE">
      <w:start w:val="1"/>
      <w:numFmt w:val="decimal"/>
      <w:lvlText w:val="(%1)"/>
      <w:lvlJc w:val="left"/>
      <w:pPr>
        <w:ind w:left="435" w:hanging="360"/>
      </w:pPr>
      <w:rPr>
        <w:rFonts w:cs="Times New Roman" w:hint="default"/>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7CA348C7"/>
    <w:multiLevelType w:val="hybridMultilevel"/>
    <w:tmpl w:val="B41E50AA"/>
    <w:lvl w:ilvl="0" w:tplc="E716F9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0722129">
    <w:abstractNumId w:val="5"/>
  </w:num>
  <w:num w:numId="2" w16cid:durableId="624234888">
    <w:abstractNumId w:val="3"/>
  </w:num>
  <w:num w:numId="3" w16cid:durableId="1125931303">
    <w:abstractNumId w:val="6"/>
  </w:num>
  <w:num w:numId="4" w16cid:durableId="1771588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2761981">
    <w:abstractNumId w:val="7"/>
  </w:num>
  <w:num w:numId="6" w16cid:durableId="1764908776">
    <w:abstractNumId w:val="2"/>
  </w:num>
  <w:num w:numId="7" w16cid:durableId="605113962">
    <w:abstractNumId w:val="0"/>
  </w:num>
  <w:num w:numId="8" w16cid:durableId="196065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93"/>
    <w:rsid w:val="00000999"/>
    <w:rsid w:val="00001358"/>
    <w:rsid w:val="000020D4"/>
    <w:rsid w:val="000051D8"/>
    <w:rsid w:val="00007F56"/>
    <w:rsid w:val="00012E9C"/>
    <w:rsid w:val="0001383A"/>
    <w:rsid w:val="00020333"/>
    <w:rsid w:val="000225D8"/>
    <w:rsid w:val="00022AE1"/>
    <w:rsid w:val="000301F4"/>
    <w:rsid w:val="00034A6C"/>
    <w:rsid w:val="00037C6F"/>
    <w:rsid w:val="0004064A"/>
    <w:rsid w:val="000408E8"/>
    <w:rsid w:val="0004097F"/>
    <w:rsid w:val="00042A7D"/>
    <w:rsid w:val="000435A6"/>
    <w:rsid w:val="000462DF"/>
    <w:rsid w:val="00046D44"/>
    <w:rsid w:val="00047E45"/>
    <w:rsid w:val="0005140A"/>
    <w:rsid w:val="00051EFD"/>
    <w:rsid w:val="000536F0"/>
    <w:rsid w:val="00053B0E"/>
    <w:rsid w:val="00055071"/>
    <w:rsid w:val="00056D2F"/>
    <w:rsid w:val="0005756D"/>
    <w:rsid w:val="00057708"/>
    <w:rsid w:val="000625B2"/>
    <w:rsid w:val="000661B9"/>
    <w:rsid w:val="00070657"/>
    <w:rsid w:val="000723BF"/>
    <w:rsid w:val="00075AC8"/>
    <w:rsid w:val="00076E79"/>
    <w:rsid w:val="0008009B"/>
    <w:rsid w:val="00081AD3"/>
    <w:rsid w:val="00087724"/>
    <w:rsid w:val="000879CF"/>
    <w:rsid w:val="000975C6"/>
    <w:rsid w:val="00097BB1"/>
    <w:rsid w:val="000A038C"/>
    <w:rsid w:val="000A1614"/>
    <w:rsid w:val="000A47C0"/>
    <w:rsid w:val="000A4D8A"/>
    <w:rsid w:val="000A5EAE"/>
    <w:rsid w:val="000A6624"/>
    <w:rsid w:val="000B1EB7"/>
    <w:rsid w:val="000B499E"/>
    <w:rsid w:val="000B4B90"/>
    <w:rsid w:val="000B5C4B"/>
    <w:rsid w:val="000C2DEA"/>
    <w:rsid w:val="000C3A9B"/>
    <w:rsid w:val="000C5D9C"/>
    <w:rsid w:val="000C5E7E"/>
    <w:rsid w:val="000D0AC5"/>
    <w:rsid w:val="000D1D2B"/>
    <w:rsid w:val="000D2AFD"/>
    <w:rsid w:val="000D37CA"/>
    <w:rsid w:val="000D3D9B"/>
    <w:rsid w:val="000D62E4"/>
    <w:rsid w:val="000D7EFB"/>
    <w:rsid w:val="000E2986"/>
    <w:rsid w:val="000E3049"/>
    <w:rsid w:val="000F2B89"/>
    <w:rsid w:val="000F5BB5"/>
    <w:rsid w:val="000F6BF2"/>
    <w:rsid w:val="000F76DB"/>
    <w:rsid w:val="000F7950"/>
    <w:rsid w:val="000F7E25"/>
    <w:rsid w:val="0010230F"/>
    <w:rsid w:val="00103B1D"/>
    <w:rsid w:val="00103CD7"/>
    <w:rsid w:val="0010414E"/>
    <w:rsid w:val="00104C34"/>
    <w:rsid w:val="00104DBB"/>
    <w:rsid w:val="00107A1F"/>
    <w:rsid w:val="00107F58"/>
    <w:rsid w:val="00113481"/>
    <w:rsid w:val="00114F58"/>
    <w:rsid w:val="0011507D"/>
    <w:rsid w:val="00115446"/>
    <w:rsid w:val="00116737"/>
    <w:rsid w:val="0012224C"/>
    <w:rsid w:val="0012228D"/>
    <w:rsid w:val="00122D83"/>
    <w:rsid w:val="00123425"/>
    <w:rsid w:val="00126D72"/>
    <w:rsid w:val="001319E9"/>
    <w:rsid w:val="001319ED"/>
    <w:rsid w:val="00132BDE"/>
    <w:rsid w:val="00133798"/>
    <w:rsid w:val="001339B7"/>
    <w:rsid w:val="00144677"/>
    <w:rsid w:val="0015575D"/>
    <w:rsid w:val="00157164"/>
    <w:rsid w:val="00157B21"/>
    <w:rsid w:val="00165415"/>
    <w:rsid w:val="00174E79"/>
    <w:rsid w:val="0017599D"/>
    <w:rsid w:val="00180B4E"/>
    <w:rsid w:val="00180D21"/>
    <w:rsid w:val="00180EC1"/>
    <w:rsid w:val="0018316E"/>
    <w:rsid w:val="00183D17"/>
    <w:rsid w:val="00186223"/>
    <w:rsid w:val="00186D39"/>
    <w:rsid w:val="00187D2E"/>
    <w:rsid w:val="0019114F"/>
    <w:rsid w:val="001A0177"/>
    <w:rsid w:val="001A02CA"/>
    <w:rsid w:val="001A45BB"/>
    <w:rsid w:val="001A6BFF"/>
    <w:rsid w:val="001A7FA9"/>
    <w:rsid w:val="001B0A9C"/>
    <w:rsid w:val="001B0BDE"/>
    <w:rsid w:val="001B3F57"/>
    <w:rsid w:val="001B497C"/>
    <w:rsid w:val="001B64CB"/>
    <w:rsid w:val="001B6F97"/>
    <w:rsid w:val="001C486A"/>
    <w:rsid w:val="001C6665"/>
    <w:rsid w:val="001D2727"/>
    <w:rsid w:val="001D5234"/>
    <w:rsid w:val="001E21B6"/>
    <w:rsid w:val="001E3300"/>
    <w:rsid w:val="001E3795"/>
    <w:rsid w:val="001E5499"/>
    <w:rsid w:val="001F2AEC"/>
    <w:rsid w:val="001F38DB"/>
    <w:rsid w:val="001F5110"/>
    <w:rsid w:val="001F7C79"/>
    <w:rsid w:val="001F7D2A"/>
    <w:rsid w:val="00200F31"/>
    <w:rsid w:val="00204452"/>
    <w:rsid w:val="00205193"/>
    <w:rsid w:val="00210858"/>
    <w:rsid w:val="00212C09"/>
    <w:rsid w:val="002132CB"/>
    <w:rsid w:val="00213763"/>
    <w:rsid w:val="00215351"/>
    <w:rsid w:val="00220A3B"/>
    <w:rsid w:val="00222218"/>
    <w:rsid w:val="00225FD2"/>
    <w:rsid w:val="00226DE8"/>
    <w:rsid w:val="00231DDA"/>
    <w:rsid w:val="00231F22"/>
    <w:rsid w:val="00231FBD"/>
    <w:rsid w:val="0023217C"/>
    <w:rsid w:val="002321EB"/>
    <w:rsid w:val="00233F9F"/>
    <w:rsid w:val="00235F12"/>
    <w:rsid w:val="00240666"/>
    <w:rsid w:val="00241739"/>
    <w:rsid w:val="00241D19"/>
    <w:rsid w:val="00242EA7"/>
    <w:rsid w:val="00244545"/>
    <w:rsid w:val="00245A84"/>
    <w:rsid w:val="00246C04"/>
    <w:rsid w:val="00246D1D"/>
    <w:rsid w:val="002541AD"/>
    <w:rsid w:val="00255326"/>
    <w:rsid w:val="002570B7"/>
    <w:rsid w:val="00261F9A"/>
    <w:rsid w:val="002647D4"/>
    <w:rsid w:val="002650AA"/>
    <w:rsid w:val="00266B3C"/>
    <w:rsid w:val="00267505"/>
    <w:rsid w:val="002725FD"/>
    <w:rsid w:val="002735E1"/>
    <w:rsid w:val="00274354"/>
    <w:rsid w:val="002745C3"/>
    <w:rsid w:val="00274CB7"/>
    <w:rsid w:val="00275123"/>
    <w:rsid w:val="00286CD8"/>
    <w:rsid w:val="00287413"/>
    <w:rsid w:val="0028759A"/>
    <w:rsid w:val="002876C3"/>
    <w:rsid w:val="00291F12"/>
    <w:rsid w:val="002A18C1"/>
    <w:rsid w:val="002B0E69"/>
    <w:rsid w:val="002B464E"/>
    <w:rsid w:val="002B5EB4"/>
    <w:rsid w:val="002B67AB"/>
    <w:rsid w:val="002B6951"/>
    <w:rsid w:val="002C2A50"/>
    <w:rsid w:val="002C2C49"/>
    <w:rsid w:val="002C2CE1"/>
    <w:rsid w:val="002C3F7F"/>
    <w:rsid w:val="002C4986"/>
    <w:rsid w:val="002C50F8"/>
    <w:rsid w:val="002C55BA"/>
    <w:rsid w:val="002D3194"/>
    <w:rsid w:val="002D3A43"/>
    <w:rsid w:val="002D7207"/>
    <w:rsid w:val="002D7748"/>
    <w:rsid w:val="002E2036"/>
    <w:rsid w:val="002E345D"/>
    <w:rsid w:val="002E3C8A"/>
    <w:rsid w:val="002E3CA0"/>
    <w:rsid w:val="002E3E84"/>
    <w:rsid w:val="002E4FB8"/>
    <w:rsid w:val="002E520C"/>
    <w:rsid w:val="002E5F5E"/>
    <w:rsid w:val="002F2A5C"/>
    <w:rsid w:val="002F3E45"/>
    <w:rsid w:val="00310249"/>
    <w:rsid w:val="00313FCA"/>
    <w:rsid w:val="00315846"/>
    <w:rsid w:val="00317D17"/>
    <w:rsid w:val="00317DA7"/>
    <w:rsid w:val="00323D4B"/>
    <w:rsid w:val="00325953"/>
    <w:rsid w:val="003308A2"/>
    <w:rsid w:val="00333F5D"/>
    <w:rsid w:val="003353EE"/>
    <w:rsid w:val="00336727"/>
    <w:rsid w:val="003373AD"/>
    <w:rsid w:val="00337907"/>
    <w:rsid w:val="003401DF"/>
    <w:rsid w:val="00340B02"/>
    <w:rsid w:val="00340E9C"/>
    <w:rsid w:val="00343702"/>
    <w:rsid w:val="00343FE6"/>
    <w:rsid w:val="00350573"/>
    <w:rsid w:val="00356867"/>
    <w:rsid w:val="00356D92"/>
    <w:rsid w:val="00360083"/>
    <w:rsid w:val="00362665"/>
    <w:rsid w:val="00362F95"/>
    <w:rsid w:val="003663DD"/>
    <w:rsid w:val="00371B31"/>
    <w:rsid w:val="003735EE"/>
    <w:rsid w:val="0037664A"/>
    <w:rsid w:val="003770A0"/>
    <w:rsid w:val="00380040"/>
    <w:rsid w:val="00380226"/>
    <w:rsid w:val="00387CC2"/>
    <w:rsid w:val="003904CA"/>
    <w:rsid w:val="00391BAA"/>
    <w:rsid w:val="00393999"/>
    <w:rsid w:val="00394567"/>
    <w:rsid w:val="00396876"/>
    <w:rsid w:val="003A41E1"/>
    <w:rsid w:val="003A5F1E"/>
    <w:rsid w:val="003B0550"/>
    <w:rsid w:val="003B08FC"/>
    <w:rsid w:val="003B096A"/>
    <w:rsid w:val="003B1AFF"/>
    <w:rsid w:val="003B2717"/>
    <w:rsid w:val="003B2DF8"/>
    <w:rsid w:val="003B630A"/>
    <w:rsid w:val="003B6A4D"/>
    <w:rsid w:val="003C0D68"/>
    <w:rsid w:val="003C2849"/>
    <w:rsid w:val="003C44BB"/>
    <w:rsid w:val="003C4988"/>
    <w:rsid w:val="003D3DF1"/>
    <w:rsid w:val="003D4543"/>
    <w:rsid w:val="003E1394"/>
    <w:rsid w:val="003E17E3"/>
    <w:rsid w:val="003E3551"/>
    <w:rsid w:val="003E427F"/>
    <w:rsid w:val="003E4D26"/>
    <w:rsid w:val="003E617A"/>
    <w:rsid w:val="003E6F4A"/>
    <w:rsid w:val="003F0874"/>
    <w:rsid w:val="003F265B"/>
    <w:rsid w:val="003F6080"/>
    <w:rsid w:val="003F7CEF"/>
    <w:rsid w:val="003F7FB6"/>
    <w:rsid w:val="00400353"/>
    <w:rsid w:val="00406CAE"/>
    <w:rsid w:val="00410C8A"/>
    <w:rsid w:val="004128BB"/>
    <w:rsid w:val="00415198"/>
    <w:rsid w:val="0041531B"/>
    <w:rsid w:val="0041555B"/>
    <w:rsid w:val="00420C27"/>
    <w:rsid w:val="004211CD"/>
    <w:rsid w:val="004213ED"/>
    <w:rsid w:val="00421439"/>
    <w:rsid w:val="0042213C"/>
    <w:rsid w:val="00422B6B"/>
    <w:rsid w:val="00423206"/>
    <w:rsid w:val="00425EBD"/>
    <w:rsid w:val="004260C2"/>
    <w:rsid w:val="00433333"/>
    <w:rsid w:val="0043384C"/>
    <w:rsid w:val="00434777"/>
    <w:rsid w:val="00436B05"/>
    <w:rsid w:val="004372F4"/>
    <w:rsid w:val="0044011C"/>
    <w:rsid w:val="00440B15"/>
    <w:rsid w:val="00441B07"/>
    <w:rsid w:val="004426EB"/>
    <w:rsid w:val="004429AF"/>
    <w:rsid w:val="004447A4"/>
    <w:rsid w:val="00444EA4"/>
    <w:rsid w:val="0044511B"/>
    <w:rsid w:val="00445DA8"/>
    <w:rsid w:val="00446D5D"/>
    <w:rsid w:val="00446F6F"/>
    <w:rsid w:val="00447A23"/>
    <w:rsid w:val="00454865"/>
    <w:rsid w:val="0045534C"/>
    <w:rsid w:val="0045544F"/>
    <w:rsid w:val="0045652B"/>
    <w:rsid w:val="00456DE3"/>
    <w:rsid w:val="00457E62"/>
    <w:rsid w:val="00463DF2"/>
    <w:rsid w:val="004652A3"/>
    <w:rsid w:val="00466390"/>
    <w:rsid w:val="0046649F"/>
    <w:rsid w:val="004675E8"/>
    <w:rsid w:val="00470458"/>
    <w:rsid w:val="00470947"/>
    <w:rsid w:val="00471F28"/>
    <w:rsid w:val="004748E6"/>
    <w:rsid w:val="00474C0A"/>
    <w:rsid w:val="004774AB"/>
    <w:rsid w:val="00477A23"/>
    <w:rsid w:val="004835A9"/>
    <w:rsid w:val="00487E21"/>
    <w:rsid w:val="0049032C"/>
    <w:rsid w:val="0049084C"/>
    <w:rsid w:val="00491919"/>
    <w:rsid w:val="004925F6"/>
    <w:rsid w:val="00493B7F"/>
    <w:rsid w:val="00493C32"/>
    <w:rsid w:val="00494751"/>
    <w:rsid w:val="004952AD"/>
    <w:rsid w:val="004952EF"/>
    <w:rsid w:val="00496306"/>
    <w:rsid w:val="004978C0"/>
    <w:rsid w:val="00497D14"/>
    <w:rsid w:val="004A0047"/>
    <w:rsid w:val="004A0570"/>
    <w:rsid w:val="004A4736"/>
    <w:rsid w:val="004A5D0F"/>
    <w:rsid w:val="004A62E0"/>
    <w:rsid w:val="004B015A"/>
    <w:rsid w:val="004B1299"/>
    <w:rsid w:val="004B38E2"/>
    <w:rsid w:val="004B3F03"/>
    <w:rsid w:val="004B5090"/>
    <w:rsid w:val="004B51B8"/>
    <w:rsid w:val="004B7520"/>
    <w:rsid w:val="004B78BC"/>
    <w:rsid w:val="004C1FCC"/>
    <w:rsid w:val="004C4664"/>
    <w:rsid w:val="004C54BD"/>
    <w:rsid w:val="004C643C"/>
    <w:rsid w:val="004C70FE"/>
    <w:rsid w:val="004D0459"/>
    <w:rsid w:val="004D1C86"/>
    <w:rsid w:val="004D297B"/>
    <w:rsid w:val="004D6BB4"/>
    <w:rsid w:val="004E5C27"/>
    <w:rsid w:val="004F1DB2"/>
    <w:rsid w:val="004F39AE"/>
    <w:rsid w:val="004F7796"/>
    <w:rsid w:val="00500BBB"/>
    <w:rsid w:val="00500C36"/>
    <w:rsid w:val="00504F07"/>
    <w:rsid w:val="005052F7"/>
    <w:rsid w:val="00507432"/>
    <w:rsid w:val="00507A62"/>
    <w:rsid w:val="005116AC"/>
    <w:rsid w:val="00511A19"/>
    <w:rsid w:val="0051768C"/>
    <w:rsid w:val="00521935"/>
    <w:rsid w:val="00521F45"/>
    <w:rsid w:val="005224BB"/>
    <w:rsid w:val="00522C93"/>
    <w:rsid w:val="005241E4"/>
    <w:rsid w:val="005247C2"/>
    <w:rsid w:val="00524BF8"/>
    <w:rsid w:val="00526A4C"/>
    <w:rsid w:val="00530E26"/>
    <w:rsid w:val="00530E74"/>
    <w:rsid w:val="00537027"/>
    <w:rsid w:val="005405F9"/>
    <w:rsid w:val="00543B61"/>
    <w:rsid w:val="00544F43"/>
    <w:rsid w:val="00546A60"/>
    <w:rsid w:val="00547095"/>
    <w:rsid w:val="005475D0"/>
    <w:rsid w:val="00552F60"/>
    <w:rsid w:val="00563649"/>
    <w:rsid w:val="00566753"/>
    <w:rsid w:val="00567821"/>
    <w:rsid w:val="00572CFD"/>
    <w:rsid w:val="00581BCD"/>
    <w:rsid w:val="00584A2F"/>
    <w:rsid w:val="00585F4D"/>
    <w:rsid w:val="005863B8"/>
    <w:rsid w:val="00590474"/>
    <w:rsid w:val="00591405"/>
    <w:rsid w:val="00591D78"/>
    <w:rsid w:val="00592607"/>
    <w:rsid w:val="0059494A"/>
    <w:rsid w:val="00597C7D"/>
    <w:rsid w:val="005A163F"/>
    <w:rsid w:val="005A2513"/>
    <w:rsid w:val="005A47DF"/>
    <w:rsid w:val="005A56D6"/>
    <w:rsid w:val="005B0524"/>
    <w:rsid w:val="005B0771"/>
    <w:rsid w:val="005B7B2B"/>
    <w:rsid w:val="005C0D1C"/>
    <w:rsid w:val="005C2250"/>
    <w:rsid w:val="005C2D37"/>
    <w:rsid w:val="005C3871"/>
    <w:rsid w:val="005C7E2C"/>
    <w:rsid w:val="005D29E7"/>
    <w:rsid w:val="005D4658"/>
    <w:rsid w:val="005D60A3"/>
    <w:rsid w:val="005E1E92"/>
    <w:rsid w:val="005E5968"/>
    <w:rsid w:val="005E6FCF"/>
    <w:rsid w:val="005E7EB5"/>
    <w:rsid w:val="005F1083"/>
    <w:rsid w:val="005F24D7"/>
    <w:rsid w:val="005F2712"/>
    <w:rsid w:val="005F2D16"/>
    <w:rsid w:val="005F483A"/>
    <w:rsid w:val="005F77E5"/>
    <w:rsid w:val="0060267D"/>
    <w:rsid w:val="006036AF"/>
    <w:rsid w:val="00604B97"/>
    <w:rsid w:val="006060E4"/>
    <w:rsid w:val="00607FB2"/>
    <w:rsid w:val="00616766"/>
    <w:rsid w:val="00617373"/>
    <w:rsid w:val="006208E3"/>
    <w:rsid w:val="00620D2B"/>
    <w:rsid w:val="006243FC"/>
    <w:rsid w:val="00624744"/>
    <w:rsid w:val="00625B5D"/>
    <w:rsid w:val="006279AE"/>
    <w:rsid w:val="00630B2F"/>
    <w:rsid w:val="00631602"/>
    <w:rsid w:val="006319D2"/>
    <w:rsid w:val="00631F9F"/>
    <w:rsid w:val="00633FED"/>
    <w:rsid w:val="006348C3"/>
    <w:rsid w:val="006364DE"/>
    <w:rsid w:val="006372F0"/>
    <w:rsid w:val="0064276E"/>
    <w:rsid w:val="0064350F"/>
    <w:rsid w:val="00650C5F"/>
    <w:rsid w:val="00654FA7"/>
    <w:rsid w:val="00656A49"/>
    <w:rsid w:val="00657890"/>
    <w:rsid w:val="00657DBD"/>
    <w:rsid w:val="0066053C"/>
    <w:rsid w:val="00661449"/>
    <w:rsid w:val="00664BDB"/>
    <w:rsid w:val="00664DFB"/>
    <w:rsid w:val="00666D23"/>
    <w:rsid w:val="00671136"/>
    <w:rsid w:val="00673602"/>
    <w:rsid w:val="00673AC3"/>
    <w:rsid w:val="006743A3"/>
    <w:rsid w:val="0067798C"/>
    <w:rsid w:val="00685A75"/>
    <w:rsid w:val="00686963"/>
    <w:rsid w:val="00687360"/>
    <w:rsid w:val="00690851"/>
    <w:rsid w:val="00690CC5"/>
    <w:rsid w:val="00691741"/>
    <w:rsid w:val="006917A5"/>
    <w:rsid w:val="00692A21"/>
    <w:rsid w:val="00695D48"/>
    <w:rsid w:val="006A2301"/>
    <w:rsid w:val="006A3C4A"/>
    <w:rsid w:val="006A4253"/>
    <w:rsid w:val="006A6F10"/>
    <w:rsid w:val="006A7BF1"/>
    <w:rsid w:val="006C25D0"/>
    <w:rsid w:val="006C42A7"/>
    <w:rsid w:val="006C53C6"/>
    <w:rsid w:val="006C6603"/>
    <w:rsid w:val="006C6BCA"/>
    <w:rsid w:val="006C6DD5"/>
    <w:rsid w:val="006C7602"/>
    <w:rsid w:val="006D1FC2"/>
    <w:rsid w:val="006D42F5"/>
    <w:rsid w:val="006D4551"/>
    <w:rsid w:val="006D71AC"/>
    <w:rsid w:val="006E304F"/>
    <w:rsid w:val="006E6A38"/>
    <w:rsid w:val="006E70B1"/>
    <w:rsid w:val="006F1C47"/>
    <w:rsid w:val="006F6BF8"/>
    <w:rsid w:val="00704EAB"/>
    <w:rsid w:val="00707ACF"/>
    <w:rsid w:val="00710367"/>
    <w:rsid w:val="0071191A"/>
    <w:rsid w:val="00713557"/>
    <w:rsid w:val="00716643"/>
    <w:rsid w:val="00716F4F"/>
    <w:rsid w:val="007177D3"/>
    <w:rsid w:val="00720EE4"/>
    <w:rsid w:val="00722A49"/>
    <w:rsid w:val="007235A6"/>
    <w:rsid w:val="00723E56"/>
    <w:rsid w:val="0072483F"/>
    <w:rsid w:val="00724A6F"/>
    <w:rsid w:val="00724E04"/>
    <w:rsid w:val="00726352"/>
    <w:rsid w:val="00726E9B"/>
    <w:rsid w:val="00731A4E"/>
    <w:rsid w:val="007327D7"/>
    <w:rsid w:val="00735120"/>
    <w:rsid w:val="00743466"/>
    <w:rsid w:val="007513A7"/>
    <w:rsid w:val="00751DD2"/>
    <w:rsid w:val="007539FA"/>
    <w:rsid w:val="00754373"/>
    <w:rsid w:val="00757399"/>
    <w:rsid w:val="007613BF"/>
    <w:rsid w:val="00761983"/>
    <w:rsid w:val="00764A7C"/>
    <w:rsid w:val="0076560D"/>
    <w:rsid w:val="00765E6A"/>
    <w:rsid w:val="00766311"/>
    <w:rsid w:val="00771197"/>
    <w:rsid w:val="00772227"/>
    <w:rsid w:val="0077540E"/>
    <w:rsid w:val="00776CAF"/>
    <w:rsid w:val="00777561"/>
    <w:rsid w:val="00777F32"/>
    <w:rsid w:val="007808AD"/>
    <w:rsid w:val="00781D18"/>
    <w:rsid w:val="00784F96"/>
    <w:rsid w:val="0078533D"/>
    <w:rsid w:val="00785508"/>
    <w:rsid w:val="0079082E"/>
    <w:rsid w:val="00791918"/>
    <w:rsid w:val="0079574D"/>
    <w:rsid w:val="0079681A"/>
    <w:rsid w:val="00796F83"/>
    <w:rsid w:val="007A1EB3"/>
    <w:rsid w:val="007A4879"/>
    <w:rsid w:val="007B153E"/>
    <w:rsid w:val="007B5F3C"/>
    <w:rsid w:val="007B6A9B"/>
    <w:rsid w:val="007C288F"/>
    <w:rsid w:val="007C2ADD"/>
    <w:rsid w:val="007C402E"/>
    <w:rsid w:val="007C50B4"/>
    <w:rsid w:val="007D2115"/>
    <w:rsid w:val="007D32CF"/>
    <w:rsid w:val="007D3B0E"/>
    <w:rsid w:val="007D3C94"/>
    <w:rsid w:val="007D4F3E"/>
    <w:rsid w:val="007D5F63"/>
    <w:rsid w:val="007E3348"/>
    <w:rsid w:val="007E7977"/>
    <w:rsid w:val="007F12AE"/>
    <w:rsid w:val="007F2D4C"/>
    <w:rsid w:val="007F4F77"/>
    <w:rsid w:val="007F7572"/>
    <w:rsid w:val="00801D8A"/>
    <w:rsid w:val="00802B21"/>
    <w:rsid w:val="00803826"/>
    <w:rsid w:val="0081172C"/>
    <w:rsid w:val="00815641"/>
    <w:rsid w:val="00816DF7"/>
    <w:rsid w:val="008216C7"/>
    <w:rsid w:val="0082255F"/>
    <w:rsid w:val="0082258A"/>
    <w:rsid w:val="00823082"/>
    <w:rsid w:val="00824301"/>
    <w:rsid w:val="0082450C"/>
    <w:rsid w:val="00824D27"/>
    <w:rsid w:val="00824E54"/>
    <w:rsid w:val="008277A1"/>
    <w:rsid w:val="008300A9"/>
    <w:rsid w:val="008322E6"/>
    <w:rsid w:val="008322F4"/>
    <w:rsid w:val="00837BE0"/>
    <w:rsid w:val="00840588"/>
    <w:rsid w:val="00840CC1"/>
    <w:rsid w:val="008431B0"/>
    <w:rsid w:val="0084416C"/>
    <w:rsid w:val="00844BD9"/>
    <w:rsid w:val="008458DD"/>
    <w:rsid w:val="0084773E"/>
    <w:rsid w:val="008503E6"/>
    <w:rsid w:val="00850670"/>
    <w:rsid w:val="00851E4C"/>
    <w:rsid w:val="008520D6"/>
    <w:rsid w:val="008523C5"/>
    <w:rsid w:val="00852F33"/>
    <w:rsid w:val="00856962"/>
    <w:rsid w:val="00865E1E"/>
    <w:rsid w:val="00867B45"/>
    <w:rsid w:val="00867F04"/>
    <w:rsid w:val="00871329"/>
    <w:rsid w:val="008721D8"/>
    <w:rsid w:val="00872288"/>
    <w:rsid w:val="00872FC7"/>
    <w:rsid w:val="0087423E"/>
    <w:rsid w:val="0087550E"/>
    <w:rsid w:val="0087734C"/>
    <w:rsid w:val="008803D8"/>
    <w:rsid w:val="00883362"/>
    <w:rsid w:val="00883438"/>
    <w:rsid w:val="008836F3"/>
    <w:rsid w:val="008929BB"/>
    <w:rsid w:val="008934F7"/>
    <w:rsid w:val="00895742"/>
    <w:rsid w:val="00895D1B"/>
    <w:rsid w:val="008A1B93"/>
    <w:rsid w:val="008A383C"/>
    <w:rsid w:val="008A525C"/>
    <w:rsid w:val="008A6488"/>
    <w:rsid w:val="008B0437"/>
    <w:rsid w:val="008B3BE8"/>
    <w:rsid w:val="008B413C"/>
    <w:rsid w:val="008B45BC"/>
    <w:rsid w:val="008B56B7"/>
    <w:rsid w:val="008D1FF4"/>
    <w:rsid w:val="008D2556"/>
    <w:rsid w:val="008D49FF"/>
    <w:rsid w:val="008E0A98"/>
    <w:rsid w:val="008E1725"/>
    <w:rsid w:val="008E19CB"/>
    <w:rsid w:val="008E1F97"/>
    <w:rsid w:val="008E6BDB"/>
    <w:rsid w:val="008F4795"/>
    <w:rsid w:val="008F5432"/>
    <w:rsid w:val="008F6ED9"/>
    <w:rsid w:val="008F74E9"/>
    <w:rsid w:val="008F7DB9"/>
    <w:rsid w:val="00900081"/>
    <w:rsid w:val="00901DFC"/>
    <w:rsid w:val="0090465E"/>
    <w:rsid w:val="0091038A"/>
    <w:rsid w:val="00910A8B"/>
    <w:rsid w:val="00911D1A"/>
    <w:rsid w:val="00912744"/>
    <w:rsid w:val="00913677"/>
    <w:rsid w:val="00914381"/>
    <w:rsid w:val="00916015"/>
    <w:rsid w:val="0092110A"/>
    <w:rsid w:val="00923A8D"/>
    <w:rsid w:val="00923AD9"/>
    <w:rsid w:val="0092605E"/>
    <w:rsid w:val="00931B75"/>
    <w:rsid w:val="00934CBE"/>
    <w:rsid w:val="00940553"/>
    <w:rsid w:val="00942CB8"/>
    <w:rsid w:val="00942CD0"/>
    <w:rsid w:val="00944D0D"/>
    <w:rsid w:val="00950410"/>
    <w:rsid w:val="00954740"/>
    <w:rsid w:val="0095528F"/>
    <w:rsid w:val="00957355"/>
    <w:rsid w:val="009619CC"/>
    <w:rsid w:val="00962AD9"/>
    <w:rsid w:val="0096593F"/>
    <w:rsid w:val="009666F3"/>
    <w:rsid w:val="0097315E"/>
    <w:rsid w:val="00973C68"/>
    <w:rsid w:val="0097470A"/>
    <w:rsid w:val="00974DC3"/>
    <w:rsid w:val="0097556C"/>
    <w:rsid w:val="00975A46"/>
    <w:rsid w:val="00976BBD"/>
    <w:rsid w:val="00977079"/>
    <w:rsid w:val="009776F4"/>
    <w:rsid w:val="00980166"/>
    <w:rsid w:val="00984D60"/>
    <w:rsid w:val="00986ECF"/>
    <w:rsid w:val="009955A3"/>
    <w:rsid w:val="0099665B"/>
    <w:rsid w:val="00997013"/>
    <w:rsid w:val="009B032C"/>
    <w:rsid w:val="009B0E5A"/>
    <w:rsid w:val="009B2486"/>
    <w:rsid w:val="009B2ADF"/>
    <w:rsid w:val="009B3D22"/>
    <w:rsid w:val="009B4564"/>
    <w:rsid w:val="009B5B2D"/>
    <w:rsid w:val="009C0CF2"/>
    <w:rsid w:val="009C1722"/>
    <w:rsid w:val="009C25C7"/>
    <w:rsid w:val="009C5F74"/>
    <w:rsid w:val="009D6104"/>
    <w:rsid w:val="009E133F"/>
    <w:rsid w:val="009E72B9"/>
    <w:rsid w:val="009F14CC"/>
    <w:rsid w:val="009F4C6B"/>
    <w:rsid w:val="009F55EE"/>
    <w:rsid w:val="00A01FE1"/>
    <w:rsid w:val="00A0356D"/>
    <w:rsid w:val="00A0655D"/>
    <w:rsid w:val="00A13AEC"/>
    <w:rsid w:val="00A20EA6"/>
    <w:rsid w:val="00A23D10"/>
    <w:rsid w:val="00A24886"/>
    <w:rsid w:val="00A25FE4"/>
    <w:rsid w:val="00A330B5"/>
    <w:rsid w:val="00A33BDA"/>
    <w:rsid w:val="00A40EA6"/>
    <w:rsid w:val="00A421F5"/>
    <w:rsid w:val="00A44FD5"/>
    <w:rsid w:val="00A4586E"/>
    <w:rsid w:val="00A46099"/>
    <w:rsid w:val="00A471F4"/>
    <w:rsid w:val="00A52478"/>
    <w:rsid w:val="00A568DA"/>
    <w:rsid w:val="00A619D8"/>
    <w:rsid w:val="00A65993"/>
    <w:rsid w:val="00A67F1E"/>
    <w:rsid w:val="00A71BB0"/>
    <w:rsid w:val="00A76CA6"/>
    <w:rsid w:val="00A80D2D"/>
    <w:rsid w:val="00A82456"/>
    <w:rsid w:val="00A8270C"/>
    <w:rsid w:val="00A8368F"/>
    <w:rsid w:val="00A844FC"/>
    <w:rsid w:val="00A84853"/>
    <w:rsid w:val="00A911E9"/>
    <w:rsid w:val="00A942DC"/>
    <w:rsid w:val="00AA1B21"/>
    <w:rsid w:val="00AA21CB"/>
    <w:rsid w:val="00AA367F"/>
    <w:rsid w:val="00AA7DA0"/>
    <w:rsid w:val="00AB25D6"/>
    <w:rsid w:val="00AB37F7"/>
    <w:rsid w:val="00AB43D8"/>
    <w:rsid w:val="00AB59C9"/>
    <w:rsid w:val="00AB618B"/>
    <w:rsid w:val="00AC343C"/>
    <w:rsid w:val="00AC535E"/>
    <w:rsid w:val="00AC5DA3"/>
    <w:rsid w:val="00AC5E83"/>
    <w:rsid w:val="00AC5F6A"/>
    <w:rsid w:val="00AC65E0"/>
    <w:rsid w:val="00AD24C8"/>
    <w:rsid w:val="00AD28C7"/>
    <w:rsid w:val="00AD4C16"/>
    <w:rsid w:val="00AD744F"/>
    <w:rsid w:val="00AE29AD"/>
    <w:rsid w:val="00AE2E1C"/>
    <w:rsid w:val="00AE3146"/>
    <w:rsid w:val="00AE4F05"/>
    <w:rsid w:val="00AE6621"/>
    <w:rsid w:val="00AF070E"/>
    <w:rsid w:val="00AF15CF"/>
    <w:rsid w:val="00AF38F5"/>
    <w:rsid w:val="00AF5A99"/>
    <w:rsid w:val="00AF69B5"/>
    <w:rsid w:val="00AF6B49"/>
    <w:rsid w:val="00B02148"/>
    <w:rsid w:val="00B0330F"/>
    <w:rsid w:val="00B0467E"/>
    <w:rsid w:val="00B048EA"/>
    <w:rsid w:val="00B04A72"/>
    <w:rsid w:val="00B06265"/>
    <w:rsid w:val="00B137A8"/>
    <w:rsid w:val="00B16B9A"/>
    <w:rsid w:val="00B1737D"/>
    <w:rsid w:val="00B2280B"/>
    <w:rsid w:val="00B23904"/>
    <w:rsid w:val="00B262B0"/>
    <w:rsid w:val="00B304EC"/>
    <w:rsid w:val="00B3100C"/>
    <w:rsid w:val="00B327A4"/>
    <w:rsid w:val="00B33A7D"/>
    <w:rsid w:val="00B344C6"/>
    <w:rsid w:val="00B34A2B"/>
    <w:rsid w:val="00B40096"/>
    <w:rsid w:val="00B42A9C"/>
    <w:rsid w:val="00B456DF"/>
    <w:rsid w:val="00B45964"/>
    <w:rsid w:val="00B46DFE"/>
    <w:rsid w:val="00B53A04"/>
    <w:rsid w:val="00B54BBE"/>
    <w:rsid w:val="00B553D9"/>
    <w:rsid w:val="00B555BF"/>
    <w:rsid w:val="00B55821"/>
    <w:rsid w:val="00B55D50"/>
    <w:rsid w:val="00B57049"/>
    <w:rsid w:val="00B578C9"/>
    <w:rsid w:val="00B63114"/>
    <w:rsid w:val="00B64BC1"/>
    <w:rsid w:val="00B65D9F"/>
    <w:rsid w:val="00B75634"/>
    <w:rsid w:val="00B76533"/>
    <w:rsid w:val="00B775B3"/>
    <w:rsid w:val="00B808EB"/>
    <w:rsid w:val="00B829EB"/>
    <w:rsid w:val="00B83DAB"/>
    <w:rsid w:val="00B83EB3"/>
    <w:rsid w:val="00B9161B"/>
    <w:rsid w:val="00B92117"/>
    <w:rsid w:val="00B92AF3"/>
    <w:rsid w:val="00B92FD9"/>
    <w:rsid w:val="00B942A6"/>
    <w:rsid w:val="00B950BC"/>
    <w:rsid w:val="00B9521C"/>
    <w:rsid w:val="00BA4852"/>
    <w:rsid w:val="00BA75F8"/>
    <w:rsid w:val="00BB6299"/>
    <w:rsid w:val="00BC110B"/>
    <w:rsid w:val="00BC2AC5"/>
    <w:rsid w:val="00BC5F67"/>
    <w:rsid w:val="00BE4D5F"/>
    <w:rsid w:val="00BE54C1"/>
    <w:rsid w:val="00BE67EA"/>
    <w:rsid w:val="00BF0BFB"/>
    <w:rsid w:val="00BF41AE"/>
    <w:rsid w:val="00C00167"/>
    <w:rsid w:val="00C044CC"/>
    <w:rsid w:val="00C05173"/>
    <w:rsid w:val="00C05A46"/>
    <w:rsid w:val="00C134BC"/>
    <w:rsid w:val="00C13631"/>
    <w:rsid w:val="00C14038"/>
    <w:rsid w:val="00C15CD7"/>
    <w:rsid w:val="00C16C73"/>
    <w:rsid w:val="00C205FC"/>
    <w:rsid w:val="00C21B71"/>
    <w:rsid w:val="00C23F8A"/>
    <w:rsid w:val="00C24207"/>
    <w:rsid w:val="00C31C75"/>
    <w:rsid w:val="00C33133"/>
    <w:rsid w:val="00C34C5B"/>
    <w:rsid w:val="00C373FF"/>
    <w:rsid w:val="00C41E10"/>
    <w:rsid w:val="00C4262A"/>
    <w:rsid w:val="00C44325"/>
    <w:rsid w:val="00C465DA"/>
    <w:rsid w:val="00C51AA2"/>
    <w:rsid w:val="00C53B96"/>
    <w:rsid w:val="00C60A7C"/>
    <w:rsid w:val="00C64697"/>
    <w:rsid w:val="00C648DC"/>
    <w:rsid w:val="00C65E02"/>
    <w:rsid w:val="00C7072B"/>
    <w:rsid w:val="00C70A72"/>
    <w:rsid w:val="00C71502"/>
    <w:rsid w:val="00C731D3"/>
    <w:rsid w:val="00C871AC"/>
    <w:rsid w:val="00C90717"/>
    <w:rsid w:val="00C90821"/>
    <w:rsid w:val="00C92B00"/>
    <w:rsid w:val="00C92EA2"/>
    <w:rsid w:val="00CA0005"/>
    <w:rsid w:val="00CA0DC2"/>
    <w:rsid w:val="00CA1AFE"/>
    <w:rsid w:val="00CA4185"/>
    <w:rsid w:val="00CA5BBC"/>
    <w:rsid w:val="00CA5F24"/>
    <w:rsid w:val="00CA61B4"/>
    <w:rsid w:val="00CA6CE1"/>
    <w:rsid w:val="00CA78A3"/>
    <w:rsid w:val="00CA7B22"/>
    <w:rsid w:val="00CB1685"/>
    <w:rsid w:val="00CB24AF"/>
    <w:rsid w:val="00CB4028"/>
    <w:rsid w:val="00CB680F"/>
    <w:rsid w:val="00CB789F"/>
    <w:rsid w:val="00CC15FA"/>
    <w:rsid w:val="00CC48C6"/>
    <w:rsid w:val="00CC7954"/>
    <w:rsid w:val="00CD55DD"/>
    <w:rsid w:val="00CD708A"/>
    <w:rsid w:val="00CE1275"/>
    <w:rsid w:val="00CE182A"/>
    <w:rsid w:val="00CE193D"/>
    <w:rsid w:val="00CE22B4"/>
    <w:rsid w:val="00CE4579"/>
    <w:rsid w:val="00CE47A3"/>
    <w:rsid w:val="00CE4D83"/>
    <w:rsid w:val="00CE523E"/>
    <w:rsid w:val="00CE63F1"/>
    <w:rsid w:val="00CE75AB"/>
    <w:rsid w:val="00CF644D"/>
    <w:rsid w:val="00CF6A45"/>
    <w:rsid w:val="00CF6C85"/>
    <w:rsid w:val="00D004C8"/>
    <w:rsid w:val="00D060CF"/>
    <w:rsid w:val="00D103DB"/>
    <w:rsid w:val="00D111F6"/>
    <w:rsid w:val="00D11D30"/>
    <w:rsid w:val="00D1402E"/>
    <w:rsid w:val="00D14BA0"/>
    <w:rsid w:val="00D16857"/>
    <w:rsid w:val="00D2612D"/>
    <w:rsid w:val="00D30D59"/>
    <w:rsid w:val="00D32C0A"/>
    <w:rsid w:val="00D34762"/>
    <w:rsid w:val="00D34E6A"/>
    <w:rsid w:val="00D3585C"/>
    <w:rsid w:val="00D376B9"/>
    <w:rsid w:val="00D40267"/>
    <w:rsid w:val="00D41AE3"/>
    <w:rsid w:val="00D51C7F"/>
    <w:rsid w:val="00D5281A"/>
    <w:rsid w:val="00D60477"/>
    <w:rsid w:val="00D61BF6"/>
    <w:rsid w:val="00D63192"/>
    <w:rsid w:val="00D6435E"/>
    <w:rsid w:val="00D70282"/>
    <w:rsid w:val="00D71624"/>
    <w:rsid w:val="00D72762"/>
    <w:rsid w:val="00D75B13"/>
    <w:rsid w:val="00D75B23"/>
    <w:rsid w:val="00D76194"/>
    <w:rsid w:val="00D8072B"/>
    <w:rsid w:val="00D846D4"/>
    <w:rsid w:val="00D87DB7"/>
    <w:rsid w:val="00D87F62"/>
    <w:rsid w:val="00D904FE"/>
    <w:rsid w:val="00D90657"/>
    <w:rsid w:val="00D92E69"/>
    <w:rsid w:val="00D937EA"/>
    <w:rsid w:val="00D95F9D"/>
    <w:rsid w:val="00D95FAA"/>
    <w:rsid w:val="00D97B58"/>
    <w:rsid w:val="00DA0C0C"/>
    <w:rsid w:val="00DA262D"/>
    <w:rsid w:val="00DA6289"/>
    <w:rsid w:val="00DA6E56"/>
    <w:rsid w:val="00DA7E2B"/>
    <w:rsid w:val="00DA7E53"/>
    <w:rsid w:val="00DB010B"/>
    <w:rsid w:val="00DB32E9"/>
    <w:rsid w:val="00DB7885"/>
    <w:rsid w:val="00DC066A"/>
    <w:rsid w:val="00DC0FA2"/>
    <w:rsid w:val="00DC67F3"/>
    <w:rsid w:val="00DD41AA"/>
    <w:rsid w:val="00DD7266"/>
    <w:rsid w:val="00DD78C2"/>
    <w:rsid w:val="00DE0773"/>
    <w:rsid w:val="00DE176D"/>
    <w:rsid w:val="00DE1AAD"/>
    <w:rsid w:val="00DE2B80"/>
    <w:rsid w:val="00DE2BEA"/>
    <w:rsid w:val="00DE45FA"/>
    <w:rsid w:val="00DF20F1"/>
    <w:rsid w:val="00E02119"/>
    <w:rsid w:val="00E05F65"/>
    <w:rsid w:val="00E06534"/>
    <w:rsid w:val="00E133F3"/>
    <w:rsid w:val="00E1430A"/>
    <w:rsid w:val="00E16F78"/>
    <w:rsid w:val="00E20E08"/>
    <w:rsid w:val="00E20FCC"/>
    <w:rsid w:val="00E243C8"/>
    <w:rsid w:val="00E244A8"/>
    <w:rsid w:val="00E25165"/>
    <w:rsid w:val="00E25765"/>
    <w:rsid w:val="00E25D6E"/>
    <w:rsid w:val="00E2786F"/>
    <w:rsid w:val="00E27ABF"/>
    <w:rsid w:val="00E30BFF"/>
    <w:rsid w:val="00E30E68"/>
    <w:rsid w:val="00E31048"/>
    <w:rsid w:val="00E310F3"/>
    <w:rsid w:val="00E33471"/>
    <w:rsid w:val="00E35116"/>
    <w:rsid w:val="00E40124"/>
    <w:rsid w:val="00E4123B"/>
    <w:rsid w:val="00E447D6"/>
    <w:rsid w:val="00E44A1B"/>
    <w:rsid w:val="00E47F72"/>
    <w:rsid w:val="00E50417"/>
    <w:rsid w:val="00E55311"/>
    <w:rsid w:val="00E55969"/>
    <w:rsid w:val="00E55FC4"/>
    <w:rsid w:val="00E56F7D"/>
    <w:rsid w:val="00E57049"/>
    <w:rsid w:val="00E61357"/>
    <w:rsid w:val="00E6279B"/>
    <w:rsid w:val="00E64071"/>
    <w:rsid w:val="00E70AE6"/>
    <w:rsid w:val="00E72097"/>
    <w:rsid w:val="00E73597"/>
    <w:rsid w:val="00E74390"/>
    <w:rsid w:val="00E74A65"/>
    <w:rsid w:val="00E7693C"/>
    <w:rsid w:val="00E80014"/>
    <w:rsid w:val="00E834B2"/>
    <w:rsid w:val="00E83FF1"/>
    <w:rsid w:val="00E84408"/>
    <w:rsid w:val="00E8498A"/>
    <w:rsid w:val="00E85322"/>
    <w:rsid w:val="00E87C94"/>
    <w:rsid w:val="00E912A4"/>
    <w:rsid w:val="00E9446D"/>
    <w:rsid w:val="00E9504A"/>
    <w:rsid w:val="00E96837"/>
    <w:rsid w:val="00EA012C"/>
    <w:rsid w:val="00EA05B4"/>
    <w:rsid w:val="00EA0F7E"/>
    <w:rsid w:val="00EA1019"/>
    <w:rsid w:val="00EA17C7"/>
    <w:rsid w:val="00EA2938"/>
    <w:rsid w:val="00EA4036"/>
    <w:rsid w:val="00EA4A8D"/>
    <w:rsid w:val="00EA4A9A"/>
    <w:rsid w:val="00EA5043"/>
    <w:rsid w:val="00EA7534"/>
    <w:rsid w:val="00EA7C0B"/>
    <w:rsid w:val="00EB177C"/>
    <w:rsid w:val="00EB35B6"/>
    <w:rsid w:val="00EB7570"/>
    <w:rsid w:val="00EC2516"/>
    <w:rsid w:val="00EC29AA"/>
    <w:rsid w:val="00EC3C27"/>
    <w:rsid w:val="00EC4087"/>
    <w:rsid w:val="00EC46A1"/>
    <w:rsid w:val="00EC4927"/>
    <w:rsid w:val="00ED1B81"/>
    <w:rsid w:val="00ED5162"/>
    <w:rsid w:val="00EE0390"/>
    <w:rsid w:val="00EF1062"/>
    <w:rsid w:val="00EF38C6"/>
    <w:rsid w:val="00EF4E5F"/>
    <w:rsid w:val="00EF7C1B"/>
    <w:rsid w:val="00F033A5"/>
    <w:rsid w:val="00F04C2A"/>
    <w:rsid w:val="00F05340"/>
    <w:rsid w:val="00F0542D"/>
    <w:rsid w:val="00F05E6A"/>
    <w:rsid w:val="00F07618"/>
    <w:rsid w:val="00F12A3E"/>
    <w:rsid w:val="00F133A0"/>
    <w:rsid w:val="00F1750F"/>
    <w:rsid w:val="00F17A6E"/>
    <w:rsid w:val="00F2223F"/>
    <w:rsid w:val="00F24D5C"/>
    <w:rsid w:val="00F26CB3"/>
    <w:rsid w:val="00F34447"/>
    <w:rsid w:val="00F3582B"/>
    <w:rsid w:val="00F3605A"/>
    <w:rsid w:val="00F44A49"/>
    <w:rsid w:val="00F51319"/>
    <w:rsid w:val="00F53EAC"/>
    <w:rsid w:val="00F571A1"/>
    <w:rsid w:val="00F61430"/>
    <w:rsid w:val="00F61E0E"/>
    <w:rsid w:val="00F64E39"/>
    <w:rsid w:val="00F66FD5"/>
    <w:rsid w:val="00F6704A"/>
    <w:rsid w:val="00F67A8C"/>
    <w:rsid w:val="00F70ABB"/>
    <w:rsid w:val="00F72AEE"/>
    <w:rsid w:val="00F73489"/>
    <w:rsid w:val="00F73AFD"/>
    <w:rsid w:val="00F74E29"/>
    <w:rsid w:val="00F76172"/>
    <w:rsid w:val="00F77632"/>
    <w:rsid w:val="00F77F41"/>
    <w:rsid w:val="00F801FF"/>
    <w:rsid w:val="00F8350C"/>
    <w:rsid w:val="00F83CDF"/>
    <w:rsid w:val="00F845B9"/>
    <w:rsid w:val="00F84B82"/>
    <w:rsid w:val="00F87801"/>
    <w:rsid w:val="00F91CE3"/>
    <w:rsid w:val="00F91F89"/>
    <w:rsid w:val="00F9260B"/>
    <w:rsid w:val="00F92AAA"/>
    <w:rsid w:val="00F92C53"/>
    <w:rsid w:val="00F93F25"/>
    <w:rsid w:val="00FA0A37"/>
    <w:rsid w:val="00FA2B04"/>
    <w:rsid w:val="00FA3A45"/>
    <w:rsid w:val="00FA4DDD"/>
    <w:rsid w:val="00FA7F80"/>
    <w:rsid w:val="00FB02F3"/>
    <w:rsid w:val="00FB09B7"/>
    <w:rsid w:val="00FB15C5"/>
    <w:rsid w:val="00FB4B83"/>
    <w:rsid w:val="00FB5B7E"/>
    <w:rsid w:val="00FB6CA6"/>
    <w:rsid w:val="00FC3865"/>
    <w:rsid w:val="00FC3EE7"/>
    <w:rsid w:val="00FC7BB6"/>
    <w:rsid w:val="00FD154F"/>
    <w:rsid w:val="00FD3F08"/>
    <w:rsid w:val="00FD59D5"/>
    <w:rsid w:val="00FD705A"/>
    <w:rsid w:val="00FE066A"/>
    <w:rsid w:val="00FE268A"/>
    <w:rsid w:val="00FE27A1"/>
    <w:rsid w:val="00FE5260"/>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17C3F"/>
  <w15:chartTrackingRefBased/>
  <w15:docId w15:val="{7E573470-6751-4C1C-979F-39E734AC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C"/>
  </w:style>
  <w:style w:type="paragraph" w:styleId="Heading1">
    <w:name w:val="heading 1"/>
    <w:basedOn w:val="Normal"/>
    <w:next w:val="Normal"/>
    <w:qFormat/>
    <w:pPr>
      <w:keepNext/>
      <w:spacing w:line="360" w:lineRule="auto"/>
      <w:outlineLvl w:val="0"/>
    </w:pPr>
    <w:rPr>
      <w:rFonts w:ascii="Arial" w:hAnsi="Arial"/>
      <w:b/>
      <w:bCs/>
      <w:sz w:val="28"/>
    </w:rPr>
  </w:style>
  <w:style w:type="paragraph" w:styleId="Heading2">
    <w:name w:val="heading 2"/>
    <w:basedOn w:val="Normal"/>
    <w:next w:val="Normal"/>
    <w:link w:val="Heading2Char"/>
    <w:uiPriority w:val="9"/>
    <w:unhideWhenUsed/>
    <w:qFormat/>
    <w:rsid w:val="005074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67F1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28"/>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line="360" w:lineRule="auto"/>
    </w:pPr>
    <w:rPr>
      <w:rFonts w:ascii="Arial" w:hAnsi="Arial"/>
      <w:sz w:val="28"/>
    </w:rPr>
  </w:style>
  <w:style w:type="paragraph" w:styleId="BodyText2">
    <w:name w:val="Body Text 2"/>
    <w:basedOn w:val="Normal"/>
    <w:link w:val="BodyText2Char"/>
    <w:semiHidden/>
    <w:pPr>
      <w:spacing w:line="360" w:lineRule="auto"/>
    </w:pPr>
    <w:rPr>
      <w:rFonts w:ascii="Arial" w:hAnsi="Arial"/>
      <w:sz w:val="28"/>
      <w:szCs w:val="24"/>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8A1B93"/>
    <w:rPr>
      <w:rFonts w:ascii="Tahoma" w:hAnsi="Tahoma" w:cs="Tahoma"/>
      <w:sz w:val="16"/>
      <w:szCs w:val="16"/>
    </w:rPr>
  </w:style>
  <w:style w:type="character" w:customStyle="1" w:styleId="BalloonTextChar">
    <w:name w:val="Balloon Text Char"/>
    <w:link w:val="BalloonText"/>
    <w:uiPriority w:val="99"/>
    <w:semiHidden/>
    <w:rsid w:val="008A1B93"/>
    <w:rPr>
      <w:rFonts w:ascii="Tahoma" w:hAnsi="Tahoma" w:cs="Tahoma"/>
      <w:sz w:val="16"/>
      <w:szCs w:val="16"/>
    </w:rPr>
  </w:style>
  <w:style w:type="paragraph" w:styleId="Revision">
    <w:name w:val="Revision"/>
    <w:hidden/>
    <w:uiPriority w:val="99"/>
    <w:semiHidden/>
    <w:rsid w:val="00F72AEE"/>
  </w:style>
  <w:style w:type="character" w:customStyle="1" w:styleId="BodyTextChar">
    <w:name w:val="Body Text Char"/>
    <w:link w:val="BodyText"/>
    <w:semiHidden/>
    <w:rsid w:val="00A44FD5"/>
    <w:rPr>
      <w:rFonts w:ascii="Arial" w:hAnsi="Arial"/>
      <w:sz w:val="28"/>
    </w:rPr>
  </w:style>
  <w:style w:type="character" w:customStyle="1" w:styleId="BodyText2Char">
    <w:name w:val="Body Text 2 Char"/>
    <w:link w:val="BodyText2"/>
    <w:semiHidden/>
    <w:rsid w:val="00A44FD5"/>
    <w:rPr>
      <w:rFonts w:ascii="Arial" w:hAnsi="Arial"/>
      <w:sz w:val="28"/>
      <w:szCs w:val="24"/>
      <w:u w:val="single"/>
    </w:rPr>
  </w:style>
  <w:style w:type="paragraph" w:styleId="BodyText3">
    <w:name w:val="Body Text 3"/>
    <w:basedOn w:val="Normal"/>
    <w:link w:val="BodyText3Char"/>
    <w:uiPriority w:val="99"/>
    <w:unhideWhenUsed/>
    <w:rsid w:val="00A44FD5"/>
    <w:pPr>
      <w:spacing w:after="120"/>
    </w:pPr>
    <w:rPr>
      <w:sz w:val="16"/>
      <w:szCs w:val="16"/>
    </w:rPr>
  </w:style>
  <w:style w:type="character" w:customStyle="1" w:styleId="BodyText3Char">
    <w:name w:val="Body Text 3 Char"/>
    <w:link w:val="BodyText3"/>
    <w:uiPriority w:val="99"/>
    <w:rsid w:val="00A44FD5"/>
    <w:rPr>
      <w:sz w:val="16"/>
      <w:szCs w:val="16"/>
    </w:rPr>
  </w:style>
  <w:style w:type="character" w:customStyle="1" w:styleId="HeaderChar">
    <w:name w:val="Header Char"/>
    <w:basedOn w:val="DefaultParagraphFont"/>
    <w:link w:val="Header"/>
    <w:rsid w:val="00A44FD5"/>
  </w:style>
  <w:style w:type="paragraph" w:styleId="CommentSubject">
    <w:name w:val="annotation subject"/>
    <w:basedOn w:val="CommentText"/>
    <w:next w:val="CommentText"/>
    <w:link w:val="CommentSubjectChar"/>
    <w:uiPriority w:val="99"/>
    <w:semiHidden/>
    <w:unhideWhenUsed/>
    <w:rsid w:val="005E5968"/>
    <w:rPr>
      <w:b/>
      <w:bCs/>
    </w:rPr>
  </w:style>
  <w:style w:type="character" w:customStyle="1" w:styleId="CommentTextChar">
    <w:name w:val="Comment Text Char"/>
    <w:basedOn w:val="DefaultParagraphFont"/>
    <w:link w:val="CommentText"/>
    <w:uiPriority w:val="99"/>
    <w:semiHidden/>
    <w:rsid w:val="005E5968"/>
  </w:style>
  <w:style w:type="character" w:customStyle="1" w:styleId="CommentSubjectChar">
    <w:name w:val="Comment Subject Char"/>
    <w:basedOn w:val="CommentTextChar"/>
    <w:link w:val="CommentSubject"/>
    <w:rsid w:val="005E5968"/>
  </w:style>
  <w:style w:type="character" w:customStyle="1" w:styleId="TitleChar">
    <w:name w:val="Title Char"/>
    <w:link w:val="Title"/>
    <w:rsid w:val="00B55D50"/>
    <w:rPr>
      <w:rFonts w:ascii="Arial" w:hAnsi="Arial"/>
      <w:sz w:val="28"/>
    </w:rPr>
  </w:style>
  <w:style w:type="paragraph" w:styleId="ListParagraph">
    <w:name w:val="List Paragraph"/>
    <w:basedOn w:val="Normal"/>
    <w:uiPriority w:val="34"/>
    <w:qFormat/>
    <w:rsid w:val="00581BCD"/>
    <w:pPr>
      <w:ind w:left="720"/>
      <w:contextualSpacing/>
    </w:pPr>
    <w:rPr>
      <w:rFonts w:ascii="Arial" w:hAnsi="Arial"/>
      <w:sz w:val="28"/>
    </w:rPr>
  </w:style>
  <w:style w:type="character" w:customStyle="1" w:styleId="Heading2Char">
    <w:name w:val="Heading 2 Char"/>
    <w:link w:val="Heading2"/>
    <w:uiPriority w:val="9"/>
    <w:rsid w:val="00507432"/>
    <w:rPr>
      <w:rFonts w:ascii="Cambria" w:eastAsia="Times New Roman" w:hAnsi="Cambria" w:cs="Times New Roman"/>
      <w:b/>
      <w:bCs/>
      <w:i/>
      <w:iCs/>
      <w:sz w:val="28"/>
      <w:szCs w:val="28"/>
    </w:rPr>
  </w:style>
  <w:style w:type="character" w:styleId="Hyperlink">
    <w:name w:val="Hyperlink"/>
    <w:unhideWhenUsed/>
    <w:rsid w:val="00507432"/>
    <w:rPr>
      <w:color w:val="0000FF"/>
      <w:u w:val="single"/>
    </w:rPr>
  </w:style>
  <w:style w:type="character" w:styleId="FollowedHyperlink">
    <w:name w:val="FollowedHyperlink"/>
    <w:uiPriority w:val="99"/>
    <w:semiHidden/>
    <w:unhideWhenUsed/>
    <w:rsid w:val="00D63192"/>
    <w:rPr>
      <w:color w:val="800080"/>
      <w:u w:val="single"/>
    </w:rPr>
  </w:style>
  <w:style w:type="paragraph" w:styleId="BodyTextIndent">
    <w:name w:val="Body Text Indent"/>
    <w:basedOn w:val="Normal"/>
    <w:link w:val="BodyTextIndentChar"/>
    <w:uiPriority w:val="99"/>
    <w:semiHidden/>
    <w:unhideWhenUsed/>
    <w:rsid w:val="0092110A"/>
    <w:pPr>
      <w:spacing w:after="120"/>
      <w:ind w:left="360"/>
    </w:pPr>
  </w:style>
  <w:style w:type="character" w:customStyle="1" w:styleId="BodyTextIndentChar">
    <w:name w:val="Body Text Indent Char"/>
    <w:basedOn w:val="DefaultParagraphFont"/>
    <w:link w:val="BodyTextIndent"/>
    <w:uiPriority w:val="99"/>
    <w:semiHidden/>
    <w:rsid w:val="0092110A"/>
  </w:style>
  <w:style w:type="character" w:customStyle="1" w:styleId="Heading3Char">
    <w:name w:val="Heading 3 Char"/>
    <w:basedOn w:val="DefaultParagraphFont"/>
    <w:link w:val="Heading3"/>
    <w:uiPriority w:val="9"/>
    <w:rsid w:val="00A67F1E"/>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5608">
      <w:bodyDiv w:val="1"/>
      <w:marLeft w:val="0"/>
      <w:marRight w:val="0"/>
      <w:marTop w:val="0"/>
      <w:marBottom w:val="0"/>
      <w:divBdr>
        <w:top w:val="none" w:sz="0" w:space="0" w:color="auto"/>
        <w:left w:val="none" w:sz="0" w:space="0" w:color="auto"/>
        <w:bottom w:val="none" w:sz="0" w:space="0" w:color="auto"/>
        <w:right w:val="none" w:sz="0" w:space="0" w:color="auto"/>
      </w:divBdr>
    </w:div>
    <w:div w:id="323705151">
      <w:bodyDiv w:val="1"/>
      <w:marLeft w:val="0"/>
      <w:marRight w:val="0"/>
      <w:marTop w:val="0"/>
      <w:marBottom w:val="0"/>
      <w:divBdr>
        <w:top w:val="none" w:sz="0" w:space="0" w:color="auto"/>
        <w:left w:val="none" w:sz="0" w:space="0" w:color="auto"/>
        <w:bottom w:val="none" w:sz="0" w:space="0" w:color="auto"/>
        <w:right w:val="none" w:sz="0" w:space="0" w:color="auto"/>
      </w:divBdr>
    </w:div>
    <w:div w:id="553779244">
      <w:bodyDiv w:val="1"/>
      <w:marLeft w:val="0"/>
      <w:marRight w:val="0"/>
      <w:marTop w:val="0"/>
      <w:marBottom w:val="0"/>
      <w:divBdr>
        <w:top w:val="none" w:sz="0" w:space="0" w:color="auto"/>
        <w:left w:val="none" w:sz="0" w:space="0" w:color="auto"/>
        <w:bottom w:val="none" w:sz="0" w:space="0" w:color="auto"/>
        <w:right w:val="none" w:sz="0" w:space="0" w:color="auto"/>
      </w:divBdr>
    </w:div>
    <w:div w:id="1181624040">
      <w:bodyDiv w:val="1"/>
      <w:marLeft w:val="0"/>
      <w:marRight w:val="0"/>
      <w:marTop w:val="0"/>
      <w:marBottom w:val="0"/>
      <w:divBdr>
        <w:top w:val="none" w:sz="0" w:space="0" w:color="auto"/>
        <w:left w:val="none" w:sz="0" w:space="0" w:color="auto"/>
        <w:bottom w:val="none" w:sz="0" w:space="0" w:color="auto"/>
        <w:right w:val="none" w:sz="0" w:space="0" w:color="auto"/>
      </w:divBdr>
    </w:div>
    <w:div w:id="1275553541">
      <w:bodyDiv w:val="1"/>
      <w:marLeft w:val="0"/>
      <w:marRight w:val="0"/>
      <w:marTop w:val="0"/>
      <w:marBottom w:val="0"/>
      <w:divBdr>
        <w:top w:val="none" w:sz="0" w:space="0" w:color="auto"/>
        <w:left w:val="none" w:sz="0" w:space="0" w:color="auto"/>
        <w:bottom w:val="none" w:sz="0" w:space="0" w:color="auto"/>
        <w:right w:val="none" w:sz="0" w:space="0" w:color="auto"/>
      </w:divBdr>
    </w:div>
    <w:div w:id="1829321106">
      <w:bodyDiv w:val="1"/>
      <w:marLeft w:val="0"/>
      <w:marRight w:val="0"/>
      <w:marTop w:val="0"/>
      <w:marBottom w:val="0"/>
      <w:divBdr>
        <w:top w:val="none" w:sz="0" w:space="0" w:color="auto"/>
        <w:left w:val="none" w:sz="0" w:space="0" w:color="auto"/>
        <w:bottom w:val="none" w:sz="0" w:space="0" w:color="auto"/>
        <w:right w:val="none" w:sz="0" w:space="0" w:color="auto"/>
      </w:divBdr>
    </w:div>
    <w:div w:id="21165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80AF-7BDD-4D75-877A-6FC1C4FAE667}">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Dot1</Template>
  <TotalTime>11</TotalTime>
  <Pages>8</Pages>
  <Words>2390</Words>
  <Characters>13812</Characters>
  <Application>Microsoft Office Word</Application>
  <DocSecurity>0</DocSecurity>
  <Lines>281</Lines>
  <Paragraphs>52</Paragraphs>
  <ScaleCrop>false</ScaleCrop>
  <HeadingPairs>
    <vt:vector size="2" baseType="variant">
      <vt:variant>
        <vt:lpstr>Title</vt:lpstr>
      </vt:variant>
      <vt:variant>
        <vt:i4>1</vt:i4>
      </vt:variant>
    </vt:vector>
  </HeadingPairs>
  <TitlesOfParts>
    <vt:vector size="1" baseType="lpstr">
      <vt:lpstr>INITIAL STATEMENT OF REASONS</vt:lpstr>
    </vt:vector>
  </TitlesOfParts>
  <Company>State of California</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dc:title>
  <dc:subject/>
  <dc:creator>Shelly Risbry</dc:creator>
  <cp:keywords/>
  <cp:lastModifiedBy>Welz, Michele@DOR</cp:lastModifiedBy>
  <cp:revision>3</cp:revision>
  <cp:lastPrinted>2016-06-29T01:20:00Z</cp:lastPrinted>
  <dcterms:created xsi:type="dcterms:W3CDTF">2025-12-15T22:15:00Z</dcterms:created>
  <dcterms:modified xsi:type="dcterms:W3CDTF">2026-04-07T18:28:00Z</dcterms:modified>
</cp:coreProperties>
</file>