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D14C5" w14:textId="77777777" w:rsidR="0058687D" w:rsidRPr="00587366" w:rsidRDefault="0058687D" w:rsidP="0058687D">
      <w:pPr>
        <w:spacing w:after="0" w:line="276" w:lineRule="auto"/>
        <w:contextualSpacing/>
        <w:jc w:val="center"/>
        <w:rPr>
          <w:rFonts w:asciiTheme="majorHAnsi" w:eastAsiaTheme="majorEastAsia" w:hAnsiTheme="majorHAnsi" w:cstheme="majorBidi"/>
          <w:b/>
          <w:bCs/>
          <w:caps/>
          <w:spacing w:val="-15"/>
          <w:sz w:val="28"/>
          <w:szCs w:val="28"/>
        </w:rPr>
      </w:pPr>
      <w:permStart w:id="1049973613" w:ed="brian.connors@dor.ca.gov"/>
      <w:permStart w:id="447157553" w:ed="Morgane.Simkowski@dor.ca.gov"/>
      <w:permStart w:id="536683282" w:ed="patricia.quinn@dor.ca.gov"/>
      <w:permStart w:id="1163419322" w:ed="tina.martinez@dor.ca.gov"/>
      <w:permEnd w:id="1049973613"/>
      <w:permEnd w:id="447157553"/>
      <w:permEnd w:id="536683282"/>
      <w:permEnd w:id="1163419322"/>
      <w:r w:rsidRPr="00587366">
        <w:rPr>
          <w:rFonts w:asciiTheme="majorHAnsi" w:eastAsiaTheme="majorEastAsia" w:hAnsiTheme="majorHAnsi" w:cstheme="majorBidi"/>
          <w:b/>
          <w:bCs/>
          <w:caps/>
          <w:spacing w:val="-15"/>
          <w:sz w:val="28"/>
          <w:szCs w:val="28"/>
        </w:rPr>
        <w:t>California Department of Rehabilitation</w:t>
      </w:r>
    </w:p>
    <w:p w14:paraId="41ACAD14" w14:textId="77777777" w:rsidR="00496FB9" w:rsidRDefault="00496FB9" w:rsidP="00496FB9">
      <w:pPr>
        <w:spacing w:line="276" w:lineRule="auto"/>
        <w:contextualSpacing/>
        <w:jc w:val="center"/>
        <w:rPr>
          <w:sz w:val="28"/>
          <w:szCs w:val="28"/>
        </w:rPr>
      </w:pPr>
      <w:hyperlink r:id="rId5" w:history="1">
        <w:r>
          <w:rPr>
            <w:rStyle w:val="Hyperlink"/>
            <w:b/>
            <w:bCs/>
            <w:caps/>
            <w:spacing w:val="-15"/>
            <w:sz w:val="28"/>
            <w:szCs w:val="28"/>
          </w:rPr>
          <w:t>Spotlight on Social Security</w:t>
        </w:r>
      </w:hyperlink>
    </w:p>
    <w:p w14:paraId="1C37ADD9" w14:textId="1042B753" w:rsidR="0096778C" w:rsidRPr="00587366" w:rsidRDefault="00D024B6" w:rsidP="0058687D">
      <w:pPr>
        <w:spacing w:after="0" w:line="276" w:lineRule="auto"/>
        <w:contextualSpacing/>
        <w:jc w:val="center"/>
        <w:outlineLvl w:val="0"/>
        <w:rPr>
          <w:rFonts w:asciiTheme="majorHAnsi" w:eastAsiaTheme="majorEastAsia" w:hAnsiTheme="majorHAnsi" w:cstheme="majorBidi"/>
          <w:caps/>
          <w:spacing w:val="-15"/>
          <w:sz w:val="28"/>
          <w:szCs w:val="28"/>
        </w:rPr>
      </w:pPr>
      <w:r w:rsidRPr="00587366">
        <w:rPr>
          <w:rFonts w:asciiTheme="majorHAnsi" w:eastAsiaTheme="majorEastAsia" w:hAnsiTheme="majorHAnsi" w:cstheme="majorBidi"/>
          <w:caps/>
          <w:spacing w:val="-15"/>
          <w:sz w:val="28"/>
          <w:szCs w:val="28"/>
        </w:rPr>
        <w:t xml:space="preserve">Social Security </w:t>
      </w:r>
      <w:r w:rsidR="0058687D" w:rsidRPr="00587366">
        <w:rPr>
          <w:rFonts w:asciiTheme="majorHAnsi" w:eastAsiaTheme="majorEastAsia" w:hAnsiTheme="majorHAnsi" w:cstheme="majorBidi"/>
          <w:caps/>
          <w:spacing w:val="-15"/>
          <w:sz w:val="28"/>
          <w:szCs w:val="28"/>
        </w:rPr>
        <w:t>Myth</w:t>
      </w:r>
      <w:r w:rsidR="00C31E69">
        <w:rPr>
          <w:rFonts w:asciiTheme="majorHAnsi" w:eastAsiaTheme="majorEastAsia" w:hAnsiTheme="majorHAnsi" w:cstheme="majorBidi"/>
          <w:caps/>
          <w:spacing w:val="-15"/>
          <w:sz w:val="28"/>
          <w:szCs w:val="28"/>
        </w:rPr>
        <w:t xml:space="preserve"> </w:t>
      </w:r>
      <w:r w:rsidR="00496FB9">
        <w:rPr>
          <w:rFonts w:asciiTheme="majorHAnsi" w:eastAsiaTheme="majorEastAsia" w:hAnsiTheme="majorHAnsi" w:cstheme="majorBidi"/>
          <w:caps/>
          <w:spacing w:val="-15"/>
          <w:sz w:val="28"/>
          <w:szCs w:val="28"/>
        </w:rPr>
        <w:t>#</w:t>
      </w:r>
      <w:r w:rsidR="00B537B1" w:rsidRPr="00587366">
        <w:rPr>
          <w:rFonts w:asciiTheme="majorHAnsi" w:eastAsiaTheme="majorEastAsia" w:hAnsiTheme="majorHAnsi" w:cstheme="majorBidi"/>
          <w:caps/>
          <w:spacing w:val="-15"/>
          <w:sz w:val="28"/>
          <w:szCs w:val="28"/>
        </w:rPr>
        <w:t>2</w:t>
      </w:r>
      <w:r w:rsidR="0058687D" w:rsidRPr="00587366">
        <w:rPr>
          <w:rFonts w:asciiTheme="majorHAnsi" w:eastAsiaTheme="majorEastAsia" w:hAnsiTheme="majorHAnsi" w:cstheme="majorBidi"/>
          <w:caps/>
          <w:spacing w:val="-15"/>
          <w:sz w:val="28"/>
          <w:szCs w:val="28"/>
        </w:rPr>
        <w:t xml:space="preserve"> - </w:t>
      </w:r>
      <w:r w:rsidR="0096778C" w:rsidRPr="00587366">
        <w:rPr>
          <w:rFonts w:asciiTheme="majorHAnsi" w:eastAsiaTheme="majorEastAsia" w:hAnsiTheme="majorHAnsi" w:cstheme="majorBidi"/>
          <w:caps/>
          <w:spacing w:val="-15"/>
          <w:sz w:val="28"/>
          <w:szCs w:val="28"/>
        </w:rPr>
        <w:t xml:space="preserve">If i go to work, i’ll lose my </w:t>
      </w:r>
      <w:r w:rsidR="00B537B1" w:rsidRPr="00587366">
        <w:rPr>
          <w:rFonts w:asciiTheme="majorHAnsi" w:eastAsiaTheme="majorEastAsia" w:hAnsiTheme="majorHAnsi" w:cstheme="majorBidi"/>
          <w:caps/>
          <w:spacing w:val="-15"/>
          <w:sz w:val="28"/>
          <w:szCs w:val="28"/>
        </w:rPr>
        <w:t>health</w:t>
      </w:r>
      <w:r w:rsidR="0096778C" w:rsidRPr="00587366">
        <w:rPr>
          <w:rFonts w:asciiTheme="majorHAnsi" w:eastAsiaTheme="majorEastAsia" w:hAnsiTheme="majorHAnsi" w:cstheme="majorBidi"/>
          <w:caps/>
          <w:spacing w:val="-15"/>
          <w:sz w:val="28"/>
          <w:szCs w:val="28"/>
        </w:rPr>
        <w:t xml:space="preserve"> benefits</w:t>
      </w:r>
      <w:r w:rsidR="00A829F4" w:rsidRPr="00587366">
        <w:rPr>
          <w:rFonts w:asciiTheme="majorHAnsi" w:eastAsiaTheme="majorEastAsia" w:hAnsiTheme="majorHAnsi" w:cstheme="majorBidi"/>
          <w:caps/>
          <w:spacing w:val="-15"/>
          <w:sz w:val="28"/>
          <w:szCs w:val="28"/>
        </w:rPr>
        <w:t>!</w:t>
      </w:r>
    </w:p>
    <w:p w14:paraId="41C64BA8" w14:textId="48ED6FEA" w:rsidR="00920886" w:rsidRPr="00587366" w:rsidRDefault="00587366" w:rsidP="0058687D">
      <w:pPr>
        <w:spacing w:after="0" w:line="276" w:lineRule="auto"/>
        <w:contextualSpacing/>
        <w:jc w:val="center"/>
        <w:outlineLvl w:val="0"/>
        <w:rPr>
          <w:rFonts w:asciiTheme="majorHAnsi" w:eastAsiaTheme="majorEastAsia" w:hAnsiTheme="majorHAnsi" w:cstheme="majorBidi"/>
          <w:caps/>
          <w:spacing w:val="-15"/>
          <w:sz w:val="28"/>
          <w:szCs w:val="28"/>
        </w:rPr>
      </w:pPr>
      <w:r w:rsidRPr="00587366">
        <w:rPr>
          <w:rFonts w:cstheme="minorHAnsi"/>
          <w:b/>
          <w:bCs/>
          <w:noProof/>
          <w:sz w:val="28"/>
          <w:szCs w:val="28"/>
        </w:rPr>
        <w:drawing>
          <wp:inline distT="0" distB="0" distL="0" distR="0" wp14:anchorId="3F2C795C" wp14:editId="4F41D44D">
            <wp:extent cx="629392" cy="629392"/>
            <wp:effectExtent l="0" t="0" r="0" b="0"/>
            <wp:docPr id="1011455188" name="Graphic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1455188" name="Graphic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392" cy="629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2A2844" w14:textId="0616BC2B" w:rsidR="00063DDD" w:rsidRPr="00587366" w:rsidRDefault="00063DDD" w:rsidP="002A7C3B">
      <w:pPr>
        <w:spacing w:line="240" w:lineRule="auto"/>
        <w:rPr>
          <w:rFonts w:cstheme="minorHAnsi"/>
          <w:sz w:val="28"/>
          <w:szCs w:val="28"/>
        </w:rPr>
      </w:pPr>
      <w:r w:rsidRPr="00587366">
        <w:rPr>
          <w:rFonts w:cstheme="minorHAnsi"/>
          <w:sz w:val="28"/>
          <w:szCs w:val="28"/>
        </w:rPr>
        <w:t>​</w:t>
      </w:r>
      <w:r w:rsidR="00A829F4" w:rsidRPr="00587366">
        <w:rPr>
          <w:rFonts w:cstheme="minorHAnsi"/>
          <w:sz w:val="28"/>
          <w:szCs w:val="28"/>
        </w:rPr>
        <w:t>It’s not true! One</w:t>
      </w:r>
      <w:r w:rsidRPr="00587366">
        <w:rPr>
          <w:rFonts w:cstheme="minorHAnsi"/>
          <w:sz w:val="28"/>
          <w:szCs w:val="28"/>
        </w:rPr>
        <w:t xml:space="preserve"> common m</w:t>
      </w:r>
      <w:r w:rsidR="00A829F4" w:rsidRPr="00587366">
        <w:rPr>
          <w:rFonts w:cstheme="minorHAnsi"/>
          <w:sz w:val="28"/>
          <w:szCs w:val="28"/>
        </w:rPr>
        <w:t>yth</w:t>
      </w:r>
      <w:r w:rsidRPr="00587366">
        <w:rPr>
          <w:rFonts w:cstheme="minorHAnsi"/>
          <w:sz w:val="28"/>
          <w:szCs w:val="28"/>
        </w:rPr>
        <w:t xml:space="preserve"> </w:t>
      </w:r>
      <w:r w:rsidR="00284957" w:rsidRPr="00744738">
        <w:rPr>
          <w:sz w:val="28"/>
          <w:szCs w:val="28"/>
        </w:rPr>
        <w:t xml:space="preserve">about going to work while receiving Social Security Disability benefits (SSI or SSDI) </w:t>
      </w:r>
      <w:r w:rsidR="005D1886">
        <w:rPr>
          <w:sz w:val="28"/>
          <w:szCs w:val="28"/>
        </w:rPr>
        <w:t xml:space="preserve">is that going to work </w:t>
      </w:r>
      <w:r w:rsidRPr="00587366">
        <w:rPr>
          <w:rFonts w:cstheme="minorHAnsi"/>
          <w:sz w:val="28"/>
          <w:szCs w:val="28"/>
        </w:rPr>
        <w:t>will result in the loss of health benefits like Medi</w:t>
      </w:r>
      <w:r w:rsidR="00A829F4" w:rsidRPr="00587366">
        <w:rPr>
          <w:rFonts w:cstheme="minorHAnsi"/>
          <w:sz w:val="28"/>
          <w:szCs w:val="28"/>
        </w:rPr>
        <w:t>-Cal</w:t>
      </w:r>
      <w:r w:rsidRPr="00587366">
        <w:rPr>
          <w:rFonts w:cstheme="minorHAnsi"/>
          <w:sz w:val="28"/>
          <w:szCs w:val="28"/>
        </w:rPr>
        <w:t xml:space="preserve"> or Medicare. </w:t>
      </w:r>
      <w:proofErr w:type="gramStart"/>
      <w:r w:rsidRPr="00587366">
        <w:rPr>
          <w:rFonts w:cstheme="minorHAnsi"/>
          <w:sz w:val="28"/>
          <w:szCs w:val="28"/>
        </w:rPr>
        <w:t xml:space="preserve">In reality, </w:t>
      </w:r>
      <w:r w:rsidR="00A829F4" w:rsidRPr="00587366">
        <w:rPr>
          <w:rFonts w:cstheme="minorHAnsi"/>
          <w:sz w:val="28"/>
          <w:szCs w:val="28"/>
        </w:rPr>
        <w:t>there</w:t>
      </w:r>
      <w:proofErr w:type="gramEnd"/>
      <w:r w:rsidR="00A829F4" w:rsidRPr="00587366">
        <w:rPr>
          <w:rFonts w:cstheme="minorHAnsi"/>
          <w:sz w:val="28"/>
          <w:szCs w:val="28"/>
        </w:rPr>
        <w:t xml:space="preserve"> are </w:t>
      </w:r>
      <w:r w:rsidRPr="00587366">
        <w:rPr>
          <w:rFonts w:cstheme="minorHAnsi"/>
          <w:sz w:val="28"/>
          <w:szCs w:val="28"/>
        </w:rPr>
        <w:t xml:space="preserve">several programs and work incentives designed to support </w:t>
      </w:r>
      <w:r w:rsidR="00A829F4" w:rsidRPr="00587366">
        <w:rPr>
          <w:rFonts w:cstheme="minorHAnsi"/>
          <w:sz w:val="28"/>
          <w:szCs w:val="28"/>
        </w:rPr>
        <w:t>you in going to</w:t>
      </w:r>
      <w:r w:rsidRPr="00587366">
        <w:rPr>
          <w:rFonts w:cstheme="minorHAnsi"/>
          <w:sz w:val="28"/>
          <w:szCs w:val="28"/>
        </w:rPr>
        <w:t xml:space="preserve"> work, allowing</w:t>
      </w:r>
      <w:r w:rsidR="00A829F4" w:rsidRPr="00587366">
        <w:rPr>
          <w:rFonts w:cstheme="minorHAnsi"/>
          <w:sz w:val="28"/>
          <w:szCs w:val="28"/>
        </w:rPr>
        <w:t xml:space="preserve"> you</w:t>
      </w:r>
      <w:r w:rsidRPr="00587366">
        <w:rPr>
          <w:rFonts w:cstheme="minorHAnsi"/>
          <w:sz w:val="28"/>
          <w:szCs w:val="28"/>
        </w:rPr>
        <w:t xml:space="preserve"> to maintain </w:t>
      </w:r>
      <w:r w:rsidR="00A829F4" w:rsidRPr="00587366">
        <w:rPr>
          <w:rFonts w:cstheme="minorHAnsi"/>
          <w:sz w:val="28"/>
          <w:szCs w:val="28"/>
        </w:rPr>
        <w:t xml:space="preserve">the </w:t>
      </w:r>
      <w:r w:rsidRPr="00587366">
        <w:rPr>
          <w:rFonts w:cstheme="minorHAnsi"/>
          <w:sz w:val="28"/>
          <w:szCs w:val="28"/>
        </w:rPr>
        <w:t>health coverage</w:t>
      </w:r>
      <w:r w:rsidR="00A829F4" w:rsidRPr="00587366">
        <w:rPr>
          <w:rFonts w:cstheme="minorHAnsi"/>
          <w:sz w:val="28"/>
          <w:szCs w:val="28"/>
        </w:rPr>
        <w:t xml:space="preserve"> you rely on</w:t>
      </w:r>
      <w:r w:rsidRPr="00587366">
        <w:rPr>
          <w:rFonts w:cstheme="minorHAnsi"/>
          <w:sz w:val="28"/>
          <w:szCs w:val="28"/>
        </w:rPr>
        <w:t xml:space="preserve">. </w:t>
      </w:r>
    </w:p>
    <w:p w14:paraId="3E0A2D87" w14:textId="3A328359" w:rsidR="009753DF" w:rsidRPr="00587366" w:rsidRDefault="009753DF" w:rsidP="008D16E1">
      <w:pPr>
        <w:spacing w:after="0" w:line="240" w:lineRule="auto"/>
        <w:rPr>
          <w:rFonts w:cstheme="minorHAnsi"/>
          <w:b/>
          <w:bCs/>
          <w:sz w:val="28"/>
          <w:szCs w:val="28"/>
        </w:rPr>
      </w:pPr>
      <w:r w:rsidRPr="00587366">
        <w:rPr>
          <w:rFonts w:cstheme="minorHAnsi"/>
          <w:b/>
          <w:bCs/>
          <w:sz w:val="28"/>
          <w:szCs w:val="28"/>
        </w:rPr>
        <w:t xml:space="preserve">Programs and </w:t>
      </w:r>
      <w:r w:rsidR="002A6FAE" w:rsidRPr="00587366">
        <w:rPr>
          <w:rFonts w:cstheme="minorHAnsi"/>
          <w:b/>
          <w:bCs/>
          <w:sz w:val="28"/>
          <w:szCs w:val="28"/>
        </w:rPr>
        <w:t>Support</w:t>
      </w:r>
      <w:r w:rsidRPr="00587366">
        <w:rPr>
          <w:rFonts w:cstheme="minorHAnsi"/>
          <w:b/>
          <w:bCs/>
          <w:sz w:val="28"/>
          <w:szCs w:val="28"/>
        </w:rPr>
        <w:t>:</w:t>
      </w:r>
    </w:p>
    <w:p w14:paraId="2FE0496E" w14:textId="2A1FF4DD" w:rsidR="00D024B6" w:rsidRPr="00587366" w:rsidRDefault="00A67F24" w:rsidP="008D16E1">
      <w:pPr>
        <w:spacing w:after="0" w:line="240" w:lineRule="auto"/>
        <w:rPr>
          <w:rFonts w:cstheme="minorHAnsi"/>
          <w:b/>
          <w:bCs/>
          <w:sz w:val="28"/>
          <w:szCs w:val="28"/>
        </w:rPr>
      </w:pPr>
      <w:r w:rsidRPr="00587366">
        <w:rPr>
          <w:sz w:val="28"/>
          <w:szCs w:val="28"/>
        </w:rPr>
        <w:t xml:space="preserve">There is a </w:t>
      </w:r>
      <w:r w:rsidR="00284957">
        <w:rPr>
          <w:sz w:val="28"/>
          <w:szCs w:val="28"/>
        </w:rPr>
        <w:t>lot</w:t>
      </w:r>
      <w:r w:rsidRPr="00587366">
        <w:rPr>
          <w:sz w:val="28"/>
          <w:szCs w:val="28"/>
        </w:rPr>
        <w:t xml:space="preserve"> of information to help you understand how working can fit into your life without jeopardizing your benefits. </w:t>
      </w:r>
      <w:r w:rsidR="00F026A4" w:rsidRPr="00587366">
        <w:rPr>
          <w:sz w:val="28"/>
          <w:szCs w:val="28"/>
        </w:rPr>
        <w:t>These resources are just a starting point.</w:t>
      </w:r>
    </w:p>
    <w:p w14:paraId="4077FF76" w14:textId="58680348" w:rsidR="00A829F4" w:rsidRPr="002A7C3B" w:rsidRDefault="00A829F4" w:rsidP="002A7C3B">
      <w:pPr>
        <w:pStyle w:val="ListParagraph"/>
        <w:numPr>
          <w:ilvl w:val="0"/>
          <w:numId w:val="21"/>
        </w:numPr>
        <w:spacing w:after="0" w:line="240" w:lineRule="auto"/>
        <w:rPr>
          <w:sz w:val="28"/>
          <w:szCs w:val="28"/>
        </w:rPr>
      </w:pPr>
      <w:r w:rsidRPr="002A7C3B">
        <w:rPr>
          <w:b/>
          <w:bCs/>
          <w:sz w:val="28"/>
          <w:szCs w:val="28"/>
        </w:rPr>
        <w:t>Department of Rehabilitation (DOR)</w:t>
      </w:r>
      <w:r w:rsidR="00587366" w:rsidRPr="002A7C3B">
        <w:rPr>
          <w:b/>
          <w:bCs/>
          <w:sz w:val="28"/>
          <w:szCs w:val="28"/>
        </w:rPr>
        <w:t xml:space="preserve">: </w:t>
      </w:r>
      <w:r w:rsidRPr="002A7C3B">
        <w:rPr>
          <w:sz w:val="28"/>
          <w:szCs w:val="28"/>
        </w:rPr>
        <w:t xml:space="preserve">The </w:t>
      </w:r>
      <w:hyperlink r:id="rId8" w:tgtFrame="_blank" w:history="1">
        <w:r w:rsidR="00D1775C" w:rsidRPr="002A7C3B">
          <w:rPr>
            <w:rStyle w:val="Hyperlink"/>
            <w:color w:val="156082" w:themeColor="accent1"/>
            <w:sz w:val="28"/>
            <w:szCs w:val="28"/>
          </w:rPr>
          <w:t>DO</w:t>
        </w:r>
        <w:r w:rsidR="00D1775C" w:rsidRPr="002A7C3B">
          <w:rPr>
            <w:rStyle w:val="Hyperlink"/>
            <w:color w:val="156082" w:themeColor="accent1"/>
            <w:sz w:val="28"/>
            <w:szCs w:val="28"/>
          </w:rPr>
          <w:t>R</w:t>
        </w:r>
      </w:hyperlink>
      <w:r w:rsidRPr="002A7C3B">
        <w:rPr>
          <w:sz w:val="28"/>
          <w:szCs w:val="28"/>
        </w:rPr>
        <w:t xml:space="preserve"> offers information on Social Security Work Incentives and the Ticket to Work </w:t>
      </w:r>
      <w:r w:rsidR="00587366" w:rsidRPr="002A7C3B">
        <w:rPr>
          <w:sz w:val="28"/>
          <w:szCs w:val="28"/>
        </w:rPr>
        <w:t xml:space="preserve">(TTW) </w:t>
      </w:r>
      <w:r w:rsidRPr="002A7C3B">
        <w:rPr>
          <w:sz w:val="28"/>
          <w:szCs w:val="28"/>
        </w:rPr>
        <w:t xml:space="preserve">Program, </w:t>
      </w:r>
      <w:r w:rsidR="001743BA">
        <w:rPr>
          <w:sz w:val="28"/>
          <w:szCs w:val="28"/>
        </w:rPr>
        <w:t xml:space="preserve">to </w:t>
      </w:r>
      <w:r w:rsidRPr="002A7C3B">
        <w:rPr>
          <w:sz w:val="28"/>
          <w:szCs w:val="28"/>
        </w:rPr>
        <w:t>assist</w:t>
      </w:r>
      <w:r w:rsidR="001743BA">
        <w:rPr>
          <w:sz w:val="28"/>
          <w:szCs w:val="28"/>
        </w:rPr>
        <w:t xml:space="preserve"> </w:t>
      </w:r>
      <w:r w:rsidRPr="002A7C3B">
        <w:rPr>
          <w:sz w:val="28"/>
          <w:szCs w:val="28"/>
        </w:rPr>
        <w:t xml:space="preserve">in understanding the impact of employment on cash and health benefits. They provide personalized benefits analyses and work incentive </w:t>
      </w:r>
      <w:r w:rsidR="00D51B6F" w:rsidRPr="002A7C3B">
        <w:rPr>
          <w:sz w:val="28"/>
          <w:szCs w:val="28"/>
        </w:rPr>
        <w:t>plans, so you feel confident going to work and keeping healthcare coverage</w:t>
      </w:r>
      <w:r w:rsidRPr="002A7C3B">
        <w:rPr>
          <w:sz w:val="28"/>
          <w:szCs w:val="28"/>
        </w:rPr>
        <w:t>.</w:t>
      </w:r>
      <w:r w:rsidR="00D51B6F" w:rsidRPr="002A7C3B">
        <w:rPr>
          <w:sz w:val="28"/>
          <w:szCs w:val="28"/>
        </w:rPr>
        <w:t xml:space="preserve"> </w:t>
      </w:r>
      <w:r w:rsidRPr="002A7C3B">
        <w:rPr>
          <w:color w:val="156082" w:themeColor="accent1"/>
          <w:sz w:val="28"/>
          <w:szCs w:val="28"/>
        </w:rPr>
        <w:t>​</w:t>
      </w:r>
      <w:r w:rsidR="00D1775C" w:rsidRPr="002A7C3B">
        <w:rPr>
          <w:sz w:val="28"/>
          <w:szCs w:val="28"/>
        </w:rPr>
        <w:t xml:space="preserve"> </w:t>
      </w:r>
    </w:p>
    <w:p w14:paraId="51EC1A4C" w14:textId="582A101E" w:rsidR="00A829F4" w:rsidRPr="002A7C3B" w:rsidRDefault="00A829F4" w:rsidP="002A7C3B">
      <w:pPr>
        <w:pStyle w:val="ListParagraph"/>
        <w:numPr>
          <w:ilvl w:val="0"/>
          <w:numId w:val="21"/>
        </w:numPr>
        <w:spacing w:after="0" w:line="240" w:lineRule="auto"/>
        <w:rPr>
          <w:sz w:val="28"/>
          <w:szCs w:val="28"/>
        </w:rPr>
      </w:pPr>
      <w:r w:rsidRPr="002A7C3B">
        <w:rPr>
          <w:b/>
          <w:bCs/>
          <w:sz w:val="28"/>
          <w:szCs w:val="28"/>
        </w:rPr>
        <w:t>Social Security Work Incentives</w:t>
      </w:r>
      <w:r w:rsidR="00587366" w:rsidRPr="002A7C3B">
        <w:rPr>
          <w:b/>
          <w:bCs/>
          <w:sz w:val="28"/>
          <w:szCs w:val="28"/>
        </w:rPr>
        <w:t xml:space="preserve">: </w:t>
      </w:r>
      <w:r w:rsidRPr="002A7C3B">
        <w:rPr>
          <w:sz w:val="28"/>
          <w:szCs w:val="28"/>
        </w:rPr>
        <w:t>Social Security</w:t>
      </w:r>
      <w:r w:rsidR="00B668EF">
        <w:rPr>
          <w:sz w:val="28"/>
          <w:szCs w:val="28"/>
        </w:rPr>
        <w:t xml:space="preserve"> </w:t>
      </w:r>
      <w:r w:rsidRPr="002A7C3B">
        <w:rPr>
          <w:sz w:val="28"/>
          <w:szCs w:val="28"/>
        </w:rPr>
        <w:t xml:space="preserve">offers various work incentives that enable individuals with disabilities to work while still receiving medical benefits and, in some cases, </w:t>
      </w:r>
      <w:hyperlink r:id="rId9" w:tgtFrame="_blank" w:history="1">
        <w:r w:rsidR="00D1775C" w:rsidRPr="002A7C3B">
          <w:rPr>
            <w:rStyle w:val="Hyperlink"/>
            <w:color w:val="156082" w:themeColor="accent1"/>
            <w:sz w:val="28"/>
            <w:szCs w:val="28"/>
          </w:rPr>
          <w:t>SS</w:t>
        </w:r>
        <w:r w:rsidR="00D1775C" w:rsidRPr="002A7C3B">
          <w:rPr>
            <w:rStyle w:val="Hyperlink"/>
            <w:color w:val="156082" w:themeColor="accent1"/>
            <w:sz w:val="28"/>
            <w:szCs w:val="28"/>
          </w:rPr>
          <w:t>D</w:t>
        </w:r>
        <w:r w:rsidR="00D1775C" w:rsidRPr="002A7C3B">
          <w:rPr>
            <w:rStyle w:val="Hyperlink"/>
            <w:color w:val="156082" w:themeColor="accent1"/>
            <w:sz w:val="28"/>
            <w:szCs w:val="28"/>
          </w:rPr>
          <w:t>I</w:t>
        </w:r>
      </w:hyperlink>
      <w:r w:rsidR="00D1775C" w:rsidRPr="002A7C3B">
        <w:rPr>
          <w:color w:val="156082" w:themeColor="accent1"/>
          <w:sz w:val="28"/>
          <w:szCs w:val="28"/>
        </w:rPr>
        <w:t xml:space="preserve"> </w:t>
      </w:r>
      <w:r w:rsidR="00D1775C" w:rsidRPr="001743BA">
        <w:rPr>
          <w:sz w:val="28"/>
          <w:szCs w:val="28"/>
        </w:rPr>
        <w:t>or</w:t>
      </w:r>
      <w:r w:rsidR="00D1775C" w:rsidRPr="002A7C3B">
        <w:rPr>
          <w:color w:val="156082" w:themeColor="accent1"/>
          <w:sz w:val="28"/>
          <w:szCs w:val="28"/>
        </w:rPr>
        <w:t xml:space="preserve"> </w:t>
      </w:r>
      <w:hyperlink r:id="rId10" w:history="1">
        <w:r w:rsidR="00D1775C" w:rsidRPr="002A7C3B">
          <w:rPr>
            <w:rStyle w:val="Hyperlink"/>
            <w:sz w:val="28"/>
            <w:szCs w:val="28"/>
          </w:rPr>
          <w:t>S</w:t>
        </w:r>
        <w:r w:rsidR="00D1775C" w:rsidRPr="002A7C3B">
          <w:rPr>
            <w:rStyle w:val="Hyperlink"/>
            <w:sz w:val="28"/>
            <w:szCs w:val="28"/>
          </w:rPr>
          <w:t>S</w:t>
        </w:r>
        <w:r w:rsidR="00D1775C" w:rsidRPr="002A7C3B">
          <w:rPr>
            <w:rStyle w:val="Hyperlink"/>
            <w:sz w:val="28"/>
            <w:szCs w:val="28"/>
          </w:rPr>
          <w:t>I</w:t>
        </w:r>
      </w:hyperlink>
      <w:r w:rsidR="00D1775C">
        <w:t xml:space="preserve"> </w:t>
      </w:r>
      <w:r w:rsidRPr="002A7C3B">
        <w:rPr>
          <w:sz w:val="28"/>
          <w:szCs w:val="28"/>
        </w:rPr>
        <w:t>cash payments. These incentives are designed to ease the transition to employment and financial independence</w:t>
      </w:r>
      <w:r w:rsidR="00D1775C" w:rsidRPr="002A7C3B">
        <w:rPr>
          <w:sz w:val="28"/>
          <w:szCs w:val="28"/>
        </w:rPr>
        <w:t>.</w:t>
      </w:r>
    </w:p>
    <w:p w14:paraId="14307915" w14:textId="33700A17" w:rsidR="00A829F4" w:rsidRPr="002A7C3B" w:rsidRDefault="00A829F4" w:rsidP="002A7C3B">
      <w:pPr>
        <w:pStyle w:val="ListParagraph"/>
        <w:numPr>
          <w:ilvl w:val="0"/>
          <w:numId w:val="21"/>
        </w:numPr>
        <w:spacing w:after="0" w:line="240" w:lineRule="auto"/>
        <w:rPr>
          <w:sz w:val="28"/>
          <w:szCs w:val="28"/>
        </w:rPr>
      </w:pPr>
      <w:r w:rsidRPr="002A7C3B">
        <w:rPr>
          <w:b/>
          <w:bCs/>
          <w:sz w:val="28"/>
          <w:szCs w:val="28"/>
        </w:rPr>
        <w:t>Ticket to Work</w:t>
      </w:r>
      <w:r w:rsidR="00587366" w:rsidRPr="002A7C3B">
        <w:rPr>
          <w:b/>
          <w:bCs/>
          <w:sz w:val="28"/>
          <w:szCs w:val="28"/>
        </w:rPr>
        <w:t xml:space="preserve"> (TTW)</w:t>
      </w:r>
      <w:r w:rsidRPr="002A7C3B">
        <w:rPr>
          <w:b/>
          <w:bCs/>
          <w:sz w:val="28"/>
          <w:szCs w:val="28"/>
        </w:rPr>
        <w:t xml:space="preserve"> Program</w:t>
      </w:r>
      <w:r w:rsidR="00587366" w:rsidRPr="002A7C3B">
        <w:rPr>
          <w:b/>
          <w:bCs/>
          <w:sz w:val="28"/>
          <w:szCs w:val="28"/>
        </w:rPr>
        <w:t xml:space="preserve">: </w:t>
      </w:r>
      <w:r w:rsidR="001743BA">
        <w:rPr>
          <w:sz w:val="28"/>
          <w:szCs w:val="28"/>
        </w:rPr>
        <w:t>A</w:t>
      </w:r>
      <w:r w:rsidRPr="002A7C3B">
        <w:rPr>
          <w:sz w:val="28"/>
          <w:szCs w:val="28"/>
        </w:rPr>
        <w:t xml:space="preserve"> free and voluntary</w:t>
      </w:r>
      <w:r w:rsidR="001743BA">
        <w:rPr>
          <w:sz w:val="28"/>
          <w:szCs w:val="28"/>
        </w:rPr>
        <w:t xml:space="preserve"> program</w:t>
      </w:r>
      <w:r w:rsidRPr="002A7C3B">
        <w:rPr>
          <w:sz w:val="28"/>
          <w:szCs w:val="28"/>
        </w:rPr>
        <w:t xml:space="preserve"> that supports career development for </w:t>
      </w:r>
      <w:r w:rsidR="00E07D13">
        <w:rPr>
          <w:sz w:val="28"/>
          <w:szCs w:val="28"/>
        </w:rPr>
        <w:t>people</w:t>
      </w:r>
      <w:r w:rsidRPr="002A7C3B">
        <w:rPr>
          <w:sz w:val="28"/>
          <w:szCs w:val="28"/>
        </w:rPr>
        <w:t xml:space="preserve"> 18</w:t>
      </w:r>
      <w:r w:rsidR="00E07D13">
        <w:rPr>
          <w:sz w:val="28"/>
          <w:szCs w:val="28"/>
        </w:rPr>
        <w:t>-6</w:t>
      </w:r>
      <w:r w:rsidRPr="002A7C3B">
        <w:rPr>
          <w:sz w:val="28"/>
          <w:szCs w:val="28"/>
        </w:rPr>
        <w:t xml:space="preserve">4 </w:t>
      </w:r>
      <w:r w:rsidR="00E07D13">
        <w:rPr>
          <w:sz w:val="28"/>
          <w:szCs w:val="28"/>
        </w:rPr>
        <w:t xml:space="preserve">with disabilities </w:t>
      </w:r>
      <w:r w:rsidRPr="002A7C3B">
        <w:rPr>
          <w:sz w:val="28"/>
          <w:szCs w:val="28"/>
        </w:rPr>
        <w:t xml:space="preserve">who want to work. </w:t>
      </w:r>
      <w:hyperlink r:id="rId11" w:history="1">
        <w:r w:rsidR="001743BA" w:rsidRPr="002A7C3B">
          <w:rPr>
            <w:rStyle w:val="Hyperlink"/>
            <w:sz w:val="28"/>
            <w:szCs w:val="28"/>
          </w:rPr>
          <w:t>Ticket t</w:t>
        </w:r>
        <w:r w:rsidR="001743BA" w:rsidRPr="002A7C3B">
          <w:rPr>
            <w:rStyle w:val="Hyperlink"/>
            <w:sz w:val="28"/>
            <w:szCs w:val="28"/>
          </w:rPr>
          <w:t>o</w:t>
        </w:r>
        <w:r w:rsidR="001743BA" w:rsidRPr="002A7C3B">
          <w:rPr>
            <w:rStyle w:val="Hyperlink"/>
            <w:sz w:val="28"/>
            <w:szCs w:val="28"/>
          </w:rPr>
          <w:t xml:space="preserve"> Work</w:t>
        </w:r>
      </w:hyperlink>
      <w:r w:rsidR="001743BA">
        <w:t xml:space="preserve"> </w:t>
      </w:r>
      <w:r w:rsidRPr="002A7C3B">
        <w:rPr>
          <w:sz w:val="28"/>
          <w:szCs w:val="28"/>
        </w:rPr>
        <w:t xml:space="preserve">connects </w:t>
      </w:r>
      <w:r w:rsidR="00E07D13">
        <w:rPr>
          <w:sz w:val="28"/>
          <w:szCs w:val="28"/>
        </w:rPr>
        <w:t xml:space="preserve">you </w:t>
      </w:r>
      <w:r w:rsidRPr="002A7C3B">
        <w:rPr>
          <w:sz w:val="28"/>
          <w:szCs w:val="28"/>
        </w:rPr>
        <w:t xml:space="preserve">with services and support to succeed in the workforce. </w:t>
      </w:r>
      <w:r w:rsidRPr="002A7C3B">
        <w:rPr>
          <w:color w:val="156082" w:themeColor="accent1"/>
          <w:sz w:val="28"/>
          <w:szCs w:val="28"/>
        </w:rPr>
        <w:t>​</w:t>
      </w:r>
      <w:r w:rsidR="00D210B6" w:rsidRPr="002A7C3B">
        <w:rPr>
          <w:color w:val="156082" w:themeColor="accent1"/>
          <w:sz w:val="28"/>
          <w:szCs w:val="28"/>
        </w:rPr>
        <w:t>​</w:t>
      </w:r>
      <w:r w:rsidR="002A07E6" w:rsidRPr="002A7C3B">
        <w:rPr>
          <w:sz w:val="28"/>
          <w:szCs w:val="28"/>
        </w:rPr>
        <w:t xml:space="preserve"> </w:t>
      </w:r>
    </w:p>
    <w:p w14:paraId="64F01090" w14:textId="694613C3" w:rsidR="00A829F4" w:rsidRPr="002A7C3B" w:rsidRDefault="00A829F4" w:rsidP="002A7C3B">
      <w:pPr>
        <w:pStyle w:val="ListParagraph"/>
        <w:numPr>
          <w:ilvl w:val="0"/>
          <w:numId w:val="21"/>
        </w:numPr>
        <w:spacing w:after="0" w:line="240" w:lineRule="auto"/>
        <w:rPr>
          <w:sz w:val="28"/>
          <w:szCs w:val="28"/>
        </w:rPr>
      </w:pPr>
      <w:r w:rsidRPr="002A7C3B">
        <w:rPr>
          <w:b/>
          <w:bCs/>
          <w:sz w:val="28"/>
          <w:szCs w:val="28"/>
        </w:rPr>
        <w:t>Disability Rights California</w:t>
      </w:r>
      <w:r w:rsidR="00587366" w:rsidRPr="002A7C3B">
        <w:rPr>
          <w:b/>
          <w:bCs/>
          <w:sz w:val="28"/>
          <w:szCs w:val="28"/>
        </w:rPr>
        <w:t xml:space="preserve"> (DRC):</w:t>
      </w:r>
      <w:r w:rsidR="00E14AF6" w:rsidRPr="002A7C3B">
        <w:rPr>
          <w:b/>
          <w:bCs/>
          <w:sz w:val="28"/>
          <w:szCs w:val="28"/>
        </w:rPr>
        <w:t xml:space="preserve"> </w:t>
      </w:r>
      <w:hyperlink r:id="rId12" w:tgtFrame="_blank" w:history="1">
        <w:r w:rsidR="00E07D13">
          <w:rPr>
            <w:rStyle w:val="Hyperlink"/>
            <w:color w:val="156082" w:themeColor="accent1"/>
            <w:sz w:val="28"/>
            <w:szCs w:val="28"/>
          </w:rPr>
          <w:t>D</w:t>
        </w:r>
        <w:r w:rsidR="00E07D13">
          <w:rPr>
            <w:rStyle w:val="Hyperlink"/>
            <w:color w:val="156082" w:themeColor="accent1"/>
            <w:sz w:val="28"/>
            <w:szCs w:val="28"/>
          </w:rPr>
          <w:t>R</w:t>
        </w:r>
        <w:r w:rsidR="00E07D13">
          <w:rPr>
            <w:rStyle w:val="Hyperlink"/>
            <w:color w:val="156082" w:themeColor="accent1"/>
            <w:sz w:val="28"/>
            <w:szCs w:val="28"/>
          </w:rPr>
          <w:t>C</w:t>
        </w:r>
      </w:hyperlink>
      <w:r w:rsidR="00E07D13">
        <w:t xml:space="preserve"> </w:t>
      </w:r>
      <w:r w:rsidRPr="002A7C3B">
        <w:rPr>
          <w:sz w:val="28"/>
          <w:szCs w:val="28"/>
        </w:rPr>
        <w:t>offers guid</w:t>
      </w:r>
      <w:r w:rsidR="00E07D13">
        <w:rPr>
          <w:sz w:val="28"/>
          <w:szCs w:val="28"/>
        </w:rPr>
        <w:t>ance on</w:t>
      </w:r>
      <w:r w:rsidRPr="002A7C3B">
        <w:rPr>
          <w:sz w:val="28"/>
          <w:szCs w:val="28"/>
        </w:rPr>
        <w:t xml:space="preserve"> work incentives, detailing special rules that allow individuals with disabilities to work while still receiving Medicare or Medi</w:t>
      </w:r>
      <w:r w:rsidR="00F60939" w:rsidRPr="002A7C3B">
        <w:rPr>
          <w:sz w:val="28"/>
          <w:szCs w:val="28"/>
        </w:rPr>
        <w:t>-Cal</w:t>
      </w:r>
      <w:r w:rsidRPr="002A7C3B">
        <w:rPr>
          <w:sz w:val="28"/>
          <w:szCs w:val="28"/>
        </w:rPr>
        <w:t>. ​</w:t>
      </w:r>
      <w:r w:rsidR="002A07E6" w:rsidRPr="002A7C3B">
        <w:rPr>
          <w:sz w:val="28"/>
          <w:szCs w:val="28"/>
        </w:rPr>
        <w:t xml:space="preserve"> </w:t>
      </w:r>
    </w:p>
    <w:p w14:paraId="08E315BF" w14:textId="354014C8" w:rsidR="00A829F4" w:rsidRPr="002A7C3B" w:rsidRDefault="00A829F4" w:rsidP="002A7C3B">
      <w:pPr>
        <w:pStyle w:val="ListParagraph"/>
        <w:numPr>
          <w:ilvl w:val="0"/>
          <w:numId w:val="21"/>
        </w:numPr>
        <w:spacing w:line="240" w:lineRule="auto"/>
        <w:rPr>
          <w:sz w:val="28"/>
          <w:szCs w:val="28"/>
        </w:rPr>
      </w:pPr>
      <w:r w:rsidRPr="002A7C3B">
        <w:rPr>
          <w:b/>
          <w:bCs/>
          <w:sz w:val="28"/>
          <w:szCs w:val="28"/>
        </w:rPr>
        <w:t>Disability Benefits 101 (DB101)</w:t>
      </w:r>
      <w:r w:rsidR="00587366" w:rsidRPr="002A7C3B">
        <w:rPr>
          <w:b/>
          <w:bCs/>
          <w:sz w:val="28"/>
          <w:szCs w:val="28"/>
        </w:rPr>
        <w:t xml:space="preserve"> Website:</w:t>
      </w:r>
      <w:r w:rsidRPr="002A7C3B">
        <w:rPr>
          <w:b/>
          <w:bCs/>
          <w:sz w:val="28"/>
          <w:szCs w:val="28"/>
        </w:rPr>
        <w:t xml:space="preserve"> </w:t>
      </w:r>
      <w:hyperlink r:id="rId13" w:history="1">
        <w:r w:rsidR="009F3E1D" w:rsidRPr="009F3E1D">
          <w:rPr>
            <w:rStyle w:val="Hyperlink"/>
            <w:sz w:val="28"/>
            <w:szCs w:val="28"/>
          </w:rPr>
          <w:t>DB101</w:t>
        </w:r>
      </w:hyperlink>
      <w:r w:rsidR="009F3E1D">
        <w:rPr>
          <w:b/>
          <w:bCs/>
          <w:sz w:val="28"/>
          <w:szCs w:val="28"/>
        </w:rPr>
        <w:t xml:space="preserve"> </w:t>
      </w:r>
      <w:r w:rsidR="005C3481" w:rsidRPr="002A7C3B">
        <w:rPr>
          <w:sz w:val="28"/>
          <w:szCs w:val="28"/>
        </w:rPr>
        <w:t xml:space="preserve">provides </w:t>
      </w:r>
      <w:r w:rsidR="006245C5" w:rsidRPr="002A7C3B">
        <w:rPr>
          <w:sz w:val="28"/>
          <w:szCs w:val="28"/>
        </w:rPr>
        <w:t xml:space="preserve">information on healthcare programs and </w:t>
      </w:r>
      <w:r w:rsidR="005C3481" w:rsidRPr="002A7C3B">
        <w:rPr>
          <w:sz w:val="28"/>
          <w:szCs w:val="28"/>
        </w:rPr>
        <w:t>details on</w:t>
      </w:r>
      <w:r w:rsidR="00D51B6F" w:rsidRPr="002A7C3B">
        <w:rPr>
          <w:sz w:val="28"/>
          <w:szCs w:val="28"/>
        </w:rPr>
        <w:t xml:space="preserve"> employment supports to help </w:t>
      </w:r>
      <w:r w:rsidR="005C3481" w:rsidRPr="002A7C3B">
        <w:rPr>
          <w:sz w:val="28"/>
          <w:szCs w:val="28"/>
        </w:rPr>
        <w:t>you</w:t>
      </w:r>
      <w:r w:rsidR="00D51B6F" w:rsidRPr="002A7C3B">
        <w:rPr>
          <w:sz w:val="28"/>
          <w:szCs w:val="28"/>
        </w:rPr>
        <w:t xml:space="preserve"> </w:t>
      </w:r>
      <w:r w:rsidR="00E07D13">
        <w:rPr>
          <w:sz w:val="28"/>
          <w:szCs w:val="28"/>
        </w:rPr>
        <w:t>keep</w:t>
      </w:r>
      <w:r w:rsidR="00D51B6F" w:rsidRPr="002A7C3B">
        <w:rPr>
          <w:sz w:val="28"/>
          <w:szCs w:val="28"/>
        </w:rPr>
        <w:t xml:space="preserve"> </w:t>
      </w:r>
      <w:r w:rsidR="005C3481" w:rsidRPr="002A7C3B">
        <w:rPr>
          <w:sz w:val="28"/>
          <w:szCs w:val="28"/>
        </w:rPr>
        <w:t>you</w:t>
      </w:r>
      <w:r w:rsidR="00D51B6F" w:rsidRPr="002A7C3B">
        <w:rPr>
          <w:sz w:val="28"/>
          <w:szCs w:val="28"/>
        </w:rPr>
        <w:t xml:space="preserve">r </w:t>
      </w:r>
      <w:hyperlink r:id="rId14" w:history="1">
        <w:r w:rsidR="005C3481" w:rsidRPr="002A7C3B">
          <w:rPr>
            <w:rStyle w:val="Hyperlink"/>
            <w:sz w:val="28"/>
            <w:szCs w:val="28"/>
          </w:rPr>
          <w:t>Medic</w:t>
        </w:r>
        <w:r w:rsidR="005C3481" w:rsidRPr="002A7C3B">
          <w:rPr>
            <w:rStyle w:val="Hyperlink"/>
            <w:sz w:val="28"/>
            <w:szCs w:val="28"/>
          </w:rPr>
          <w:t>a</w:t>
        </w:r>
        <w:r w:rsidR="005C3481" w:rsidRPr="002A7C3B">
          <w:rPr>
            <w:rStyle w:val="Hyperlink"/>
            <w:sz w:val="28"/>
            <w:szCs w:val="28"/>
          </w:rPr>
          <w:t>re</w:t>
        </w:r>
      </w:hyperlink>
      <w:r w:rsidR="00D51B6F" w:rsidRPr="002A7C3B">
        <w:rPr>
          <w:sz w:val="28"/>
          <w:szCs w:val="28"/>
        </w:rPr>
        <w:t xml:space="preserve"> or </w:t>
      </w:r>
      <w:hyperlink r:id="rId15" w:history="1">
        <w:r w:rsidR="005C3481" w:rsidRPr="002A7C3B">
          <w:rPr>
            <w:rStyle w:val="Hyperlink"/>
            <w:sz w:val="28"/>
            <w:szCs w:val="28"/>
          </w:rPr>
          <w:t>M</w:t>
        </w:r>
        <w:r w:rsidR="005C3481" w:rsidRPr="002A7C3B">
          <w:rPr>
            <w:rStyle w:val="Hyperlink"/>
            <w:sz w:val="28"/>
            <w:szCs w:val="28"/>
          </w:rPr>
          <w:t>e</w:t>
        </w:r>
        <w:r w:rsidR="005C3481" w:rsidRPr="002A7C3B">
          <w:rPr>
            <w:rStyle w:val="Hyperlink"/>
            <w:sz w:val="28"/>
            <w:szCs w:val="28"/>
          </w:rPr>
          <w:t>di-Cal</w:t>
        </w:r>
      </w:hyperlink>
      <w:r w:rsidR="005C3481">
        <w:t xml:space="preserve"> </w:t>
      </w:r>
      <w:r w:rsidR="00D51B6F" w:rsidRPr="002A7C3B">
        <w:rPr>
          <w:sz w:val="28"/>
          <w:szCs w:val="28"/>
        </w:rPr>
        <w:t xml:space="preserve">coverage </w:t>
      </w:r>
      <w:r w:rsidR="00987FA4">
        <w:rPr>
          <w:sz w:val="28"/>
          <w:szCs w:val="28"/>
        </w:rPr>
        <w:t>while working.</w:t>
      </w:r>
    </w:p>
    <w:p w14:paraId="0C273BB4" w14:textId="77777777" w:rsidR="006245C5" w:rsidRDefault="00F60939" w:rsidP="008D16E1">
      <w:pPr>
        <w:spacing w:after="0" w:line="240" w:lineRule="auto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Healthcare Programs (by benefit type): </w:t>
      </w:r>
    </w:p>
    <w:p w14:paraId="299124AE" w14:textId="5D1F1067" w:rsidR="00F60939" w:rsidRPr="002632EE" w:rsidRDefault="00F60939" w:rsidP="008D16E1">
      <w:pPr>
        <w:spacing w:after="0" w:line="240" w:lineRule="auto"/>
        <w:rPr>
          <w:sz w:val="28"/>
          <w:szCs w:val="28"/>
        </w:rPr>
      </w:pPr>
      <w:r w:rsidRPr="00F60939">
        <w:rPr>
          <w:sz w:val="28"/>
          <w:szCs w:val="28"/>
        </w:rPr>
        <w:t>These resources are to provide guidance and support</w:t>
      </w:r>
      <w:r w:rsidR="00987FA4">
        <w:rPr>
          <w:sz w:val="28"/>
          <w:szCs w:val="28"/>
        </w:rPr>
        <w:t xml:space="preserve"> so</w:t>
      </w:r>
      <w:r w:rsidRPr="00F60939">
        <w:rPr>
          <w:sz w:val="28"/>
          <w:szCs w:val="28"/>
        </w:rPr>
        <w:t xml:space="preserve"> that you can make informed decisions about your health coverage and </w:t>
      </w:r>
      <w:r w:rsidR="00987FA4">
        <w:rPr>
          <w:sz w:val="28"/>
          <w:szCs w:val="28"/>
        </w:rPr>
        <w:t>work</w:t>
      </w:r>
      <w:r w:rsidRPr="00F6093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52A585D6" w14:textId="22E8385F" w:rsidR="00BA6B46" w:rsidRPr="00075BD8" w:rsidRDefault="00D51B6F" w:rsidP="00075BD8">
      <w:pPr>
        <w:pStyle w:val="ListParagraph"/>
        <w:numPr>
          <w:ilvl w:val="0"/>
          <w:numId w:val="22"/>
        </w:numPr>
        <w:spacing w:after="0" w:line="240" w:lineRule="auto"/>
        <w:rPr>
          <w:rFonts w:cstheme="minorHAnsi"/>
          <w:sz w:val="28"/>
          <w:szCs w:val="28"/>
        </w:rPr>
      </w:pPr>
      <w:r w:rsidRPr="00075BD8">
        <w:rPr>
          <w:b/>
          <w:bCs/>
          <w:sz w:val="28"/>
          <w:szCs w:val="28"/>
        </w:rPr>
        <w:t>Medicare Employment Supports</w:t>
      </w:r>
      <w:r w:rsidRPr="00075BD8">
        <w:rPr>
          <w:rFonts w:cstheme="minorHAnsi"/>
          <w:b/>
          <w:bCs/>
          <w:sz w:val="28"/>
          <w:szCs w:val="28"/>
        </w:rPr>
        <w:t xml:space="preserve"> (</w:t>
      </w:r>
      <w:r w:rsidR="0062209F" w:rsidRPr="00075BD8">
        <w:rPr>
          <w:rFonts w:cstheme="minorHAnsi"/>
          <w:b/>
          <w:bCs/>
          <w:sz w:val="28"/>
          <w:szCs w:val="28"/>
        </w:rPr>
        <w:t>Social Security Disability Insurance (SSDI) Specific</w:t>
      </w:r>
      <w:r w:rsidRPr="00075BD8">
        <w:rPr>
          <w:rFonts w:cstheme="minorHAnsi"/>
          <w:b/>
          <w:bCs/>
          <w:sz w:val="28"/>
          <w:szCs w:val="28"/>
        </w:rPr>
        <w:t>)</w:t>
      </w:r>
      <w:r w:rsidR="0062209F" w:rsidRPr="00075BD8">
        <w:rPr>
          <w:rFonts w:cstheme="minorHAnsi"/>
          <w:b/>
          <w:bCs/>
          <w:sz w:val="28"/>
          <w:szCs w:val="28"/>
        </w:rPr>
        <w:t>:</w:t>
      </w:r>
      <w:r w:rsidR="00F60939" w:rsidRPr="00075BD8">
        <w:rPr>
          <w:rFonts w:cstheme="minorHAnsi"/>
          <w:sz w:val="28"/>
          <w:szCs w:val="28"/>
        </w:rPr>
        <w:t xml:space="preserve"> </w:t>
      </w:r>
      <w:r w:rsidR="00BA6B46" w:rsidRPr="00075BD8">
        <w:rPr>
          <w:rFonts w:cstheme="minorHAnsi"/>
          <w:sz w:val="28"/>
          <w:szCs w:val="28"/>
        </w:rPr>
        <w:t xml:space="preserve">Individuals who meet the SSDI eligibility requirements will automatically be enrolled in </w:t>
      </w:r>
      <w:hyperlink r:id="rId16" w:history="1">
        <w:r w:rsidR="00BA6B46" w:rsidRPr="00075BD8">
          <w:rPr>
            <w:rStyle w:val="Hyperlink"/>
            <w:rFonts w:cstheme="minorHAnsi"/>
            <w:sz w:val="28"/>
            <w:szCs w:val="28"/>
          </w:rPr>
          <w:t>Medic</w:t>
        </w:r>
        <w:r w:rsidR="00BA6B46" w:rsidRPr="00075BD8">
          <w:rPr>
            <w:rStyle w:val="Hyperlink"/>
            <w:rFonts w:cstheme="minorHAnsi"/>
            <w:sz w:val="28"/>
            <w:szCs w:val="28"/>
          </w:rPr>
          <w:t>a</w:t>
        </w:r>
        <w:r w:rsidR="00BA6B46" w:rsidRPr="00075BD8">
          <w:rPr>
            <w:rStyle w:val="Hyperlink"/>
            <w:rFonts w:cstheme="minorHAnsi"/>
            <w:sz w:val="28"/>
            <w:szCs w:val="28"/>
          </w:rPr>
          <w:t>re</w:t>
        </w:r>
      </w:hyperlink>
      <w:r w:rsidR="00BA6B46" w:rsidRPr="00075BD8">
        <w:rPr>
          <w:rFonts w:cstheme="minorHAnsi"/>
          <w:sz w:val="28"/>
          <w:szCs w:val="28"/>
        </w:rPr>
        <w:t xml:space="preserve"> Part A and Part B after 24 months of receiving benefits. </w:t>
      </w:r>
    </w:p>
    <w:p w14:paraId="122D22B0" w14:textId="4B827182" w:rsidR="008D16E1" w:rsidRPr="00075BD8" w:rsidRDefault="004472DE" w:rsidP="00075BD8">
      <w:pPr>
        <w:pStyle w:val="ListParagraph"/>
        <w:numPr>
          <w:ilvl w:val="1"/>
          <w:numId w:val="22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</w:rPr>
      </w:pPr>
      <w:r w:rsidRPr="00075BD8">
        <w:rPr>
          <w:rFonts w:eastAsia="Times New Roman" w:cstheme="minorHAnsi"/>
          <w:b/>
          <w:bCs/>
          <w:color w:val="000000"/>
          <w:sz w:val="28"/>
          <w:szCs w:val="28"/>
        </w:rPr>
        <w:t xml:space="preserve">Medicare Coverage while Working: </w:t>
      </w:r>
      <w:hyperlink r:id="rId17" w:history="1">
        <w:r w:rsidRPr="00075BD8">
          <w:rPr>
            <w:rStyle w:val="Hyperlink"/>
            <w:rFonts w:eastAsia="Times New Roman" w:cstheme="minorHAnsi"/>
            <w:sz w:val="28"/>
            <w:szCs w:val="28"/>
          </w:rPr>
          <w:t>M</w:t>
        </w:r>
        <w:r w:rsidRPr="00075BD8">
          <w:rPr>
            <w:rStyle w:val="Hyperlink"/>
            <w:rFonts w:eastAsia="Times New Roman" w:cstheme="minorHAnsi"/>
            <w:sz w:val="28"/>
            <w:szCs w:val="28"/>
          </w:rPr>
          <w:t>e</w:t>
        </w:r>
        <w:r w:rsidRPr="00075BD8">
          <w:rPr>
            <w:rStyle w:val="Hyperlink"/>
            <w:rFonts w:eastAsia="Times New Roman" w:cstheme="minorHAnsi"/>
            <w:sz w:val="28"/>
            <w:szCs w:val="28"/>
          </w:rPr>
          <w:t>dicare</w:t>
        </w:r>
      </w:hyperlink>
      <w:r w:rsidRPr="00075BD8">
        <w:rPr>
          <w:rFonts w:eastAsia="Times New Roman" w:cstheme="minorHAnsi"/>
          <w:color w:val="000000"/>
          <w:sz w:val="28"/>
          <w:szCs w:val="28"/>
        </w:rPr>
        <w:t xml:space="preserve"> eligibility falls into three </w:t>
      </w:r>
      <w:r w:rsidR="00987FA4" w:rsidRPr="00075BD8">
        <w:rPr>
          <w:rFonts w:eastAsia="Times New Roman" w:cstheme="minorHAnsi"/>
          <w:color w:val="000000"/>
          <w:sz w:val="28"/>
          <w:szCs w:val="28"/>
        </w:rPr>
        <w:t>separate</w:t>
      </w:r>
      <w:r w:rsidRPr="00075BD8">
        <w:rPr>
          <w:rFonts w:eastAsia="Times New Roman" w:cstheme="minorHAnsi"/>
          <w:color w:val="000000"/>
          <w:sz w:val="28"/>
          <w:szCs w:val="28"/>
        </w:rPr>
        <w:t xml:space="preserve"> time frames. </w:t>
      </w:r>
      <w:r w:rsidR="0003326E">
        <w:rPr>
          <w:rFonts w:eastAsia="Times New Roman" w:cstheme="minorHAnsi"/>
          <w:color w:val="000000"/>
          <w:sz w:val="28"/>
          <w:szCs w:val="28"/>
        </w:rPr>
        <w:t>F</w:t>
      </w:r>
      <w:r w:rsidRPr="00075BD8">
        <w:rPr>
          <w:rFonts w:eastAsia="Times New Roman" w:cstheme="minorHAnsi"/>
          <w:color w:val="000000"/>
          <w:sz w:val="28"/>
          <w:szCs w:val="28"/>
        </w:rPr>
        <w:t>irst</w:t>
      </w:r>
      <w:r w:rsidR="0003326E">
        <w:rPr>
          <w:rFonts w:eastAsia="Times New Roman" w:cstheme="minorHAnsi"/>
          <w:color w:val="000000"/>
          <w:sz w:val="28"/>
          <w:szCs w:val="28"/>
        </w:rPr>
        <w:t>,</w:t>
      </w:r>
      <w:r w:rsidRPr="00075BD8">
        <w:rPr>
          <w:rFonts w:eastAsia="Times New Roman" w:cstheme="minorHAnsi"/>
          <w:color w:val="000000"/>
          <w:sz w:val="28"/>
          <w:szCs w:val="28"/>
        </w:rPr>
        <w:t xml:space="preserve"> the Trial Work Period (TWP), which </w:t>
      </w:r>
      <w:r w:rsidR="00BD1364">
        <w:rPr>
          <w:rFonts w:eastAsia="Times New Roman" w:cstheme="minorHAnsi"/>
          <w:color w:val="000000"/>
          <w:sz w:val="28"/>
          <w:szCs w:val="28"/>
        </w:rPr>
        <w:t>lasts</w:t>
      </w:r>
      <w:r w:rsidRPr="00075BD8">
        <w:rPr>
          <w:rFonts w:eastAsia="Times New Roman" w:cstheme="minorHAnsi"/>
          <w:color w:val="000000"/>
          <w:sz w:val="28"/>
          <w:szCs w:val="28"/>
        </w:rPr>
        <w:t xml:space="preserve"> for</w:t>
      </w:r>
      <w:r w:rsidR="00BD1364">
        <w:rPr>
          <w:rFonts w:eastAsia="Times New Roman" w:cstheme="minorHAnsi"/>
          <w:color w:val="000000"/>
          <w:sz w:val="28"/>
          <w:szCs w:val="28"/>
        </w:rPr>
        <w:t xml:space="preserve"> at least</w:t>
      </w:r>
      <w:r w:rsidRPr="00075BD8">
        <w:rPr>
          <w:rFonts w:eastAsia="Times New Roman" w:cstheme="minorHAnsi"/>
          <w:color w:val="000000"/>
          <w:sz w:val="28"/>
          <w:szCs w:val="28"/>
        </w:rPr>
        <w:t xml:space="preserve"> 9 months </w:t>
      </w:r>
      <w:r w:rsidR="00BD1364">
        <w:rPr>
          <w:rFonts w:eastAsia="Times New Roman" w:cstheme="minorHAnsi"/>
          <w:color w:val="000000"/>
          <w:sz w:val="28"/>
          <w:szCs w:val="28"/>
        </w:rPr>
        <w:t>once working</w:t>
      </w:r>
      <w:r w:rsidRPr="00075BD8">
        <w:rPr>
          <w:rFonts w:eastAsia="Times New Roman" w:cstheme="minorHAnsi"/>
          <w:color w:val="000000"/>
          <w:sz w:val="28"/>
          <w:szCs w:val="28"/>
        </w:rPr>
        <w:t>. </w:t>
      </w:r>
      <w:r w:rsidR="00BD1364">
        <w:rPr>
          <w:rFonts w:eastAsia="Times New Roman" w:cstheme="minorHAnsi"/>
          <w:color w:val="000000"/>
          <w:sz w:val="28"/>
          <w:szCs w:val="28"/>
        </w:rPr>
        <w:t>Next,</w:t>
      </w:r>
      <w:r w:rsidRPr="00075BD8">
        <w:rPr>
          <w:rFonts w:eastAsia="Times New Roman" w:cstheme="minorHAnsi"/>
          <w:color w:val="000000"/>
          <w:sz w:val="28"/>
          <w:szCs w:val="28"/>
        </w:rPr>
        <w:t xml:space="preserve"> </w:t>
      </w:r>
      <w:r w:rsidR="00C36C2C" w:rsidRPr="00075BD8">
        <w:rPr>
          <w:rFonts w:eastAsia="Times New Roman" w:cstheme="minorHAnsi"/>
          <w:color w:val="000000"/>
          <w:sz w:val="28"/>
          <w:szCs w:val="28"/>
        </w:rPr>
        <w:t>the Extended Period of Medicare Coverage (EPMC) for</w:t>
      </w:r>
      <w:r w:rsidRPr="00075BD8">
        <w:rPr>
          <w:rFonts w:eastAsia="Times New Roman" w:cstheme="minorHAnsi"/>
          <w:color w:val="000000"/>
          <w:sz w:val="28"/>
          <w:szCs w:val="28"/>
        </w:rPr>
        <w:t xml:space="preserve"> 7</w:t>
      </w:r>
      <w:r w:rsidR="00EC0217">
        <w:rPr>
          <w:rFonts w:eastAsia="Times New Roman" w:cstheme="minorHAnsi"/>
          <w:color w:val="000000"/>
          <w:sz w:val="28"/>
          <w:szCs w:val="28"/>
        </w:rPr>
        <w:t xml:space="preserve"> ½ </w:t>
      </w:r>
      <w:r w:rsidR="00BD1364">
        <w:rPr>
          <w:rFonts w:eastAsia="Times New Roman" w:cstheme="minorHAnsi"/>
          <w:color w:val="000000"/>
          <w:sz w:val="28"/>
          <w:szCs w:val="28"/>
        </w:rPr>
        <w:t xml:space="preserve">more </w:t>
      </w:r>
      <w:r w:rsidRPr="00075BD8">
        <w:rPr>
          <w:rFonts w:eastAsia="Times New Roman" w:cstheme="minorHAnsi"/>
          <w:color w:val="000000"/>
          <w:sz w:val="28"/>
          <w:szCs w:val="28"/>
        </w:rPr>
        <w:t>years</w:t>
      </w:r>
      <w:r w:rsidR="00EC0217">
        <w:rPr>
          <w:rFonts w:eastAsia="Times New Roman" w:cstheme="minorHAnsi"/>
          <w:color w:val="000000"/>
          <w:sz w:val="28"/>
          <w:szCs w:val="28"/>
        </w:rPr>
        <w:t xml:space="preserve">. </w:t>
      </w:r>
      <w:r w:rsidRPr="00075BD8">
        <w:rPr>
          <w:rFonts w:eastAsia="Times New Roman" w:cstheme="minorHAnsi"/>
          <w:color w:val="000000"/>
          <w:sz w:val="28"/>
          <w:szCs w:val="28"/>
        </w:rPr>
        <w:t>Finally, there is a</w:t>
      </w:r>
      <w:r w:rsidR="00BD1364">
        <w:rPr>
          <w:rFonts w:eastAsia="Times New Roman" w:cstheme="minorHAnsi"/>
          <w:color w:val="000000"/>
          <w:sz w:val="28"/>
          <w:szCs w:val="28"/>
        </w:rPr>
        <w:t xml:space="preserve"> </w:t>
      </w:r>
      <w:r w:rsidRPr="00075BD8">
        <w:rPr>
          <w:rFonts w:eastAsia="Times New Roman" w:cstheme="minorHAnsi"/>
          <w:color w:val="000000"/>
          <w:sz w:val="28"/>
          <w:szCs w:val="28"/>
        </w:rPr>
        <w:t xml:space="preserve">period following </w:t>
      </w:r>
      <w:r w:rsidRPr="00075BD8">
        <w:rPr>
          <w:rFonts w:eastAsia="Times New Roman" w:cstheme="minorHAnsi"/>
          <w:color w:val="000000"/>
          <w:sz w:val="28"/>
          <w:szCs w:val="28"/>
        </w:rPr>
        <w:lastRenderedPageBreak/>
        <w:t>those 93 months. Note: Medicare eligibility applies only while you continue to meet the medical standard for being disabled under Social Security rules.</w:t>
      </w:r>
    </w:p>
    <w:p w14:paraId="42888E28" w14:textId="68724F50" w:rsidR="006245C5" w:rsidRPr="00075BD8" w:rsidRDefault="00C36C2C" w:rsidP="00075BD8">
      <w:pPr>
        <w:pStyle w:val="ListParagraph"/>
        <w:numPr>
          <w:ilvl w:val="1"/>
          <w:numId w:val="22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</w:rPr>
      </w:pPr>
      <w:r w:rsidRPr="00075BD8">
        <w:rPr>
          <w:rFonts w:eastAsia="Times New Roman" w:cstheme="minorHAnsi"/>
          <w:b/>
          <w:bCs/>
          <w:color w:val="000000"/>
          <w:sz w:val="28"/>
          <w:szCs w:val="28"/>
        </w:rPr>
        <w:t>Medicare Buy-In</w:t>
      </w:r>
      <w:r w:rsidR="00B668EF">
        <w:rPr>
          <w:rFonts w:eastAsia="Times New Roman" w:cstheme="minorHAnsi"/>
          <w:b/>
          <w:bCs/>
          <w:color w:val="000000"/>
          <w:sz w:val="28"/>
          <w:szCs w:val="28"/>
        </w:rPr>
        <w:t xml:space="preserve"> Programs</w:t>
      </w:r>
      <w:r w:rsidRPr="00075BD8">
        <w:rPr>
          <w:rFonts w:eastAsia="Times New Roman" w:cstheme="minorHAnsi"/>
          <w:b/>
          <w:bCs/>
          <w:color w:val="000000"/>
          <w:sz w:val="28"/>
          <w:szCs w:val="28"/>
        </w:rPr>
        <w:t>:</w:t>
      </w:r>
      <w:r w:rsidRPr="00075BD8">
        <w:rPr>
          <w:rFonts w:eastAsia="Times New Roman" w:cstheme="minorHAnsi"/>
          <w:color w:val="000000"/>
          <w:sz w:val="28"/>
          <w:szCs w:val="28"/>
        </w:rPr>
        <w:t xml:space="preserve"> </w:t>
      </w:r>
      <w:r w:rsidR="008A2AA9" w:rsidRPr="00075BD8">
        <w:rPr>
          <w:rFonts w:eastAsia="Times New Roman" w:cstheme="minorHAnsi"/>
          <w:color w:val="000000"/>
          <w:sz w:val="28"/>
          <w:szCs w:val="28"/>
        </w:rPr>
        <w:t>The "</w:t>
      </w:r>
      <w:hyperlink r:id="rId18" w:history="1">
        <w:r w:rsidR="008A2AA9" w:rsidRPr="00075BD8">
          <w:rPr>
            <w:rStyle w:val="Hyperlink"/>
            <w:rFonts w:eastAsia="Times New Roman" w:cstheme="minorHAnsi"/>
            <w:sz w:val="28"/>
            <w:szCs w:val="28"/>
          </w:rPr>
          <w:t>Medicare</w:t>
        </w:r>
        <w:r w:rsidR="008A2AA9" w:rsidRPr="00075BD8">
          <w:rPr>
            <w:rStyle w:val="Hyperlink"/>
            <w:rFonts w:eastAsia="Times New Roman" w:cstheme="minorHAnsi"/>
            <w:sz w:val="28"/>
            <w:szCs w:val="28"/>
          </w:rPr>
          <w:t xml:space="preserve"> </w:t>
        </w:r>
        <w:r w:rsidR="008A2AA9" w:rsidRPr="00075BD8">
          <w:rPr>
            <w:rStyle w:val="Hyperlink"/>
            <w:rFonts w:eastAsia="Times New Roman" w:cstheme="minorHAnsi"/>
            <w:sz w:val="28"/>
            <w:szCs w:val="28"/>
          </w:rPr>
          <w:t>Buy-In</w:t>
        </w:r>
      </w:hyperlink>
      <w:r w:rsidR="008A2AA9" w:rsidRPr="00075BD8">
        <w:rPr>
          <w:rFonts w:eastAsia="Times New Roman" w:cstheme="minorHAnsi"/>
          <w:color w:val="000000"/>
          <w:sz w:val="28"/>
          <w:szCs w:val="28"/>
        </w:rPr>
        <w:t>" for working individuals with disabilities, also known as "</w:t>
      </w:r>
      <w:hyperlink r:id="rId19" w:tgtFrame="_blank" w:history="1">
        <w:r w:rsidR="008A2AA9" w:rsidRPr="00075BD8">
          <w:rPr>
            <w:rStyle w:val="Hyperlink"/>
            <w:rFonts w:eastAsia="Times New Roman" w:cstheme="minorHAnsi"/>
            <w:sz w:val="28"/>
            <w:szCs w:val="28"/>
          </w:rPr>
          <w:t>Medicare Sa</w:t>
        </w:r>
        <w:r w:rsidR="008A2AA9" w:rsidRPr="00075BD8">
          <w:rPr>
            <w:rStyle w:val="Hyperlink"/>
            <w:rFonts w:eastAsia="Times New Roman" w:cstheme="minorHAnsi"/>
            <w:sz w:val="28"/>
            <w:szCs w:val="28"/>
          </w:rPr>
          <w:t>v</w:t>
        </w:r>
        <w:r w:rsidR="008A2AA9" w:rsidRPr="00075BD8">
          <w:rPr>
            <w:rStyle w:val="Hyperlink"/>
            <w:rFonts w:eastAsia="Times New Roman" w:cstheme="minorHAnsi"/>
            <w:sz w:val="28"/>
            <w:szCs w:val="28"/>
          </w:rPr>
          <w:t>ings</w:t>
        </w:r>
        <w:r w:rsidR="00B668EF">
          <w:rPr>
            <w:rStyle w:val="Hyperlink"/>
            <w:rFonts w:eastAsia="Times New Roman" w:cstheme="minorHAnsi"/>
            <w:sz w:val="28"/>
            <w:szCs w:val="28"/>
          </w:rPr>
          <w:t xml:space="preserve"> </w:t>
        </w:r>
        <w:r w:rsidR="008A2AA9" w:rsidRPr="00075BD8">
          <w:rPr>
            <w:rStyle w:val="Hyperlink"/>
            <w:rFonts w:eastAsia="Times New Roman" w:cstheme="minorHAnsi"/>
            <w:sz w:val="28"/>
            <w:szCs w:val="28"/>
          </w:rPr>
          <w:t>Programs</w:t>
        </w:r>
      </w:hyperlink>
      <w:r w:rsidR="008A2AA9" w:rsidRPr="00075BD8">
        <w:rPr>
          <w:rFonts w:eastAsia="Times New Roman" w:cstheme="minorHAnsi"/>
          <w:color w:val="000000"/>
          <w:sz w:val="28"/>
          <w:szCs w:val="28"/>
        </w:rPr>
        <w:t>" (MSPs), help those with limited income and resources pay for</w:t>
      </w:r>
      <w:r w:rsidR="00B668EF">
        <w:rPr>
          <w:rFonts w:eastAsia="Times New Roman" w:cstheme="minorHAnsi"/>
          <w:color w:val="000000"/>
          <w:sz w:val="28"/>
          <w:szCs w:val="28"/>
        </w:rPr>
        <w:t xml:space="preserve"> </w:t>
      </w:r>
      <w:r w:rsidR="008A2AA9" w:rsidRPr="00075BD8">
        <w:rPr>
          <w:rFonts w:eastAsia="Times New Roman" w:cstheme="minorHAnsi"/>
          <w:color w:val="000000"/>
          <w:sz w:val="28"/>
          <w:szCs w:val="28"/>
        </w:rPr>
        <w:t>premiums, deductibles, co</w:t>
      </w:r>
      <w:r w:rsidR="00332CA3">
        <w:rPr>
          <w:rFonts w:eastAsia="Times New Roman" w:cstheme="minorHAnsi"/>
          <w:color w:val="000000"/>
          <w:sz w:val="28"/>
          <w:szCs w:val="28"/>
        </w:rPr>
        <w:t>-</w:t>
      </w:r>
      <w:r w:rsidR="008A2AA9" w:rsidRPr="00075BD8">
        <w:rPr>
          <w:rFonts w:eastAsia="Times New Roman" w:cstheme="minorHAnsi"/>
          <w:color w:val="000000"/>
          <w:sz w:val="28"/>
          <w:szCs w:val="28"/>
        </w:rPr>
        <w:t>insurance, and co</w:t>
      </w:r>
      <w:r w:rsidR="00332CA3">
        <w:rPr>
          <w:rFonts w:eastAsia="Times New Roman" w:cstheme="minorHAnsi"/>
          <w:color w:val="000000"/>
          <w:sz w:val="28"/>
          <w:szCs w:val="28"/>
        </w:rPr>
        <w:t>-</w:t>
      </w:r>
      <w:r w:rsidR="008A2AA9" w:rsidRPr="00075BD8">
        <w:rPr>
          <w:rFonts w:eastAsia="Times New Roman" w:cstheme="minorHAnsi"/>
          <w:color w:val="000000"/>
          <w:sz w:val="28"/>
          <w:szCs w:val="28"/>
        </w:rPr>
        <w:t>pays. These programs, like the "</w:t>
      </w:r>
      <w:hyperlink r:id="rId20" w:tgtFrame="_blank" w:history="1">
        <w:r w:rsidR="008A2AA9" w:rsidRPr="00075BD8">
          <w:rPr>
            <w:rStyle w:val="Hyperlink"/>
            <w:rFonts w:eastAsia="Times New Roman" w:cstheme="minorHAnsi"/>
            <w:sz w:val="28"/>
            <w:szCs w:val="28"/>
          </w:rPr>
          <w:t>Qualified Disab</w:t>
        </w:r>
        <w:r w:rsidR="008A2AA9" w:rsidRPr="00075BD8">
          <w:rPr>
            <w:rStyle w:val="Hyperlink"/>
            <w:rFonts w:eastAsia="Times New Roman" w:cstheme="minorHAnsi"/>
            <w:sz w:val="28"/>
            <w:szCs w:val="28"/>
          </w:rPr>
          <w:t>l</w:t>
        </w:r>
        <w:r w:rsidR="008A2AA9" w:rsidRPr="00075BD8">
          <w:rPr>
            <w:rStyle w:val="Hyperlink"/>
            <w:rFonts w:eastAsia="Times New Roman" w:cstheme="minorHAnsi"/>
            <w:sz w:val="28"/>
            <w:szCs w:val="28"/>
          </w:rPr>
          <w:t>ed Working Individual (QDWI)</w:t>
        </w:r>
      </w:hyperlink>
      <w:r w:rsidR="008A2AA9" w:rsidRPr="00075BD8">
        <w:rPr>
          <w:rFonts w:eastAsia="Times New Roman" w:cstheme="minorHAnsi"/>
          <w:color w:val="000000"/>
          <w:sz w:val="28"/>
          <w:szCs w:val="28"/>
        </w:rPr>
        <w:t xml:space="preserve">" program, allow </w:t>
      </w:r>
      <w:r w:rsidR="006C4904" w:rsidRPr="00075BD8">
        <w:rPr>
          <w:rFonts w:eastAsia="Times New Roman" w:cstheme="minorHAnsi"/>
          <w:color w:val="000000"/>
          <w:sz w:val="28"/>
          <w:szCs w:val="28"/>
        </w:rPr>
        <w:t>you</w:t>
      </w:r>
      <w:r w:rsidR="008A2AA9" w:rsidRPr="00075BD8">
        <w:rPr>
          <w:rFonts w:eastAsia="Times New Roman" w:cstheme="minorHAnsi"/>
          <w:color w:val="000000"/>
          <w:sz w:val="28"/>
          <w:szCs w:val="28"/>
        </w:rPr>
        <w:t xml:space="preserve"> to work </w:t>
      </w:r>
      <w:r w:rsidR="006245C5" w:rsidRPr="00075BD8">
        <w:rPr>
          <w:rFonts w:eastAsia="Times New Roman" w:cstheme="minorHAnsi"/>
          <w:color w:val="000000"/>
          <w:sz w:val="28"/>
          <w:szCs w:val="28"/>
        </w:rPr>
        <w:t>and keep</w:t>
      </w:r>
      <w:r w:rsidR="008A2AA9" w:rsidRPr="00075BD8">
        <w:rPr>
          <w:rFonts w:eastAsia="Times New Roman" w:cstheme="minorHAnsi"/>
          <w:color w:val="000000"/>
          <w:sz w:val="28"/>
          <w:szCs w:val="28"/>
        </w:rPr>
        <w:t xml:space="preserve"> </w:t>
      </w:r>
      <w:r w:rsidR="006245C5" w:rsidRPr="00075BD8">
        <w:rPr>
          <w:rFonts w:eastAsia="Times New Roman" w:cstheme="minorHAnsi"/>
          <w:color w:val="000000"/>
          <w:sz w:val="28"/>
          <w:szCs w:val="28"/>
        </w:rPr>
        <w:t>your</w:t>
      </w:r>
      <w:r w:rsidR="008A2AA9" w:rsidRPr="00075BD8">
        <w:rPr>
          <w:rFonts w:eastAsia="Times New Roman" w:cstheme="minorHAnsi"/>
          <w:color w:val="000000"/>
          <w:sz w:val="28"/>
          <w:szCs w:val="28"/>
        </w:rPr>
        <w:t xml:space="preserve"> healthcare.</w:t>
      </w:r>
    </w:p>
    <w:p w14:paraId="3D6F99F7" w14:textId="0546826C" w:rsidR="00F60939" w:rsidRPr="00075BD8" w:rsidRDefault="00D51B6F" w:rsidP="00075BD8">
      <w:pPr>
        <w:pStyle w:val="ListParagraph"/>
        <w:numPr>
          <w:ilvl w:val="0"/>
          <w:numId w:val="22"/>
        </w:numPr>
        <w:spacing w:after="0" w:line="240" w:lineRule="auto"/>
        <w:rPr>
          <w:rFonts w:cstheme="minorHAnsi"/>
          <w:b/>
          <w:bCs/>
          <w:sz w:val="28"/>
          <w:szCs w:val="28"/>
        </w:rPr>
      </w:pPr>
      <w:r w:rsidRPr="00075BD8">
        <w:rPr>
          <w:b/>
          <w:bCs/>
          <w:sz w:val="28"/>
          <w:szCs w:val="28"/>
        </w:rPr>
        <w:t>Medi</w:t>
      </w:r>
      <w:r w:rsidR="00B668EF">
        <w:rPr>
          <w:b/>
          <w:bCs/>
          <w:sz w:val="28"/>
          <w:szCs w:val="28"/>
        </w:rPr>
        <w:t>-C</w:t>
      </w:r>
      <w:r w:rsidRPr="00075BD8">
        <w:rPr>
          <w:b/>
          <w:bCs/>
          <w:sz w:val="28"/>
          <w:szCs w:val="28"/>
        </w:rPr>
        <w:t>a</w:t>
      </w:r>
      <w:r w:rsidR="00B668EF">
        <w:rPr>
          <w:b/>
          <w:bCs/>
          <w:sz w:val="28"/>
          <w:szCs w:val="28"/>
        </w:rPr>
        <w:t>l</w:t>
      </w:r>
      <w:r w:rsidRPr="00075BD8">
        <w:rPr>
          <w:b/>
          <w:bCs/>
          <w:sz w:val="28"/>
          <w:szCs w:val="28"/>
        </w:rPr>
        <w:t xml:space="preserve"> Employment Supports</w:t>
      </w:r>
      <w:r w:rsidRPr="00075BD8">
        <w:rPr>
          <w:rFonts w:cstheme="minorHAnsi"/>
          <w:b/>
          <w:bCs/>
          <w:sz w:val="28"/>
          <w:szCs w:val="28"/>
        </w:rPr>
        <w:t xml:space="preserve"> (</w:t>
      </w:r>
      <w:r w:rsidR="0062209F" w:rsidRPr="00075BD8">
        <w:rPr>
          <w:rFonts w:cstheme="minorHAnsi"/>
          <w:b/>
          <w:bCs/>
          <w:sz w:val="28"/>
          <w:szCs w:val="28"/>
        </w:rPr>
        <w:t>Supplemental Security Income (SSI) Specific</w:t>
      </w:r>
      <w:r w:rsidRPr="00075BD8">
        <w:rPr>
          <w:rFonts w:cstheme="minorHAnsi"/>
          <w:b/>
          <w:bCs/>
          <w:sz w:val="28"/>
          <w:szCs w:val="28"/>
        </w:rPr>
        <w:t>)</w:t>
      </w:r>
      <w:r w:rsidR="0062209F" w:rsidRPr="00075BD8">
        <w:rPr>
          <w:rFonts w:cstheme="minorHAnsi"/>
          <w:b/>
          <w:bCs/>
          <w:sz w:val="28"/>
          <w:szCs w:val="28"/>
        </w:rPr>
        <w:t>:</w:t>
      </w:r>
      <w:r w:rsidR="00F60939" w:rsidRPr="00075BD8">
        <w:rPr>
          <w:rFonts w:cstheme="minorHAnsi"/>
          <w:b/>
          <w:bCs/>
          <w:sz w:val="28"/>
          <w:szCs w:val="28"/>
        </w:rPr>
        <w:t xml:space="preserve"> </w:t>
      </w:r>
      <w:r w:rsidR="00A67F24" w:rsidRPr="00075BD8">
        <w:rPr>
          <w:rFonts w:eastAsia="Times New Roman" w:cstheme="minorHAnsi"/>
          <w:sz w:val="28"/>
          <w:szCs w:val="28"/>
        </w:rPr>
        <w:t>SSI offers unique work incentives that help you build your independence while maintaining essential support</w:t>
      </w:r>
      <w:r w:rsidR="00F60939" w:rsidRPr="00075BD8">
        <w:rPr>
          <w:rFonts w:eastAsia="Times New Roman" w:cstheme="minorHAnsi"/>
          <w:sz w:val="28"/>
          <w:szCs w:val="28"/>
        </w:rPr>
        <w:t xml:space="preserve"> such as </w:t>
      </w:r>
      <w:hyperlink r:id="rId21" w:tgtFrame="_blank" w:history="1">
        <w:r w:rsidR="00F60939" w:rsidRPr="00075BD8">
          <w:rPr>
            <w:rStyle w:val="Hyperlink"/>
            <w:color w:val="156082" w:themeColor="accent1"/>
            <w:sz w:val="28"/>
            <w:szCs w:val="28"/>
          </w:rPr>
          <w:t>Med</w:t>
        </w:r>
        <w:r w:rsidR="00F60939" w:rsidRPr="00075BD8">
          <w:rPr>
            <w:rStyle w:val="Hyperlink"/>
            <w:color w:val="156082" w:themeColor="accent1"/>
            <w:sz w:val="28"/>
            <w:szCs w:val="28"/>
          </w:rPr>
          <w:t>i</w:t>
        </w:r>
        <w:r w:rsidR="00F60939" w:rsidRPr="00075BD8">
          <w:rPr>
            <w:rStyle w:val="Hyperlink"/>
            <w:color w:val="156082" w:themeColor="accent1"/>
            <w:sz w:val="28"/>
            <w:szCs w:val="28"/>
          </w:rPr>
          <w:t>-Cal</w:t>
        </w:r>
      </w:hyperlink>
      <w:r w:rsidR="00F60939" w:rsidRPr="00075BD8">
        <w:rPr>
          <w:color w:val="156082" w:themeColor="accent1"/>
          <w:sz w:val="28"/>
          <w:szCs w:val="28"/>
        </w:rPr>
        <w:t xml:space="preserve"> </w:t>
      </w:r>
      <w:r w:rsidR="00F60939" w:rsidRPr="00075BD8">
        <w:rPr>
          <w:sz w:val="28"/>
          <w:szCs w:val="28"/>
        </w:rPr>
        <w:t>benefits</w:t>
      </w:r>
      <w:r w:rsidR="00F026A4" w:rsidRPr="00075BD8">
        <w:rPr>
          <w:rFonts w:eastAsia="Times New Roman" w:cstheme="minorHAnsi"/>
          <w:sz w:val="28"/>
          <w:szCs w:val="28"/>
        </w:rPr>
        <w:t xml:space="preserve">, and </w:t>
      </w:r>
      <w:r w:rsidR="00A67F24" w:rsidRPr="00075BD8">
        <w:rPr>
          <w:rFonts w:eastAsia="Times New Roman" w:cstheme="minorHAnsi"/>
          <w:sz w:val="28"/>
          <w:szCs w:val="28"/>
        </w:rPr>
        <w:t>to encourage your employment journey.</w:t>
      </w:r>
    </w:p>
    <w:p w14:paraId="09019F99" w14:textId="72140E62" w:rsidR="008D16E1" w:rsidRPr="00075BD8" w:rsidRDefault="008F12E0" w:rsidP="00374ECF">
      <w:pPr>
        <w:pStyle w:val="ListParagraph"/>
        <w:numPr>
          <w:ilvl w:val="1"/>
          <w:numId w:val="22"/>
        </w:numPr>
        <w:spacing w:after="0" w:line="240" w:lineRule="auto"/>
        <w:rPr>
          <w:rFonts w:cstheme="minorHAnsi"/>
          <w:b/>
          <w:bCs/>
          <w:sz w:val="28"/>
          <w:szCs w:val="28"/>
        </w:rPr>
      </w:pPr>
      <w:r w:rsidRPr="00075BD8">
        <w:rPr>
          <w:rFonts w:cstheme="minorHAnsi"/>
          <w:b/>
          <w:bCs/>
          <w:sz w:val="28"/>
          <w:szCs w:val="28"/>
        </w:rPr>
        <w:t xml:space="preserve">Section </w:t>
      </w:r>
      <w:r w:rsidR="00F60939" w:rsidRPr="00075BD8">
        <w:rPr>
          <w:rFonts w:cstheme="minorHAnsi"/>
          <w:b/>
          <w:bCs/>
          <w:sz w:val="28"/>
          <w:szCs w:val="28"/>
        </w:rPr>
        <w:t>1619(b):</w:t>
      </w:r>
      <w:r w:rsidRPr="00075BD8">
        <w:rPr>
          <w:rFonts w:cstheme="minorHAnsi"/>
          <w:b/>
          <w:bCs/>
          <w:sz w:val="28"/>
          <w:szCs w:val="28"/>
        </w:rPr>
        <w:t xml:space="preserve"> </w:t>
      </w:r>
      <w:r w:rsidRPr="00075BD8">
        <w:rPr>
          <w:rFonts w:cstheme="minorHAnsi"/>
          <w:sz w:val="28"/>
          <w:szCs w:val="28"/>
        </w:rPr>
        <w:t xml:space="preserve">Section </w:t>
      </w:r>
      <w:hyperlink r:id="rId22" w:history="1">
        <w:r w:rsidRPr="00075BD8">
          <w:rPr>
            <w:rStyle w:val="Hyperlink"/>
            <w:rFonts w:cstheme="minorHAnsi"/>
            <w:sz w:val="28"/>
            <w:szCs w:val="28"/>
          </w:rPr>
          <w:t>1619(</w:t>
        </w:r>
        <w:r w:rsidRPr="00075BD8">
          <w:rPr>
            <w:rStyle w:val="Hyperlink"/>
            <w:rFonts w:cstheme="minorHAnsi"/>
            <w:sz w:val="28"/>
            <w:szCs w:val="28"/>
          </w:rPr>
          <w:t>b</w:t>
        </w:r>
        <w:r w:rsidRPr="00075BD8">
          <w:rPr>
            <w:rStyle w:val="Hyperlink"/>
            <w:rFonts w:cstheme="minorHAnsi"/>
            <w:sz w:val="28"/>
            <w:szCs w:val="28"/>
          </w:rPr>
          <w:t>)</w:t>
        </w:r>
      </w:hyperlink>
      <w:r w:rsidRPr="00075BD8">
        <w:rPr>
          <w:rFonts w:cstheme="minorHAnsi"/>
          <w:sz w:val="28"/>
          <w:szCs w:val="28"/>
        </w:rPr>
        <w:t xml:space="preserve"> provides protection </w:t>
      </w:r>
      <w:r w:rsidR="008A518C">
        <w:rPr>
          <w:rFonts w:cstheme="minorHAnsi"/>
          <w:sz w:val="28"/>
          <w:szCs w:val="28"/>
        </w:rPr>
        <w:t>if</w:t>
      </w:r>
      <w:r w:rsidRPr="00075BD8">
        <w:rPr>
          <w:rFonts w:cstheme="minorHAnsi"/>
          <w:sz w:val="28"/>
          <w:szCs w:val="28"/>
        </w:rPr>
        <w:t xml:space="preserve"> your earnings </w:t>
      </w:r>
      <w:r w:rsidR="005D1886">
        <w:rPr>
          <w:rFonts w:cstheme="minorHAnsi"/>
          <w:sz w:val="28"/>
          <w:szCs w:val="28"/>
        </w:rPr>
        <w:t xml:space="preserve">are </w:t>
      </w:r>
      <w:r w:rsidRPr="00075BD8">
        <w:rPr>
          <w:rFonts w:cstheme="minorHAnsi"/>
          <w:sz w:val="28"/>
          <w:szCs w:val="28"/>
        </w:rPr>
        <w:t>too high for a</w:t>
      </w:r>
      <w:r w:rsidR="005D1886">
        <w:rPr>
          <w:rFonts w:cstheme="minorHAnsi"/>
          <w:sz w:val="28"/>
          <w:szCs w:val="28"/>
        </w:rPr>
        <w:t>n</w:t>
      </w:r>
      <w:r w:rsidRPr="00075BD8">
        <w:rPr>
          <w:rFonts w:cstheme="minorHAnsi"/>
          <w:sz w:val="28"/>
          <w:szCs w:val="28"/>
        </w:rPr>
        <w:t xml:space="preserve"> SSI cash payment, </w:t>
      </w:r>
      <w:r w:rsidR="00B668EF">
        <w:rPr>
          <w:rFonts w:cstheme="minorHAnsi"/>
          <w:sz w:val="28"/>
          <w:szCs w:val="28"/>
        </w:rPr>
        <w:t>but</w:t>
      </w:r>
      <w:r w:rsidRPr="00075BD8">
        <w:rPr>
          <w:rFonts w:cstheme="minorHAnsi"/>
          <w:sz w:val="28"/>
          <w:szCs w:val="28"/>
        </w:rPr>
        <w:t xml:space="preserve"> may still be eligible for Medi-Cal if you meet certain requirements. SSA uses a threshold amount to measure whether your earnings are high enough to replace SSI and Medi-Cal benefits.</w:t>
      </w:r>
      <w:r w:rsidRPr="00075BD8">
        <w:rPr>
          <w:rFonts w:cstheme="minorHAnsi"/>
          <w:b/>
          <w:bCs/>
          <w:sz w:val="28"/>
          <w:szCs w:val="28"/>
        </w:rPr>
        <w:t> </w:t>
      </w:r>
    </w:p>
    <w:p w14:paraId="01DFAE83" w14:textId="5E8E7FE4" w:rsidR="008D16E1" w:rsidRPr="00075BD8" w:rsidRDefault="00A829F4" w:rsidP="00374ECF">
      <w:pPr>
        <w:pStyle w:val="ListParagraph"/>
        <w:numPr>
          <w:ilvl w:val="1"/>
          <w:numId w:val="22"/>
        </w:numPr>
        <w:spacing w:line="240" w:lineRule="auto"/>
        <w:rPr>
          <w:rFonts w:cstheme="minorHAnsi"/>
          <w:b/>
          <w:bCs/>
          <w:sz w:val="28"/>
          <w:szCs w:val="28"/>
        </w:rPr>
      </w:pPr>
      <w:r w:rsidRPr="00075BD8">
        <w:rPr>
          <w:b/>
          <w:bCs/>
          <w:sz w:val="28"/>
          <w:szCs w:val="28"/>
        </w:rPr>
        <w:t>250% Working Disabled Program</w:t>
      </w:r>
      <w:r w:rsidR="002A7C3B" w:rsidRPr="00075BD8">
        <w:rPr>
          <w:b/>
          <w:bCs/>
          <w:sz w:val="28"/>
          <w:szCs w:val="28"/>
        </w:rPr>
        <w:t xml:space="preserve"> (WDP)</w:t>
      </w:r>
      <w:r w:rsidR="00C83B73" w:rsidRPr="00075BD8">
        <w:rPr>
          <w:b/>
          <w:bCs/>
          <w:sz w:val="28"/>
          <w:szCs w:val="28"/>
        </w:rPr>
        <w:t>:</w:t>
      </w:r>
      <w:r w:rsidRPr="00075BD8">
        <w:rPr>
          <w:sz w:val="28"/>
          <w:szCs w:val="28"/>
        </w:rPr>
        <w:t xml:space="preserve"> </w:t>
      </w:r>
      <w:r w:rsidR="00C83B73" w:rsidRPr="00075BD8">
        <w:rPr>
          <w:sz w:val="28"/>
          <w:szCs w:val="28"/>
        </w:rPr>
        <w:t>T</w:t>
      </w:r>
      <w:r w:rsidRPr="00075BD8">
        <w:rPr>
          <w:sz w:val="28"/>
          <w:szCs w:val="28"/>
        </w:rPr>
        <w:t xml:space="preserve">he </w:t>
      </w:r>
      <w:hyperlink r:id="rId23" w:history="1">
        <w:r w:rsidR="00B668EF">
          <w:rPr>
            <w:rStyle w:val="Hyperlink"/>
            <w:sz w:val="28"/>
            <w:szCs w:val="28"/>
          </w:rPr>
          <w:t>25</w:t>
        </w:r>
        <w:r w:rsidR="00B668EF">
          <w:rPr>
            <w:rStyle w:val="Hyperlink"/>
            <w:sz w:val="28"/>
            <w:szCs w:val="28"/>
          </w:rPr>
          <w:t>0</w:t>
        </w:r>
        <w:r w:rsidR="00B668EF">
          <w:rPr>
            <w:rStyle w:val="Hyperlink"/>
            <w:sz w:val="28"/>
            <w:szCs w:val="28"/>
          </w:rPr>
          <w:t>% WDP</w:t>
        </w:r>
      </w:hyperlink>
      <w:r w:rsidRPr="00075BD8">
        <w:rPr>
          <w:sz w:val="28"/>
          <w:szCs w:val="28"/>
        </w:rPr>
        <w:t xml:space="preserve"> allows </w:t>
      </w:r>
      <w:r w:rsidR="00075BD8">
        <w:rPr>
          <w:sz w:val="28"/>
          <w:szCs w:val="28"/>
        </w:rPr>
        <w:t>you</w:t>
      </w:r>
      <w:r w:rsidRPr="00075BD8">
        <w:rPr>
          <w:sz w:val="28"/>
          <w:szCs w:val="28"/>
        </w:rPr>
        <w:t xml:space="preserve"> to </w:t>
      </w:r>
      <w:r w:rsidR="00075BD8">
        <w:rPr>
          <w:sz w:val="28"/>
          <w:szCs w:val="28"/>
        </w:rPr>
        <w:t>receive</w:t>
      </w:r>
      <w:r w:rsidRPr="00075BD8">
        <w:rPr>
          <w:sz w:val="28"/>
          <w:szCs w:val="28"/>
        </w:rPr>
        <w:t xml:space="preserve"> Medi-Cal </w:t>
      </w:r>
      <w:r w:rsidR="00075BD8" w:rsidRPr="00075BD8">
        <w:rPr>
          <w:rFonts w:cs="Arial"/>
          <w:sz w:val="28"/>
          <w:szCs w:val="28"/>
        </w:rPr>
        <w:t>with no monthly premium</w:t>
      </w:r>
      <w:r w:rsidR="00075BD8">
        <w:rPr>
          <w:rFonts w:cs="Arial"/>
          <w:sz w:val="28"/>
          <w:szCs w:val="28"/>
        </w:rPr>
        <w:t>s</w:t>
      </w:r>
      <w:r w:rsidR="00075BD8" w:rsidRPr="00075BD8">
        <w:rPr>
          <w:rFonts w:cs="Arial"/>
          <w:sz w:val="28"/>
          <w:szCs w:val="28"/>
        </w:rPr>
        <w:t xml:space="preserve"> and remain eligible until your earnings reach an annual threshold</w:t>
      </w:r>
      <w:r w:rsidRPr="00075BD8">
        <w:rPr>
          <w:sz w:val="28"/>
          <w:szCs w:val="28"/>
        </w:rPr>
        <w:t xml:space="preserve">. This </w:t>
      </w:r>
      <w:hyperlink r:id="rId24" w:history="1">
        <w:r w:rsidRPr="00075BD8">
          <w:rPr>
            <w:rStyle w:val="Hyperlink"/>
            <w:sz w:val="28"/>
            <w:szCs w:val="28"/>
          </w:rPr>
          <w:t>pr</w:t>
        </w:r>
        <w:r w:rsidRPr="00075BD8">
          <w:rPr>
            <w:rStyle w:val="Hyperlink"/>
            <w:sz w:val="28"/>
            <w:szCs w:val="28"/>
          </w:rPr>
          <w:t>o</w:t>
        </w:r>
        <w:r w:rsidRPr="00075BD8">
          <w:rPr>
            <w:rStyle w:val="Hyperlink"/>
            <w:sz w:val="28"/>
            <w:szCs w:val="28"/>
          </w:rPr>
          <w:t>gram</w:t>
        </w:r>
      </w:hyperlink>
      <w:r w:rsidRPr="00075BD8">
        <w:rPr>
          <w:sz w:val="28"/>
          <w:szCs w:val="28"/>
        </w:rPr>
        <w:t xml:space="preserve"> enables </w:t>
      </w:r>
      <w:r w:rsidR="00075BD8">
        <w:rPr>
          <w:sz w:val="28"/>
          <w:szCs w:val="28"/>
        </w:rPr>
        <w:t>you</w:t>
      </w:r>
      <w:r w:rsidRPr="00075BD8">
        <w:rPr>
          <w:sz w:val="28"/>
          <w:szCs w:val="28"/>
        </w:rPr>
        <w:t xml:space="preserve"> to work and still receive Medi-Cal benefits. </w:t>
      </w:r>
    </w:p>
    <w:p w14:paraId="14A3C8DF" w14:textId="25A68F99" w:rsidR="0062209F" w:rsidRPr="000D1C6F" w:rsidRDefault="0062209F" w:rsidP="008D16E1">
      <w:pPr>
        <w:spacing w:after="0" w:line="240" w:lineRule="auto"/>
        <w:rPr>
          <w:rFonts w:cstheme="minorHAnsi"/>
          <w:b/>
          <w:bCs/>
          <w:sz w:val="28"/>
          <w:szCs w:val="28"/>
        </w:rPr>
      </w:pPr>
      <w:r w:rsidRPr="000D1C6F">
        <w:rPr>
          <w:rFonts w:cstheme="minorHAnsi"/>
          <w:b/>
          <w:bCs/>
          <w:sz w:val="28"/>
          <w:szCs w:val="28"/>
        </w:rPr>
        <w:t>Practical Steps to Navigate Working and Benefits</w:t>
      </w:r>
      <w:r w:rsidR="00777DB6" w:rsidRPr="000D1C6F">
        <w:rPr>
          <w:rFonts w:cstheme="minorHAnsi"/>
          <w:b/>
          <w:bCs/>
          <w:sz w:val="28"/>
          <w:szCs w:val="28"/>
        </w:rPr>
        <w:t>:</w:t>
      </w:r>
    </w:p>
    <w:p w14:paraId="53CE868C" w14:textId="312AB15D" w:rsidR="008D16E1" w:rsidRDefault="00A67F24" w:rsidP="008D16E1">
      <w:pPr>
        <w:spacing w:after="0" w:line="240" w:lineRule="auto"/>
        <w:rPr>
          <w:rFonts w:cstheme="minorHAnsi"/>
          <w:b/>
          <w:bCs/>
        </w:rPr>
      </w:pPr>
      <w:bookmarkStart w:id="0" w:name="_Hlk196991349"/>
      <w:r w:rsidRPr="000D1C6F">
        <w:rPr>
          <w:rFonts w:cstheme="minorHAnsi"/>
          <w:sz w:val="28"/>
          <w:szCs w:val="28"/>
        </w:rPr>
        <w:t>Knowledge is power</w:t>
      </w:r>
      <w:r w:rsidR="00EA30A7" w:rsidRPr="000D1C6F">
        <w:rPr>
          <w:rFonts w:cstheme="minorHAnsi"/>
          <w:sz w:val="28"/>
          <w:szCs w:val="28"/>
        </w:rPr>
        <w:t xml:space="preserve"> so g</w:t>
      </w:r>
      <w:r w:rsidR="001F130E" w:rsidRPr="001F130E">
        <w:rPr>
          <w:rFonts w:cstheme="minorHAnsi"/>
          <w:sz w:val="28"/>
          <w:szCs w:val="28"/>
        </w:rPr>
        <w:t xml:space="preserve">et </w:t>
      </w:r>
      <w:r w:rsidR="00EA30A7" w:rsidRPr="000D1C6F">
        <w:rPr>
          <w:rFonts w:cstheme="minorHAnsi"/>
          <w:sz w:val="28"/>
          <w:szCs w:val="28"/>
        </w:rPr>
        <w:t>i</w:t>
      </w:r>
      <w:r w:rsidR="001F130E" w:rsidRPr="001F130E">
        <w:rPr>
          <w:rFonts w:cstheme="minorHAnsi"/>
          <w:sz w:val="28"/>
          <w:szCs w:val="28"/>
        </w:rPr>
        <w:t>nformed</w:t>
      </w:r>
      <w:r w:rsidR="00EA30A7" w:rsidRPr="000D1C6F">
        <w:rPr>
          <w:rFonts w:cstheme="minorHAnsi"/>
          <w:sz w:val="28"/>
          <w:szCs w:val="28"/>
        </w:rPr>
        <w:t>!</w:t>
      </w:r>
      <w:r w:rsidR="001F130E" w:rsidRPr="001F130E">
        <w:rPr>
          <w:rFonts w:cstheme="minorHAnsi"/>
          <w:sz w:val="28"/>
          <w:szCs w:val="28"/>
        </w:rPr>
        <w:t xml:space="preserve"> Learn how work impacts your benefits </w:t>
      </w:r>
      <w:r w:rsidR="00B668EF">
        <w:rPr>
          <w:rFonts w:cstheme="minorHAnsi"/>
          <w:sz w:val="28"/>
          <w:szCs w:val="28"/>
        </w:rPr>
        <w:t>from</w:t>
      </w:r>
      <w:r w:rsidR="001F130E" w:rsidRPr="001F130E">
        <w:rPr>
          <w:rFonts w:cstheme="minorHAnsi"/>
          <w:sz w:val="28"/>
          <w:szCs w:val="28"/>
        </w:rPr>
        <w:t xml:space="preserve"> trusted resources like </w:t>
      </w:r>
      <w:r w:rsidR="00B668EF">
        <w:rPr>
          <w:rFonts w:cstheme="minorHAnsi"/>
          <w:sz w:val="28"/>
          <w:szCs w:val="28"/>
        </w:rPr>
        <w:t>Social Security Administration (</w:t>
      </w:r>
      <w:r w:rsidR="001F130E" w:rsidRPr="001F130E">
        <w:rPr>
          <w:rFonts w:cstheme="minorHAnsi"/>
          <w:sz w:val="28"/>
          <w:szCs w:val="28"/>
        </w:rPr>
        <w:t>SSA</w:t>
      </w:r>
      <w:r w:rsidR="00B668EF">
        <w:rPr>
          <w:rFonts w:cstheme="minorHAnsi"/>
          <w:sz w:val="28"/>
          <w:szCs w:val="28"/>
        </w:rPr>
        <w:t>)</w:t>
      </w:r>
      <w:r w:rsidR="00EA30A7" w:rsidRPr="000D1C6F">
        <w:rPr>
          <w:rFonts w:cstheme="minorHAnsi"/>
          <w:sz w:val="28"/>
          <w:szCs w:val="28"/>
        </w:rPr>
        <w:t xml:space="preserve">, DOR, and the </w:t>
      </w:r>
      <w:r w:rsidR="00EA30A7" w:rsidRPr="001F130E">
        <w:rPr>
          <w:rFonts w:cstheme="minorHAnsi"/>
          <w:sz w:val="28"/>
          <w:szCs w:val="28"/>
        </w:rPr>
        <w:t>DB101</w:t>
      </w:r>
      <w:r w:rsidR="00EA30A7" w:rsidRPr="000D1C6F">
        <w:rPr>
          <w:rFonts w:cstheme="minorHAnsi"/>
          <w:sz w:val="28"/>
          <w:szCs w:val="28"/>
        </w:rPr>
        <w:t xml:space="preserve"> website</w:t>
      </w:r>
      <w:r w:rsidR="001F130E" w:rsidRPr="001F130E">
        <w:rPr>
          <w:rFonts w:cstheme="minorHAnsi"/>
          <w:sz w:val="28"/>
          <w:szCs w:val="28"/>
        </w:rPr>
        <w:t>.</w:t>
      </w:r>
      <w:r w:rsidR="00EA30A7" w:rsidRPr="000D1C6F">
        <w:rPr>
          <w:rFonts w:cstheme="minorHAnsi"/>
          <w:sz w:val="28"/>
          <w:szCs w:val="28"/>
        </w:rPr>
        <w:t xml:space="preserve"> </w:t>
      </w:r>
      <w:r w:rsidR="001F130E" w:rsidRPr="001F130E">
        <w:rPr>
          <w:rFonts w:cstheme="minorHAnsi"/>
          <w:sz w:val="28"/>
          <w:szCs w:val="28"/>
        </w:rPr>
        <w:t xml:space="preserve">Take advantage of </w:t>
      </w:r>
      <w:r w:rsidR="000D1C6F" w:rsidRPr="000D1C6F">
        <w:rPr>
          <w:rFonts w:cstheme="minorHAnsi"/>
          <w:sz w:val="28"/>
          <w:szCs w:val="28"/>
        </w:rPr>
        <w:t>e</w:t>
      </w:r>
      <w:r w:rsidR="00EA30A7" w:rsidRPr="001F130E">
        <w:rPr>
          <w:rFonts w:cstheme="minorHAnsi"/>
          <w:sz w:val="28"/>
          <w:szCs w:val="28"/>
        </w:rPr>
        <w:t xml:space="preserve">xpert </w:t>
      </w:r>
      <w:r w:rsidR="000D1C6F" w:rsidRPr="000D1C6F">
        <w:rPr>
          <w:rFonts w:cstheme="minorHAnsi"/>
          <w:sz w:val="28"/>
          <w:szCs w:val="28"/>
        </w:rPr>
        <w:t>g</w:t>
      </w:r>
      <w:r w:rsidR="00EA30A7" w:rsidRPr="001F130E">
        <w:rPr>
          <w:rFonts w:cstheme="minorHAnsi"/>
          <w:sz w:val="28"/>
          <w:szCs w:val="28"/>
        </w:rPr>
        <w:t xml:space="preserve">uidance </w:t>
      </w:r>
      <w:r w:rsidR="00EA30A7" w:rsidRPr="000D1C6F">
        <w:rPr>
          <w:rFonts w:cstheme="minorHAnsi"/>
          <w:sz w:val="28"/>
          <w:szCs w:val="28"/>
        </w:rPr>
        <w:t xml:space="preserve">by </w:t>
      </w:r>
      <w:r w:rsidR="003D33C4">
        <w:rPr>
          <w:rFonts w:cstheme="minorHAnsi"/>
          <w:sz w:val="28"/>
          <w:szCs w:val="28"/>
        </w:rPr>
        <w:t xml:space="preserve">talking to </w:t>
      </w:r>
      <w:r w:rsidR="00EA30A7" w:rsidRPr="001F130E">
        <w:rPr>
          <w:rFonts w:cstheme="minorHAnsi"/>
          <w:sz w:val="28"/>
          <w:szCs w:val="28"/>
        </w:rPr>
        <w:t>benefit</w:t>
      </w:r>
      <w:r w:rsidR="003D33C4">
        <w:rPr>
          <w:rFonts w:cstheme="minorHAnsi"/>
          <w:sz w:val="28"/>
          <w:szCs w:val="28"/>
        </w:rPr>
        <w:t>s</w:t>
      </w:r>
      <w:r w:rsidR="00EA30A7" w:rsidRPr="001F130E">
        <w:rPr>
          <w:rFonts w:cstheme="minorHAnsi"/>
          <w:sz w:val="28"/>
          <w:szCs w:val="28"/>
        </w:rPr>
        <w:t xml:space="preserve"> counselors </w:t>
      </w:r>
      <w:r w:rsidR="00EA30A7" w:rsidRPr="000D1C6F">
        <w:rPr>
          <w:rFonts w:cstheme="minorHAnsi"/>
          <w:sz w:val="28"/>
          <w:szCs w:val="28"/>
        </w:rPr>
        <w:t>(WIPs) at</w:t>
      </w:r>
      <w:r w:rsidR="00EA30A7" w:rsidRPr="001F130E">
        <w:rPr>
          <w:rFonts w:cstheme="minorHAnsi"/>
          <w:sz w:val="28"/>
          <w:szCs w:val="28"/>
        </w:rPr>
        <w:t xml:space="preserve"> DOR for personalized support</w:t>
      </w:r>
      <w:r w:rsidR="00B668EF">
        <w:rPr>
          <w:rFonts w:cstheme="minorHAnsi"/>
          <w:sz w:val="28"/>
          <w:szCs w:val="28"/>
        </w:rPr>
        <w:t xml:space="preserve"> </w:t>
      </w:r>
      <w:r w:rsidR="00EA30A7" w:rsidRPr="000D1C6F">
        <w:rPr>
          <w:rFonts w:cstheme="minorHAnsi"/>
          <w:sz w:val="28"/>
          <w:szCs w:val="28"/>
        </w:rPr>
        <w:t>or explore</w:t>
      </w:r>
      <w:r w:rsidR="001F130E" w:rsidRPr="001F130E">
        <w:rPr>
          <w:rFonts w:cstheme="minorHAnsi"/>
          <w:sz w:val="28"/>
          <w:szCs w:val="28"/>
        </w:rPr>
        <w:t xml:space="preserve"> </w:t>
      </w:r>
      <w:r w:rsidR="001B3A47">
        <w:rPr>
          <w:rFonts w:cstheme="minorHAnsi"/>
          <w:sz w:val="28"/>
          <w:szCs w:val="28"/>
        </w:rPr>
        <w:t xml:space="preserve">the </w:t>
      </w:r>
      <w:r w:rsidR="001F130E" w:rsidRPr="000C2DB1">
        <w:rPr>
          <w:rFonts w:cstheme="minorHAnsi"/>
          <w:sz w:val="28"/>
          <w:szCs w:val="28"/>
        </w:rPr>
        <w:t>Ticket to Work</w:t>
      </w:r>
      <w:r w:rsidR="003D33C4">
        <w:rPr>
          <w:rFonts w:cstheme="minorHAnsi"/>
          <w:sz w:val="28"/>
          <w:szCs w:val="28"/>
        </w:rPr>
        <w:t xml:space="preserve"> </w:t>
      </w:r>
      <w:hyperlink r:id="rId25" w:history="1">
        <w:r w:rsidR="000C2DB1" w:rsidRPr="000C2DB1">
          <w:rPr>
            <w:rStyle w:val="Hyperlink"/>
            <w:rFonts w:cstheme="minorHAnsi"/>
            <w:sz w:val="28"/>
            <w:szCs w:val="28"/>
          </w:rPr>
          <w:t>Ch</w:t>
        </w:r>
        <w:r w:rsidR="000C2DB1" w:rsidRPr="000C2DB1">
          <w:rPr>
            <w:rStyle w:val="Hyperlink"/>
            <w:rFonts w:cstheme="minorHAnsi"/>
            <w:sz w:val="28"/>
            <w:szCs w:val="28"/>
          </w:rPr>
          <w:t>o</w:t>
        </w:r>
        <w:r w:rsidR="000C2DB1" w:rsidRPr="000C2DB1">
          <w:rPr>
            <w:rStyle w:val="Hyperlink"/>
            <w:rFonts w:cstheme="minorHAnsi"/>
            <w:sz w:val="28"/>
            <w:szCs w:val="28"/>
          </w:rPr>
          <w:t>ose Work</w:t>
        </w:r>
      </w:hyperlink>
      <w:r w:rsidR="000D1C6F" w:rsidRPr="000C2DB1">
        <w:rPr>
          <w:rFonts w:cstheme="minorHAnsi"/>
          <w:sz w:val="28"/>
          <w:szCs w:val="28"/>
        </w:rPr>
        <w:t xml:space="preserve"> </w:t>
      </w:r>
      <w:r w:rsidR="003D33C4">
        <w:rPr>
          <w:rFonts w:cstheme="minorHAnsi"/>
          <w:sz w:val="28"/>
          <w:szCs w:val="28"/>
        </w:rPr>
        <w:t xml:space="preserve">website </w:t>
      </w:r>
      <w:r w:rsidR="000D1C6F" w:rsidRPr="000C2DB1">
        <w:rPr>
          <w:rFonts w:cstheme="minorHAnsi"/>
          <w:sz w:val="28"/>
          <w:szCs w:val="28"/>
        </w:rPr>
        <w:t xml:space="preserve">for </w:t>
      </w:r>
      <w:r w:rsidR="000C2DB1">
        <w:rPr>
          <w:rFonts w:cstheme="minorHAnsi"/>
          <w:sz w:val="28"/>
          <w:szCs w:val="28"/>
        </w:rPr>
        <w:t>a Work Incentives and Assistance (</w:t>
      </w:r>
      <w:r w:rsidR="000C2DB1" w:rsidRPr="000C2DB1">
        <w:rPr>
          <w:rFonts w:cstheme="minorHAnsi"/>
          <w:sz w:val="28"/>
          <w:szCs w:val="28"/>
        </w:rPr>
        <w:t>WIPA</w:t>
      </w:r>
      <w:r w:rsidR="000C2DB1">
        <w:rPr>
          <w:rFonts w:cstheme="minorHAnsi"/>
          <w:sz w:val="28"/>
          <w:szCs w:val="28"/>
        </w:rPr>
        <w:t>)</w:t>
      </w:r>
      <w:r w:rsidR="000C2DB1" w:rsidRPr="000C2DB1">
        <w:rPr>
          <w:rFonts w:cstheme="minorHAnsi"/>
          <w:sz w:val="28"/>
          <w:szCs w:val="28"/>
        </w:rPr>
        <w:t xml:space="preserve"> </w:t>
      </w:r>
      <w:r w:rsidR="000C2DB1">
        <w:rPr>
          <w:rFonts w:cstheme="minorHAnsi"/>
          <w:sz w:val="28"/>
          <w:szCs w:val="28"/>
        </w:rPr>
        <w:t xml:space="preserve">Project </w:t>
      </w:r>
      <w:r w:rsidR="000D1C6F" w:rsidRPr="000C2DB1">
        <w:rPr>
          <w:rFonts w:cstheme="minorHAnsi"/>
          <w:sz w:val="28"/>
          <w:szCs w:val="28"/>
        </w:rPr>
        <w:t>or</w:t>
      </w:r>
      <w:r w:rsidR="000C2DB1">
        <w:rPr>
          <w:rFonts w:cstheme="minorHAnsi"/>
          <w:sz w:val="28"/>
          <w:szCs w:val="28"/>
        </w:rPr>
        <w:t xml:space="preserve"> an Employment Network</w:t>
      </w:r>
      <w:r w:rsidR="000D1C6F" w:rsidRPr="000C2DB1">
        <w:rPr>
          <w:rFonts w:cstheme="minorHAnsi"/>
          <w:sz w:val="28"/>
          <w:szCs w:val="28"/>
        </w:rPr>
        <w:t xml:space="preserve"> </w:t>
      </w:r>
      <w:r w:rsidR="000C2DB1">
        <w:rPr>
          <w:rFonts w:cstheme="minorHAnsi"/>
          <w:sz w:val="28"/>
          <w:szCs w:val="28"/>
        </w:rPr>
        <w:t>(</w:t>
      </w:r>
      <w:r w:rsidR="000D1C6F" w:rsidRPr="000C2DB1">
        <w:rPr>
          <w:rFonts w:cstheme="minorHAnsi"/>
          <w:sz w:val="28"/>
          <w:szCs w:val="28"/>
        </w:rPr>
        <w:t>EN</w:t>
      </w:r>
      <w:r w:rsidR="000C2DB1">
        <w:rPr>
          <w:rFonts w:cstheme="minorHAnsi"/>
          <w:sz w:val="28"/>
          <w:szCs w:val="28"/>
        </w:rPr>
        <w:t>) to find help near you</w:t>
      </w:r>
      <w:r w:rsidR="000D1C6F" w:rsidRPr="000C2DB1">
        <w:rPr>
          <w:rFonts w:cstheme="minorHAnsi"/>
          <w:sz w:val="28"/>
          <w:szCs w:val="28"/>
        </w:rPr>
        <w:t>.</w:t>
      </w:r>
      <w:r w:rsidR="00FD6428">
        <w:rPr>
          <w:rFonts w:cstheme="minorHAnsi"/>
          <w:sz w:val="28"/>
          <w:szCs w:val="28"/>
        </w:rPr>
        <w:t xml:space="preserve"> </w:t>
      </w:r>
    </w:p>
    <w:bookmarkEnd w:id="0"/>
    <w:p w14:paraId="609D43D4" w14:textId="2FF7E30F" w:rsidR="000C2DB1" w:rsidRPr="008D16E1" w:rsidRDefault="0062209F" w:rsidP="00075BD8">
      <w:pPr>
        <w:spacing w:before="240" w:after="0" w:line="240" w:lineRule="auto"/>
        <w:rPr>
          <w:rFonts w:cstheme="minorHAnsi"/>
          <w:b/>
          <w:bCs/>
        </w:rPr>
      </w:pPr>
      <w:r w:rsidRPr="000D1C6F">
        <w:rPr>
          <w:rFonts w:cstheme="minorHAnsi"/>
          <w:b/>
          <w:bCs/>
          <w:sz w:val="28"/>
          <w:szCs w:val="28"/>
        </w:rPr>
        <w:t>Key Takeaways</w:t>
      </w:r>
      <w:r w:rsidR="00777DB6" w:rsidRPr="000D1C6F">
        <w:rPr>
          <w:rFonts w:cstheme="minorHAnsi"/>
          <w:b/>
          <w:bCs/>
          <w:sz w:val="28"/>
          <w:szCs w:val="28"/>
        </w:rPr>
        <w:t>:</w:t>
      </w:r>
      <w:r w:rsidR="001F130E" w:rsidRPr="001F130E">
        <w:rPr>
          <w:rFonts w:cstheme="minorHAnsi"/>
          <w:sz w:val="28"/>
          <w:szCs w:val="28"/>
        </w:rPr>
        <w:t xml:space="preserve"> </w:t>
      </w:r>
    </w:p>
    <w:p w14:paraId="0CFDAB2C" w14:textId="77777777" w:rsidR="000C2DB1" w:rsidRDefault="001F130E" w:rsidP="008D16E1">
      <w:pPr>
        <w:pStyle w:val="ListParagraph"/>
        <w:numPr>
          <w:ilvl w:val="0"/>
          <w:numId w:val="19"/>
        </w:numPr>
        <w:spacing w:after="0" w:line="240" w:lineRule="auto"/>
        <w:ind w:left="0"/>
        <w:contextualSpacing w:val="0"/>
        <w:rPr>
          <w:rFonts w:cstheme="minorHAnsi"/>
          <w:sz w:val="28"/>
          <w:szCs w:val="28"/>
        </w:rPr>
      </w:pPr>
      <w:r w:rsidRPr="000C2DB1">
        <w:rPr>
          <w:rFonts w:cstheme="minorHAnsi"/>
          <w:sz w:val="28"/>
          <w:szCs w:val="28"/>
        </w:rPr>
        <w:t>You will not automatically lose your Medicare or Medi-Cal when you start working</w:t>
      </w:r>
      <w:r w:rsidR="000C2DB1">
        <w:rPr>
          <w:rFonts w:cstheme="minorHAnsi"/>
          <w:sz w:val="28"/>
          <w:szCs w:val="28"/>
        </w:rPr>
        <w:t>.</w:t>
      </w:r>
    </w:p>
    <w:p w14:paraId="3FAC82FD" w14:textId="38FE4083" w:rsidR="001F130E" w:rsidRPr="000C2DB1" w:rsidRDefault="001F130E" w:rsidP="00075BD8">
      <w:pPr>
        <w:pStyle w:val="ListParagraph"/>
        <w:numPr>
          <w:ilvl w:val="0"/>
          <w:numId w:val="19"/>
        </w:numPr>
        <w:spacing w:line="240" w:lineRule="auto"/>
        <w:ind w:left="0"/>
        <w:contextualSpacing w:val="0"/>
        <w:rPr>
          <w:rFonts w:cstheme="minorHAnsi"/>
          <w:sz w:val="28"/>
          <w:szCs w:val="28"/>
        </w:rPr>
      </w:pPr>
      <w:bookmarkStart w:id="1" w:name="_Hlk196991384"/>
      <w:r w:rsidRPr="000C2DB1">
        <w:rPr>
          <w:rFonts w:cstheme="minorHAnsi"/>
          <w:sz w:val="28"/>
          <w:szCs w:val="28"/>
        </w:rPr>
        <w:t>There are work incentives designed to help you succeed—you don't have to choose between working and keeping healthcare coverage!</w:t>
      </w:r>
    </w:p>
    <w:p w14:paraId="20FDB052" w14:textId="62A2E733" w:rsidR="00063DDD" w:rsidRDefault="00075BD8" w:rsidP="00B74CA3">
      <w:pPr>
        <w:spacing w:line="240" w:lineRule="auto"/>
        <w:rPr>
          <w:noProof/>
          <w:sz w:val="28"/>
          <w:szCs w:val="28"/>
        </w:rPr>
      </w:pPr>
      <w:bookmarkStart w:id="2" w:name="_Hlk196991403"/>
      <w:bookmarkEnd w:id="1"/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4E84F36B" wp14:editId="010A6765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541655" cy="541655"/>
            <wp:effectExtent l="0" t="0" r="0" b="0"/>
            <wp:wrapSquare wrapText="bothSides"/>
            <wp:docPr id="309042416" name="Graphic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9042416" name="Graphic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6">
                      <a:extLst>
                        <a:ext uri="{96DAC541-7B7A-43D3-8B79-37D633B846F1}">
                          <asvg:svgBlip xmlns:asvg="http://schemas.microsoft.com/office/drawing/2016/SVG/main" r:embed="rId2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655" cy="541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D33C4">
        <w:rPr>
          <w:rFonts w:cstheme="minorHAnsi"/>
          <w:sz w:val="28"/>
          <w:szCs w:val="28"/>
        </w:rPr>
        <w:t>Going</w:t>
      </w:r>
      <w:r w:rsidR="001F130E" w:rsidRPr="001F130E">
        <w:rPr>
          <w:rFonts w:cstheme="minorHAnsi"/>
          <w:sz w:val="28"/>
          <w:szCs w:val="28"/>
        </w:rPr>
        <w:t xml:space="preserve"> to work is an exciting step toward financial independence, and you don’t have to give up the health coverage you rely on. By using available work incentives and </w:t>
      </w:r>
      <w:proofErr w:type="gramStart"/>
      <w:r w:rsidR="001F130E" w:rsidRPr="001F130E">
        <w:rPr>
          <w:rFonts w:cstheme="minorHAnsi"/>
          <w:sz w:val="28"/>
          <w:szCs w:val="28"/>
        </w:rPr>
        <w:t>planning ahead</w:t>
      </w:r>
      <w:proofErr w:type="gramEnd"/>
      <w:r w:rsidR="001F130E" w:rsidRPr="001F130E">
        <w:rPr>
          <w:rFonts w:cstheme="minorHAnsi"/>
          <w:sz w:val="28"/>
          <w:szCs w:val="28"/>
        </w:rPr>
        <w:t>, you can confidently transition to employment while keeping your essential benefits. Explore your options, reach out for support, and take control of your future today!</w:t>
      </w:r>
      <w:r w:rsidRPr="00075BD8">
        <w:rPr>
          <w:noProof/>
          <w:sz w:val="28"/>
          <w:szCs w:val="28"/>
        </w:rPr>
        <w:t xml:space="preserve"> </w:t>
      </w:r>
      <w:bookmarkEnd w:id="2"/>
    </w:p>
    <w:p w14:paraId="68D8FEFC" w14:textId="50693065" w:rsidR="00B74CA3" w:rsidRDefault="00B74CA3" w:rsidP="00B74CA3">
      <w:pPr>
        <w:spacing w:after="0"/>
        <w:rPr>
          <w:sz w:val="28"/>
          <w:szCs w:val="28"/>
        </w:rPr>
      </w:pPr>
      <w:r w:rsidRPr="004F5B1D">
        <w:rPr>
          <w:sz w:val="28"/>
          <w:szCs w:val="28"/>
        </w:rPr>
        <w:t xml:space="preserve">Still not </w:t>
      </w:r>
      <w:proofErr w:type="gramStart"/>
      <w:r w:rsidRPr="004F5B1D">
        <w:rPr>
          <w:sz w:val="28"/>
          <w:szCs w:val="28"/>
        </w:rPr>
        <w:t>convinced?</w:t>
      </w:r>
      <w:proofErr w:type="gramEnd"/>
      <w:r w:rsidRPr="004F5B1D">
        <w:rPr>
          <w:sz w:val="28"/>
          <w:szCs w:val="28"/>
        </w:rPr>
        <w:t xml:space="preserve"> Check out these amazing video success stories from DOR clients receiving Social Security disability benefits on our </w:t>
      </w:r>
      <w:hyperlink r:id="rId28" w:history="1">
        <w:r w:rsidRPr="004F5B1D">
          <w:rPr>
            <w:rStyle w:val="Hyperlink"/>
            <w:sz w:val="28"/>
            <w:szCs w:val="28"/>
          </w:rPr>
          <w:t>YouT</w:t>
        </w:r>
        <w:r w:rsidRPr="004F5B1D">
          <w:rPr>
            <w:rStyle w:val="Hyperlink"/>
            <w:sz w:val="28"/>
            <w:szCs w:val="28"/>
          </w:rPr>
          <w:t>u</w:t>
        </w:r>
        <w:r w:rsidRPr="004F5B1D">
          <w:rPr>
            <w:rStyle w:val="Hyperlink"/>
            <w:sz w:val="28"/>
            <w:szCs w:val="28"/>
          </w:rPr>
          <w:t>be</w:t>
        </w:r>
      </w:hyperlink>
      <w:r w:rsidRPr="004F5B1D">
        <w:rPr>
          <w:sz w:val="28"/>
          <w:szCs w:val="28"/>
        </w:rPr>
        <w:t xml:space="preserve"> page.</w:t>
      </w:r>
      <w:r w:rsidRPr="00BE7F15">
        <w:rPr>
          <w:noProof/>
          <w:sz w:val="28"/>
          <w:szCs w:val="28"/>
        </w:rPr>
        <w:t xml:space="preserve"> </w:t>
      </w:r>
    </w:p>
    <w:p w14:paraId="450FD40B" w14:textId="77777777" w:rsidR="009F3E1D" w:rsidRPr="009F3E1D" w:rsidRDefault="009F3E1D" w:rsidP="009F3E1D">
      <w:pPr>
        <w:rPr>
          <w:sz w:val="28"/>
          <w:szCs w:val="28"/>
        </w:rPr>
      </w:pPr>
    </w:p>
    <w:p w14:paraId="29DDCA32" w14:textId="77777777" w:rsidR="009F3E1D" w:rsidRDefault="009F3E1D" w:rsidP="009F3E1D">
      <w:pPr>
        <w:rPr>
          <w:sz w:val="28"/>
          <w:szCs w:val="28"/>
        </w:rPr>
      </w:pPr>
    </w:p>
    <w:p w14:paraId="4490C60B" w14:textId="77777777" w:rsidR="009F3E1D" w:rsidRPr="009F3E1D" w:rsidRDefault="009F3E1D" w:rsidP="009F3E1D">
      <w:pPr>
        <w:rPr>
          <w:sz w:val="28"/>
          <w:szCs w:val="28"/>
        </w:rPr>
      </w:pPr>
    </w:p>
    <w:sectPr w:rsidR="009F3E1D" w:rsidRPr="009F3E1D" w:rsidSect="009753D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65C97"/>
    <w:multiLevelType w:val="multilevel"/>
    <w:tmpl w:val="CCB03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E56ED8"/>
    <w:multiLevelType w:val="multilevel"/>
    <w:tmpl w:val="37AAD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447424"/>
    <w:multiLevelType w:val="multilevel"/>
    <w:tmpl w:val="A9F00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AC62E9"/>
    <w:multiLevelType w:val="hybridMultilevel"/>
    <w:tmpl w:val="83C23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A233FC"/>
    <w:multiLevelType w:val="hybridMultilevel"/>
    <w:tmpl w:val="01BE1C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213D7C"/>
    <w:multiLevelType w:val="hybridMultilevel"/>
    <w:tmpl w:val="F0B26B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D3D49FB"/>
    <w:multiLevelType w:val="hybridMultilevel"/>
    <w:tmpl w:val="B6D49C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E123703"/>
    <w:multiLevelType w:val="multilevel"/>
    <w:tmpl w:val="0292E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4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4840E3"/>
    <w:multiLevelType w:val="multilevel"/>
    <w:tmpl w:val="15768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DE0E6B"/>
    <w:multiLevelType w:val="multilevel"/>
    <w:tmpl w:val="A1C0D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AF431FB"/>
    <w:multiLevelType w:val="multilevel"/>
    <w:tmpl w:val="2ADA4210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CF471B0"/>
    <w:multiLevelType w:val="multilevel"/>
    <w:tmpl w:val="03F8B314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22F1F05"/>
    <w:multiLevelType w:val="multilevel"/>
    <w:tmpl w:val="4134D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3EA0D19"/>
    <w:multiLevelType w:val="multilevel"/>
    <w:tmpl w:val="4D203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40F137E"/>
    <w:multiLevelType w:val="multilevel"/>
    <w:tmpl w:val="1BC6F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44241A8"/>
    <w:multiLevelType w:val="hybridMultilevel"/>
    <w:tmpl w:val="F75E6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1B6B7C"/>
    <w:multiLevelType w:val="hybridMultilevel"/>
    <w:tmpl w:val="FF867C2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91009E"/>
    <w:multiLevelType w:val="multilevel"/>
    <w:tmpl w:val="BBAE8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9924862"/>
    <w:multiLevelType w:val="multilevel"/>
    <w:tmpl w:val="3D30E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F6D078A"/>
    <w:multiLevelType w:val="multilevel"/>
    <w:tmpl w:val="F73E8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4CE4A52"/>
    <w:multiLevelType w:val="hybridMultilevel"/>
    <w:tmpl w:val="5866D2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BE24FA4"/>
    <w:multiLevelType w:val="hybridMultilevel"/>
    <w:tmpl w:val="0DBADA8E"/>
    <w:lvl w:ilvl="0" w:tplc="FE6C1C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0650632">
    <w:abstractNumId w:val="1"/>
  </w:num>
  <w:num w:numId="2" w16cid:durableId="1777367551">
    <w:abstractNumId w:val="10"/>
  </w:num>
  <w:num w:numId="3" w16cid:durableId="198512562">
    <w:abstractNumId w:val="19"/>
  </w:num>
  <w:num w:numId="4" w16cid:durableId="341325462">
    <w:abstractNumId w:val="9"/>
  </w:num>
  <w:num w:numId="5" w16cid:durableId="1438599180">
    <w:abstractNumId w:val="17"/>
  </w:num>
  <w:num w:numId="6" w16cid:durableId="1740975614">
    <w:abstractNumId w:val="8"/>
  </w:num>
  <w:num w:numId="7" w16cid:durableId="979043095">
    <w:abstractNumId w:val="0"/>
  </w:num>
  <w:num w:numId="8" w16cid:durableId="1168128908">
    <w:abstractNumId w:val="13"/>
  </w:num>
  <w:num w:numId="9" w16cid:durableId="1017196159">
    <w:abstractNumId w:val="7"/>
  </w:num>
  <w:num w:numId="10" w16cid:durableId="1437092722">
    <w:abstractNumId w:val="18"/>
  </w:num>
  <w:num w:numId="11" w16cid:durableId="2094474856">
    <w:abstractNumId w:val="11"/>
  </w:num>
  <w:num w:numId="12" w16cid:durableId="697462385">
    <w:abstractNumId w:val="2"/>
  </w:num>
  <w:num w:numId="13" w16cid:durableId="251092427">
    <w:abstractNumId w:val="21"/>
  </w:num>
  <w:num w:numId="14" w16cid:durableId="129134698">
    <w:abstractNumId w:val="12"/>
  </w:num>
  <w:num w:numId="15" w16cid:durableId="363791944">
    <w:abstractNumId w:val="6"/>
  </w:num>
  <w:num w:numId="16" w16cid:durableId="466551102">
    <w:abstractNumId w:val="15"/>
  </w:num>
  <w:num w:numId="17" w16cid:durableId="2077623109">
    <w:abstractNumId w:val="3"/>
  </w:num>
  <w:num w:numId="18" w16cid:durableId="499656964">
    <w:abstractNumId w:val="14"/>
  </w:num>
  <w:num w:numId="19" w16cid:durableId="1389261502">
    <w:abstractNumId w:val="4"/>
  </w:num>
  <w:num w:numId="20" w16cid:durableId="814102651">
    <w:abstractNumId w:val="16"/>
  </w:num>
  <w:num w:numId="21" w16cid:durableId="869534070">
    <w:abstractNumId w:val="5"/>
  </w:num>
  <w:num w:numId="22" w16cid:durableId="87885590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3DF"/>
    <w:rsid w:val="000270B5"/>
    <w:rsid w:val="0003326E"/>
    <w:rsid w:val="00037B90"/>
    <w:rsid w:val="0005382D"/>
    <w:rsid w:val="00063DDD"/>
    <w:rsid w:val="000660DA"/>
    <w:rsid w:val="00075BD8"/>
    <w:rsid w:val="000C2DB1"/>
    <w:rsid w:val="000D1C6F"/>
    <w:rsid w:val="00136116"/>
    <w:rsid w:val="001412F5"/>
    <w:rsid w:val="001743BA"/>
    <w:rsid w:val="00190BF9"/>
    <w:rsid w:val="001B3A47"/>
    <w:rsid w:val="001F130E"/>
    <w:rsid w:val="001F74D1"/>
    <w:rsid w:val="002054BC"/>
    <w:rsid w:val="002632EE"/>
    <w:rsid w:val="00267487"/>
    <w:rsid w:val="00284957"/>
    <w:rsid w:val="002A07E6"/>
    <w:rsid w:val="002A6FAE"/>
    <w:rsid w:val="002A7C3B"/>
    <w:rsid w:val="002E1FA6"/>
    <w:rsid w:val="00332CA3"/>
    <w:rsid w:val="00374ECF"/>
    <w:rsid w:val="003D33C4"/>
    <w:rsid w:val="003E1A82"/>
    <w:rsid w:val="003E30E4"/>
    <w:rsid w:val="00443347"/>
    <w:rsid w:val="004472DE"/>
    <w:rsid w:val="00496FB9"/>
    <w:rsid w:val="00497748"/>
    <w:rsid w:val="004E2FAE"/>
    <w:rsid w:val="0058687D"/>
    <w:rsid w:val="00587366"/>
    <w:rsid w:val="0059247F"/>
    <w:rsid w:val="005942C1"/>
    <w:rsid w:val="005C3481"/>
    <w:rsid w:val="005D1886"/>
    <w:rsid w:val="005F0533"/>
    <w:rsid w:val="0062209F"/>
    <w:rsid w:val="006245C5"/>
    <w:rsid w:val="00626FEE"/>
    <w:rsid w:val="00697AC7"/>
    <w:rsid w:val="006B7EDA"/>
    <w:rsid w:val="006C4904"/>
    <w:rsid w:val="00716904"/>
    <w:rsid w:val="00733906"/>
    <w:rsid w:val="0073664F"/>
    <w:rsid w:val="00744738"/>
    <w:rsid w:val="007729E2"/>
    <w:rsid w:val="007758EF"/>
    <w:rsid w:val="00777DB6"/>
    <w:rsid w:val="00795156"/>
    <w:rsid w:val="007A1462"/>
    <w:rsid w:val="007A71B9"/>
    <w:rsid w:val="007F64D2"/>
    <w:rsid w:val="00804006"/>
    <w:rsid w:val="00804FF6"/>
    <w:rsid w:val="00861D0C"/>
    <w:rsid w:val="008A0C5C"/>
    <w:rsid w:val="008A2AA9"/>
    <w:rsid w:val="008A31AC"/>
    <w:rsid w:val="008A518C"/>
    <w:rsid w:val="008D16E1"/>
    <w:rsid w:val="008E6860"/>
    <w:rsid w:val="008F12E0"/>
    <w:rsid w:val="00920886"/>
    <w:rsid w:val="009221A2"/>
    <w:rsid w:val="00963CB5"/>
    <w:rsid w:val="0096778C"/>
    <w:rsid w:val="009753DF"/>
    <w:rsid w:val="00987FA4"/>
    <w:rsid w:val="009A351F"/>
    <w:rsid w:val="009C3CF1"/>
    <w:rsid w:val="009F3E1D"/>
    <w:rsid w:val="00A11F68"/>
    <w:rsid w:val="00A368C7"/>
    <w:rsid w:val="00A6380D"/>
    <w:rsid w:val="00A67F24"/>
    <w:rsid w:val="00A829F4"/>
    <w:rsid w:val="00AA29ED"/>
    <w:rsid w:val="00B032C5"/>
    <w:rsid w:val="00B537B1"/>
    <w:rsid w:val="00B668EF"/>
    <w:rsid w:val="00B74CA3"/>
    <w:rsid w:val="00BA6B46"/>
    <w:rsid w:val="00BD1364"/>
    <w:rsid w:val="00C21986"/>
    <w:rsid w:val="00C31E69"/>
    <w:rsid w:val="00C33B65"/>
    <w:rsid w:val="00C36C2C"/>
    <w:rsid w:val="00C83B73"/>
    <w:rsid w:val="00CE1511"/>
    <w:rsid w:val="00D024B6"/>
    <w:rsid w:val="00D1775C"/>
    <w:rsid w:val="00D210B6"/>
    <w:rsid w:val="00D51B6F"/>
    <w:rsid w:val="00D81689"/>
    <w:rsid w:val="00D8748E"/>
    <w:rsid w:val="00D927D4"/>
    <w:rsid w:val="00E07D13"/>
    <w:rsid w:val="00E14AF6"/>
    <w:rsid w:val="00E30D7B"/>
    <w:rsid w:val="00E5343E"/>
    <w:rsid w:val="00E87A9F"/>
    <w:rsid w:val="00EA30A7"/>
    <w:rsid w:val="00EC0217"/>
    <w:rsid w:val="00ED6C94"/>
    <w:rsid w:val="00F026A4"/>
    <w:rsid w:val="00F60939"/>
    <w:rsid w:val="00FD495D"/>
    <w:rsid w:val="00FD6428"/>
    <w:rsid w:val="00FE3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7CBE55"/>
  <w15:chartTrackingRefBased/>
  <w15:docId w15:val="{58B83CBA-CEF7-4875-80CC-EAE2FC784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64D2"/>
  </w:style>
  <w:style w:type="paragraph" w:styleId="Heading1">
    <w:name w:val="heading 1"/>
    <w:basedOn w:val="Normal"/>
    <w:next w:val="Normal"/>
    <w:link w:val="Heading1Char"/>
    <w:uiPriority w:val="9"/>
    <w:qFormat/>
    <w:rsid w:val="00497748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0A2F41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97748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97748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774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774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774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0A2F4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774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0A2F4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774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0A2F41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774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0A2F4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7748"/>
    <w:rPr>
      <w:rFonts w:asciiTheme="majorHAnsi" w:eastAsiaTheme="majorEastAsia" w:hAnsiTheme="majorHAnsi" w:cstheme="majorBidi"/>
      <w:color w:val="0A2F41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4977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97748"/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7748"/>
    <w:rPr>
      <w:rFonts w:asciiTheme="majorHAnsi" w:eastAsiaTheme="majorEastAsia" w:hAnsiTheme="majorHAnsi" w:cstheme="majorBidi"/>
      <w:color w:val="0F476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7748"/>
    <w:rPr>
      <w:rFonts w:asciiTheme="majorHAnsi" w:eastAsiaTheme="majorEastAsia" w:hAnsiTheme="majorHAnsi" w:cstheme="majorBidi"/>
      <w:caps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7748"/>
    <w:rPr>
      <w:rFonts w:asciiTheme="majorHAnsi" w:eastAsiaTheme="majorEastAsia" w:hAnsiTheme="majorHAnsi" w:cstheme="majorBidi"/>
      <w:i/>
      <w:iCs/>
      <w:caps/>
      <w:color w:val="0A2F4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7748"/>
    <w:rPr>
      <w:rFonts w:asciiTheme="majorHAnsi" w:eastAsiaTheme="majorEastAsia" w:hAnsiTheme="majorHAnsi" w:cstheme="majorBidi"/>
      <w:b/>
      <w:bCs/>
      <w:color w:val="0A2F4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7748"/>
    <w:rPr>
      <w:rFonts w:asciiTheme="majorHAnsi" w:eastAsiaTheme="majorEastAsia" w:hAnsiTheme="majorHAnsi" w:cstheme="majorBidi"/>
      <w:b/>
      <w:bCs/>
      <w:i/>
      <w:iCs/>
      <w:color w:val="0A2F41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7748"/>
    <w:rPr>
      <w:rFonts w:asciiTheme="majorHAnsi" w:eastAsiaTheme="majorEastAsia" w:hAnsiTheme="majorHAnsi" w:cstheme="majorBidi"/>
      <w:i/>
      <w:iCs/>
      <w:color w:val="0A2F41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97748"/>
    <w:pPr>
      <w:spacing w:line="240" w:lineRule="auto"/>
    </w:pPr>
    <w:rPr>
      <w:b/>
      <w:bCs/>
      <w:smallCaps/>
      <w:color w:val="0E2841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497748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0E2841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497748"/>
    <w:rPr>
      <w:rFonts w:asciiTheme="majorHAnsi" w:eastAsiaTheme="majorEastAsia" w:hAnsiTheme="majorHAnsi" w:cstheme="majorBidi"/>
      <w:caps/>
      <w:color w:val="0E2841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7748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7748"/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497748"/>
    <w:rPr>
      <w:b/>
      <w:bCs/>
    </w:rPr>
  </w:style>
  <w:style w:type="character" w:styleId="Emphasis">
    <w:name w:val="Emphasis"/>
    <w:basedOn w:val="DefaultParagraphFont"/>
    <w:uiPriority w:val="20"/>
    <w:qFormat/>
    <w:rsid w:val="00497748"/>
    <w:rPr>
      <w:i/>
      <w:iCs/>
    </w:rPr>
  </w:style>
  <w:style w:type="paragraph" w:styleId="NoSpacing">
    <w:name w:val="No Spacing"/>
    <w:uiPriority w:val="1"/>
    <w:qFormat/>
    <w:rsid w:val="0049774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9774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97748"/>
    <w:pPr>
      <w:spacing w:before="120" w:after="120"/>
      <w:ind w:left="720"/>
    </w:pPr>
    <w:rPr>
      <w:color w:val="0E2841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497748"/>
    <w:rPr>
      <w:color w:val="0E2841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7748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0E2841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7748"/>
    <w:rPr>
      <w:rFonts w:asciiTheme="majorHAnsi" w:eastAsiaTheme="majorEastAsia" w:hAnsiTheme="majorHAnsi" w:cstheme="majorBidi"/>
      <w:color w:val="0E2841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497748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497748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497748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497748"/>
    <w:rPr>
      <w:b/>
      <w:bCs/>
      <w:smallCaps/>
      <w:color w:val="0E2841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497748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97748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9753D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53D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61D0C"/>
    <w:rPr>
      <w:color w:val="96607D" w:themeColor="followedHyperlink"/>
      <w:u w:val="single"/>
    </w:rPr>
  </w:style>
  <w:style w:type="paragraph" w:customStyle="1" w:styleId="poms-para">
    <w:name w:val="poms-para"/>
    <w:basedOn w:val="Normal"/>
    <w:rsid w:val="00C3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5D18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2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40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7166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2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63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90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46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7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or.ca.gov/Home/SswAndTtw" TargetMode="External"/><Relationship Id="rId13" Type="http://schemas.openxmlformats.org/officeDocument/2006/relationships/hyperlink" Target="https://ca.db101.org/" TargetMode="External"/><Relationship Id="rId18" Type="http://schemas.openxmlformats.org/officeDocument/2006/relationships/hyperlink" Target="https://www.dhcs.ca.gov/services/Pages/TPLRD_MOU_cont.aspx" TargetMode="External"/><Relationship Id="rId26" Type="http://schemas.openxmlformats.org/officeDocument/2006/relationships/image" Target="media/image3.png"/><Relationship Id="rId3" Type="http://schemas.openxmlformats.org/officeDocument/2006/relationships/settings" Target="settings.xml"/><Relationship Id="rId21" Type="http://schemas.openxmlformats.org/officeDocument/2006/relationships/hyperlink" Target="https://www.ssa.gov/ssi/text-work-ussi.htm" TargetMode="External"/><Relationship Id="rId7" Type="http://schemas.openxmlformats.org/officeDocument/2006/relationships/image" Target="media/image2.svg"/><Relationship Id="rId12" Type="http://schemas.openxmlformats.org/officeDocument/2006/relationships/hyperlink" Target="https://www.disabilityrightsca.org/resources/health-care" TargetMode="External"/><Relationship Id="rId17" Type="http://schemas.openxmlformats.org/officeDocument/2006/relationships/hyperlink" Target="https://ca.db101.org/ca/programs/health_coverage/medicare2/program2.htm" TargetMode="External"/><Relationship Id="rId25" Type="http://schemas.openxmlformats.org/officeDocument/2006/relationships/hyperlink" Target="https://choosework.ssa.gov/findhelp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medicare.gov/basics/get-started-with-medicare/before-65" TargetMode="External"/><Relationship Id="rId20" Type="http://schemas.openxmlformats.org/officeDocument/2006/relationships/hyperlink" Target="https://www.ssa.gov/disabilityresearch/wi/qdwi.htm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choosework.ssa.gov/about/work-incentives" TargetMode="External"/><Relationship Id="rId24" Type="http://schemas.openxmlformats.org/officeDocument/2006/relationships/hyperlink" Target="https://www.dhcs.ca.gov/services/Pages/TPLRD_WD_cont.aspx" TargetMode="External"/><Relationship Id="rId5" Type="http://schemas.openxmlformats.org/officeDocument/2006/relationships/hyperlink" Target="https://www.dor.ca.gov/Home/Ssa" TargetMode="External"/><Relationship Id="rId15" Type="http://schemas.openxmlformats.org/officeDocument/2006/relationships/hyperlink" Target="https://ca.db101.org/ca/programs/health_coverage/medi_cal/program.htm" TargetMode="External"/><Relationship Id="rId23" Type="http://schemas.openxmlformats.org/officeDocument/2006/relationships/hyperlink" Target="https://dpss.lacounty.gov/en/health/senior-disabled/wdp.html" TargetMode="External"/><Relationship Id="rId28" Type="http://schemas.openxmlformats.org/officeDocument/2006/relationships/hyperlink" Target="https://www.youtube.com/playlist?list=PLxQhTEDVJyHCd82zMdT_WCAjRhZhTx6dd" TargetMode="External"/><Relationship Id="rId10" Type="http://schemas.openxmlformats.org/officeDocument/2006/relationships/hyperlink" Target="https://www.ssa.gov/ssi/spotlights/spot-medicaid.htm" TargetMode="External"/><Relationship Id="rId19" Type="http://schemas.openxmlformats.org/officeDocument/2006/relationships/hyperlink" Target="https://www.dhcs.ca.gov/individuals/Pages/Medicare-Savings-Programs-in-California.asp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sa.gov/disability/work" TargetMode="External"/><Relationship Id="rId14" Type="http://schemas.openxmlformats.org/officeDocument/2006/relationships/hyperlink" Target="https://ca.db101.org/ca/programs/health_coverage/medicare2/program.htm" TargetMode="External"/><Relationship Id="rId22" Type="http://schemas.openxmlformats.org/officeDocument/2006/relationships/hyperlink" Target="https://www.ssa.gov/disabilityresearch/wi/1619b.htm" TargetMode="External"/><Relationship Id="rId27" Type="http://schemas.openxmlformats.org/officeDocument/2006/relationships/image" Target="media/image4.sv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daa842e6-9257-4536-8577-77b8f34f9507}" enabled="1" method="Standard" siteId="{19ed7054-9d97-43c7-92b1-6781b6b95b6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985</TotalTime>
  <Pages>2</Pages>
  <Words>997</Words>
  <Characters>5687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Martinez, Tina@DOR</dc:creator>
  <cp:keywords/>
  <dc:description/>
  <cp:lastModifiedBy>Simkowski, Morgane@DOR</cp:lastModifiedBy>
  <cp:revision>61</cp:revision>
  <dcterms:created xsi:type="dcterms:W3CDTF">2025-03-24T19:00:00Z</dcterms:created>
  <dcterms:modified xsi:type="dcterms:W3CDTF">2025-09-09T21:19:00Z</dcterms:modified>
</cp:coreProperties>
</file>