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17A8" w14:textId="77F879D9" w:rsidR="007250E8" w:rsidRPr="007A1C50" w:rsidRDefault="007250E8" w:rsidP="007A1C50">
      <w:pPr>
        <w:spacing w:before="120" w:after="120" w:line="240" w:lineRule="auto"/>
        <w:jc w:val="center"/>
        <w:rPr>
          <w:rFonts w:eastAsiaTheme="majorEastAsia" w:cstheme="minorHAnsi"/>
          <w:b/>
          <w:bCs/>
          <w:caps/>
          <w:color w:val="0E2841" w:themeColor="text2"/>
          <w:spacing w:val="-15"/>
          <w:sz w:val="28"/>
          <w:szCs w:val="28"/>
        </w:rPr>
      </w:pPr>
      <w:permStart w:id="268850581" w:ed="brian.connors@dor.ca.gov"/>
      <w:permStart w:id="307787527" w:ed="Morgane.Simkowski@dor.ca.gov"/>
      <w:permStart w:id="1524392648" w:ed="patricia.quinn@dor.ca.gov"/>
      <w:permStart w:id="1125282067" w:ed="tina.martinez@dor.ca.gov"/>
      <w:permEnd w:id="268850581"/>
      <w:permEnd w:id="307787527"/>
      <w:permEnd w:id="1524392648"/>
      <w:permEnd w:id="1125282067"/>
      <w:r w:rsidRPr="00351ED6">
        <w:rPr>
          <w:rFonts w:eastAsiaTheme="majorEastAsia" w:cstheme="minorHAns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  <w:bookmarkStart w:id="0" w:name="_Hlk194645501"/>
    </w:p>
    <w:p w14:paraId="1FA2F0DE" w14:textId="1C58BD69" w:rsidR="00056964" w:rsidRPr="00351ED6" w:rsidRDefault="00056964" w:rsidP="00056964">
      <w:pPr>
        <w:spacing w:before="120" w:after="120" w:line="240" w:lineRule="auto"/>
        <w:jc w:val="center"/>
        <w:rPr>
          <w:rFonts w:cstheme="minorHAnsi"/>
          <w:sz w:val="28"/>
          <w:szCs w:val="28"/>
        </w:rPr>
      </w:pPr>
      <w:r w:rsidRPr="00056964">
        <w:rPr>
          <w:rFonts w:cstheme="minorHAnsi"/>
          <w:noProof/>
          <w:sz w:val="28"/>
          <w:szCs w:val="28"/>
        </w:rPr>
        <w:drawing>
          <wp:inline distT="0" distB="0" distL="0" distR="0" wp14:anchorId="3F30A432" wp14:editId="78B2393E">
            <wp:extent cx="6858000" cy="847725"/>
            <wp:effectExtent l="0" t="0" r="0" b="9525"/>
            <wp:docPr id="913883297" name="Picture 2" descr="Benefits to Independence 101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83297" name="Picture 2" descr="Benefits to Independence 101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10174F5" w14:textId="77777777" w:rsidR="00977623" w:rsidRDefault="006D6BF0" w:rsidP="00AD7289">
      <w:pPr>
        <w:spacing w:before="120" w:after="12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SOCIAL SECURITY </w:t>
      </w:r>
      <w:r w:rsidR="00351ED6" w:rsidRPr="00351ED6">
        <w:rPr>
          <w:rFonts w:cstheme="minorHAnsi"/>
          <w:sz w:val="28"/>
          <w:szCs w:val="28"/>
        </w:rPr>
        <w:t>MEDICAL</w:t>
      </w:r>
      <w:r w:rsidR="00977623">
        <w:rPr>
          <w:rFonts w:cstheme="minorHAnsi"/>
          <w:sz w:val="28"/>
          <w:szCs w:val="28"/>
        </w:rPr>
        <w:t xml:space="preserve"> CONTINUING DISABILITY REVIEWS (CDR)</w:t>
      </w:r>
      <w:r w:rsidR="00351ED6" w:rsidRPr="00351ED6">
        <w:rPr>
          <w:rFonts w:cstheme="minorHAnsi"/>
          <w:sz w:val="28"/>
          <w:szCs w:val="28"/>
        </w:rPr>
        <w:t xml:space="preserve"> </w:t>
      </w:r>
    </w:p>
    <w:p w14:paraId="50F934AD" w14:textId="3CA50018" w:rsidR="00351ED6" w:rsidRPr="00351ED6" w:rsidRDefault="00351ED6" w:rsidP="00AD7289">
      <w:pPr>
        <w:spacing w:before="120" w:after="120" w:line="240" w:lineRule="auto"/>
        <w:jc w:val="center"/>
        <w:rPr>
          <w:rFonts w:cstheme="minorHAnsi"/>
          <w:sz w:val="28"/>
          <w:szCs w:val="28"/>
        </w:rPr>
      </w:pPr>
      <w:r w:rsidRPr="00351ED6">
        <w:rPr>
          <w:rFonts w:cstheme="minorHAnsi"/>
          <w:sz w:val="28"/>
          <w:szCs w:val="28"/>
        </w:rPr>
        <w:t>&amp; AGE 18 REDETERMINATIONS</w:t>
      </w:r>
    </w:p>
    <w:p w14:paraId="69B766CD" w14:textId="0FDD6CD6" w:rsidR="00962D01" w:rsidRPr="00962D01" w:rsidRDefault="00962D01" w:rsidP="00AD7289">
      <w:pPr>
        <w:spacing w:before="120" w:after="120" w:line="240" w:lineRule="auto"/>
        <w:rPr>
          <w:rFonts w:cstheme="minorHAnsi"/>
          <w:sz w:val="28"/>
          <w:szCs w:val="28"/>
        </w:rPr>
      </w:pPr>
      <w:r w:rsidRPr="00962D01">
        <w:rPr>
          <w:rFonts w:cstheme="minorHAnsi"/>
          <w:sz w:val="28"/>
          <w:szCs w:val="28"/>
        </w:rPr>
        <w:t xml:space="preserve">Medical </w:t>
      </w:r>
      <w:r w:rsidR="00977623">
        <w:rPr>
          <w:rFonts w:cstheme="minorHAnsi"/>
          <w:sz w:val="28"/>
          <w:szCs w:val="28"/>
        </w:rPr>
        <w:t>CDRs</w:t>
      </w:r>
      <w:r w:rsidRPr="00962D01">
        <w:rPr>
          <w:rFonts w:cstheme="minorHAnsi"/>
          <w:sz w:val="28"/>
          <w:szCs w:val="28"/>
        </w:rPr>
        <w:t xml:space="preserve"> and Age-18 Redeterminations can feel </w:t>
      </w:r>
      <w:proofErr w:type="gramStart"/>
      <w:r w:rsidRPr="00962D01">
        <w:rPr>
          <w:rFonts w:cstheme="minorHAnsi"/>
          <w:sz w:val="28"/>
          <w:szCs w:val="28"/>
        </w:rPr>
        <w:t>overwhelming</w:t>
      </w:r>
      <w:r w:rsidR="003E47D3">
        <w:rPr>
          <w:rFonts w:cstheme="minorHAnsi"/>
          <w:sz w:val="28"/>
          <w:szCs w:val="28"/>
        </w:rPr>
        <w:t>,</w:t>
      </w:r>
      <w:r w:rsidRPr="00962D01">
        <w:rPr>
          <w:rFonts w:cstheme="minorHAnsi"/>
          <w:sz w:val="28"/>
          <w:szCs w:val="28"/>
        </w:rPr>
        <w:t xml:space="preserve"> but</w:t>
      </w:r>
      <w:proofErr w:type="gramEnd"/>
      <w:r w:rsidRPr="00962D01">
        <w:rPr>
          <w:rFonts w:cstheme="minorHAnsi"/>
          <w:sz w:val="28"/>
          <w:szCs w:val="28"/>
        </w:rPr>
        <w:t xml:space="preserve"> understanding what they are and where to find support can make the process more manageable. Use these resources to learn the basics, take informed steps, and access help when needed.</w:t>
      </w:r>
    </w:p>
    <w:p w14:paraId="7C4211FA" w14:textId="4E032536" w:rsidR="00047E77" w:rsidRPr="00351ED6" w:rsidRDefault="00047E77" w:rsidP="00056964">
      <w:pPr>
        <w:spacing w:after="0" w:line="240" w:lineRule="auto"/>
        <w:rPr>
          <w:rFonts w:cstheme="minorHAnsi"/>
          <w:sz w:val="28"/>
          <w:szCs w:val="28"/>
        </w:rPr>
      </w:pPr>
      <w:r w:rsidRPr="00351ED6">
        <w:rPr>
          <w:rFonts w:cstheme="minorHAnsi"/>
          <w:b/>
          <w:bCs/>
          <w:sz w:val="28"/>
          <w:szCs w:val="28"/>
        </w:rPr>
        <w:t xml:space="preserve">Programs and Support: </w:t>
      </w:r>
    </w:p>
    <w:p w14:paraId="40EE8BF4" w14:textId="63989EB1" w:rsidR="00AD7289" w:rsidRPr="009B7D45" w:rsidRDefault="00AD7289" w:rsidP="007A1C50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9B7D45">
        <w:rPr>
          <w:rFonts w:eastAsia="Times New Roman" w:cstheme="minorHAnsi"/>
          <w:sz w:val="28"/>
          <w:szCs w:val="28"/>
        </w:rPr>
        <w:t>California Department of Rehabilitation (DOR):</w:t>
      </w:r>
      <w:r w:rsidRPr="009B7D45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9B7D45">
        <w:rPr>
          <w:rFonts w:eastAsia="Times New Roman" w:cstheme="minorHAnsi"/>
          <w:sz w:val="28"/>
          <w:szCs w:val="28"/>
        </w:rPr>
        <w:t>Offer</w:t>
      </w:r>
      <w:r w:rsidRPr="009B7D45">
        <w:rPr>
          <w:rFonts w:eastAsia="Times New Roman" w:cstheme="minorHAnsi"/>
          <w:sz w:val="28"/>
          <w:szCs w:val="28"/>
        </w:rPr>
        <w:t xml:space="preserve">s </w:t>
      </w:r>
      <w:hyperlink r:id="rId9" w:history="1">
        <w:r w:rsidRPr="005B3021">
          <w:rPr>
            <w:rStyle w:val="Hyperlink"/>
            <w:rFonts w:eastAsia="Times New Roman" w:cstheme="minorHAnsi"/>
            <w:sz w:val="28"/>
            <w:szCs w:val="28"/>
          </w:rPr>
          <w:t>Work Incentive Planning (WIP) Services</w:t>
        </w:r>
      </w:hyperlink>
      <w:r w:rsidR="009B7D45">
        <w:rPr>
          <w:rFonts w:eastAsia="Times New Roman" w:cstheme="minorHAnsi"/>
          <w:sz w:val="28"/>
          <w:szCs w:val="28"/>
        </w:rPr>
        <w:t xml:space="preserve"> </w:t>
      </w:r>
      <w:r w:rsidR="005B3021" w:rsidRPr="005B3021">
        <w:rPr>
          <w:rFonts w:eastAsia="Times New Roman" w:cstheme="minorHAnsi"/>
          <w:sz w:val="28"/>
          <w:szCs w:val="28"/>
        </w:rPr>
        <w:t xml:space="preserve">to help </w:t>
      </w:r>
      <w:r w:rsidR="005B3021">
        <w:rPr>
          <w:rFonts w:eastAsia="Times New Roman" w:cstheme="minorHAnsi"/>
          <w:sz w:val="28"/>
          <w:szCs w:val="28"/>
        </w:rPr>
        <w:t>you</w:t>
      </w:r>
      <w:r w:rsidR="005B3021" w:rsidRPr="005B3021">
        <w:rPr>
          <w:rFonts w:eastAsia="Times New Roman" w:cstheme="minorHAnsi"/>
          <w:sz w:val="28"/>
          <w:szCs w:val="28"/>
        </w:rPr>
        <w:t xml:space="preserve"> understand and navigate </w:t>
      </w:r>
      <w:r w:rsidR="009B7D45">
        <w:rPr>
          <w:rFonts w:eastAsia="Times New Roman" w:cstheme="minorHAnsi"/>
          <w:sz w:val="28"/>
          <w:szCs w:val="28"/>
        </w:rPr>
        <w:t xml:space="preserve">Medical CDRs and </w:t>
      </w:r>
      <w:r w:rsidR="009B7D45" w:rsidRPr="00BD21D1">
        <w:rPr>
          <w:rFonts w:cstheme="minorHAnsi"/>
          <w:sz w:val="28"/>
          <w:szCs w:val="28"/>
        </w:rPr>
        <w:t>Age-18 Redeterminations</w:t>
      </w:r>
      <w:r w:rsidR="009B7D45">
        <w:rPr>
          <w:rFonts w:cstheme="minorHAnsi"/>
          <w:sz w:val="28"/>
          <w:szCs w:val="28"/>
        </w:rPr>
        <w:t>.</w:t>
      </w:r>
    </w:p>
    <w:p w14:paraId="421F903B" w14:textId="6F383F14" w:rsidR="00BD21D1" w:rsidRPr="00F467CA" w:rsidRDefault="00351ED6" w:rsidP="007A1C50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F467CA">
        <w:rPr>
          <w:rFonts w:eastAsia="Times New Roman" w:cstheme="minorHAnsi"/>
          <w:sz w:val="28"/>
          <w:szCs w:val="28"/>
        </w:rPr>
        <w:t>Social Security Administration (SSA)</w:t>
      </w:r>
      <w:r w:rsidR="002825FB" w:rsidRPr="00F467CA">
        <w:rPr>
          <w:rFonts w:eastAsia="Times New Roman" w:cstheme="minorHAnsi"/>
          <w:sz w:val="28"/>
          <w:szCs w:val="28"/>
        </w:rPr>
        <w:t>:</w:t>
      </w:r>
      <w:r w:rsidR="00AF7947" w:rsidRPr="00F467CA">
        <w:rPr>
          <w:rFonts w:eastAsia="Times New Roman" w:cstheme="minorHAnsi"/>
          <w:sz w:val="28"/>
          <w:szCs w:val="28"/>
        </w:rPr>
        <w:t xml:space="preserve"> </w:t>
      </w:r>
      <w:r w:rsidR="002825FB" w:rsidRPr="00F467CA">
        <w:rPr>
          <w:rFonts w:eastAsia="Times New Roman" w:cstheme="minorHAnsi"/>
          <w:sz w:val="28"/>
          <w:szCs w:val="28"/>
        </w:rPr>
        <w:t>Administer</w:t>
      </w:r>
      <w:r w:rsidRPr="00F467CA">
        <w:rPr>
          <w:rFonts w:eastAsia="Times New Roman" w:cstheme="minorHAnsi"/>
          <w:sz w:val="28"/>
          <w:szCs w:val="28"/>
        </w:rPr>
        <w:t>s</w:t>
      </w:r>
      <w:r w:rsidR="002825FB" w:rsidRPr="00F467CA">
        <w:rPr>
          <w:rFonts w:eastAsia="Times New Roman" w:cstheme="minorHAnsi"/>
          <w:sz w:val="28"/>
          <w:szCs w:val="28"/>
        </w:rPr>
        <w:t xml:space="preserve"> Supplemental Security Income (</w:t>
      </w:r>
      <w:r w:rsidRPr="005B3021">
        <w:rPr>
          <w:rFonts w:eastAsia="Times New Roman" w:cstheme="minorHAnsi"/>
          <w:sz w:val="28"/>
          <w:szCs w:val="28"/>
        </w:rPr>
        <w:t>SSI</w:t>
      </w:r>
      <w:r w:rsidR="002825FB" w:rsidRPr="00F467CA">
        <w:t>)</w:t>
      </w:r>
      <w:r w:rsidRPr="00F467CA">
        <w:rPr>
          <w:rFonts w:eastAsia="Times New Roman" w:cstheme="minorHAnsi"/>
          <w:sz w:val="28"/>
          <w:szCs w:val="28"/>
        </w:rPr>
        <w:t xml:space="preserve"> benefits, </w:t>
      </w:r>
      <w:r w:rsidR="002825FB" w:rsidRPr="00F467CA">
        <w:rPr>
          <w:rFonts w:eastAsia="Times New Roman" w:cstheme="minorHAnsi"/>
          <w:sz w:val="28"/>
          <w:szCs w:val="28"/>
        </w:rPr>
        <w:t xml:space="preserve">conducts </w:t>
      </w:r>
      <w:r w:rsidRPr="00F467CA">
        <w:rPr>
          <w:rFonts w:eastAsia="Times New Roman" w:cstheme="minorHAnsi"/>
          <w:sz w:val="28"/>
          <w:szCs w:val="28"/>
        </w:rPr>
        <w:t>Medical CDRs, and Age-18 Redeterminations.</w:t>
      </w:r>
      <w:r w:rsidR="00AF7947" w:rsidRPr="00F467CA">
        <w:rPr>
          <w:rFonts w:eastAsia="Times New Roman" w:cstheme="minorHAnsi"/>
          <w:sz w:val="28"/>
          <w:szCs w:val="28"/>
        </w:rPr>
        <w:t xml:space="preserve"> </w:t>
      </w:r>
      <w:r w:rsidR="002825FB" w:rsidRPr="00F467CA">
        <w:rPr>
          <w:rFonts w:eastAsia="Times New Roman" w:cstheme="minorHAnsi"/>
          <w:sz w:val="28"/>
          <w:szCs w:val="28"/>
        </w:rPr>
        <w:t>F</w:t>
      </w:r>
      <w:r w:rsidRPr="00F467CA">
        <w:rPr>
          <w:rFonts w:eastAsia="Times New Roman" w:cstheme="minorHAnsi"/>
          <w:sz w:val="28"/>
          <w:szCs w:val="28"/>
        </w:rPr>
        <w:t xml:space="preserve">or </w:t>
      </w:r>
      <w:r w:rsidR="002825FB" w:rsidRPr="00F467CA">
        <w:rPr>
          <w:rFonts w:eastAsia="Times New Roman" w:cstheme="minorHAnsi"/>
          <w:sz w:val="28"/>
          <w:szCs w:val="28"/>
        </w:rPr>
        <w:t xml:space="preserve">more </w:t>
      </w:r>
      <w:r w:rsidR="005B3021">
        <w:rPr>
          <w:rFonts w:eastAsia="Times New Roman" w:cstheme="minorHAnsi"/>
          <w:sz w:val="28"/>
          <w:szCs w:val="28"/>
        </w:rPr>
        <w:t>information</w:t>
      </w:r>
      <w:r w:rsidRPr="00F467CA">
        <w:rPr>
          <w:rFonts w:eastAsia="Times New Roman" w:cstheme="minorHAnsi"/>
          <w:sz w:val="28"/>
          <w:szCs w:val="28"/>
        </w:rPr>
        <w:t xml:space="preserve"> </w:t>
      </w:r>
      <w:r w:rsidR="005B3021">
        <w:rPr>
          <w:rFonts w:eastAsia="Times New Roman" w:cstheme="minorHAnsi"/>
          <w:sz w:val="28"/>
          <w:szCs w:val="28"/>
        </w:rPr>
        <w:t xml:space="preserve">about these processes or other topics for </w:t>
      </w:r>
      <w:r w:rsidR="005B3021" w:rsidRPr="003E47D3">
        <w:rPr>
          <w:rFonts w:eastAsia="Times New Roman" w:cstheme="minorHAnsi"/>
          <w:i/>
          <w:iCs/>
          <w:sz w:val="28"/>
          <w:szCs w:val="28"/>
        </w:rPr>
        <w:t>Understanding SSI</w:t>
      </w:r>
      <w:r w:rsidR="005B3021">
        <w:rPr>
          <w:rFonts w:eastAsia="Times New Roman" w:cstheme="minorHAnsi"/>
          <w:sz w:val="28"/>
          <w:szCs w:val="28"/>
        </w:rPr>
        <w:t>,</w:t>
      </w:r>
      <w:r w:rsidR="002825FB" w:rsidRPr="00F467CA">
        <w:rPr>
          <w:rFonts w:eastAsia="Times New Roman" w:cstheme="minorHAnsi"/>
          <w:sz w:val="28"/>
          <w:szCs w:val="28"/>
        </w:rPr>
        <w:t xml:space="preserve"> visit the</w:t>
      </w:r>
      <w:r w:rsidR="005B3021">
        <w:rPr>
          <w:rFonts w:eastAsia="Times New Roman" w:cstheme="minorHAnsi"/>
          <w:sz w:val="28"/>
          <w:szCs w:val="28"/>
        </w:rPr>
        <w:t xml:space="preserve"> </w:t>
      </w:r>
      <w:hyperlink r:id="rId10" w:history="1">
        <w:r w:rsidR="003D5D91">
          <w:rPr>
            <w:rStyle w:val="Hyperlink"/>
            <w:rFonts w:eastAsia="Times New Roman" w:cstheme="minorHAnsi"/>
            <w:sz w:val="28"/>
            <w:szCs w:val="28"/>
          </w:rPr>
          <w:t>Social Security Administration website</w:t>
        </w:r>
      </w:hyperlink>
      <w:r w:rsidR="005B3021">
        <w:rPr>
          <w:rFonts w:eastAsia="Times New Roman" w:cstheme="minorHAnsi"/>
          <w:sz w:val="28"/>
          <w:szCs w:val="28"/>
        </w:rPr>
        <w:t xml:space="preserve">. You can also use </w:t>
      </w:r>
      <w:r w:rsidR="002825FB" w:rsidRPr="00F467CA">
        <w:rPr>
          <w:rFonts w:cstheme="minorHAnsi"/>
          <w:sz w:val="28"/>
          <w:szCs w:val="28"/>
        </w:rPr>
        <w:t xml:space="preserve">the </w:t>
      </w:r>
      <w:hyperlink r:id="rId11" w:history="1">
        <w:r w:rsidR="00921B58">
          <w:rPr>
            <w:rStyle w:val="Hyperlink"/>
            <w:rFonts w:cstheme="minorHAnsi"/>
            <w:sz w:val="28"/>
            <w:szCs w:val="28"/>
          </w:rPr>
          <w:t>Social Security Office Locator</w:t>
        </w:r>
      </w:hyperlink>
      <w:r w:rsidR="002825FB" w:rsidRPr="00F467CA">
        <w:rPr>
          <w:rFonts w:cstheme="minorHAnsi"/>
          <w:sz w:val="28"/>
          <w:szCs w:val="28"/>
        </w:rPr>
        <w:t xml:space="preserve"> </w:t>
      </w:r>
      <w:r w:rsidR="005B3021">
        <w:rPr>
          <w:rFonts w:cstheme="minorHAnsi"/>
          <w:sz w:val="28"/>
          <w:szCs w:val="28"/>
        </w:rPr>
        <w:t xml:space="preserve">tool </w:t>
      </w:r>
      <w:r w:rsidR="002825FB" w:rsidRPr="00F467CA">
        <w:rPr>
          <w:rFonts w:cstheme="minorHAnsi"/>
          <w:sz w:val="28"/>
          <w:szCs w:val="28"/>
        </w:rPr>
        <w:t>to find your local office</w:t>
      </w:r>
      <w:r w:rsidR="005B3021">
        <w:rPr>
          <w:rFonts w:cstheme="minorHAnsi"/>
          <w:sz w:val="28"/>
          <w:szCs w:val="28"/>
        </w:rPr>
        <w:t xml:space="preserve"> if additional assistance is needed</w:t>
      </w:r>
      <w:r w:rsidR="002825FB" w:rsidRPr="00F467CA">
        <w:rPr>
          <w:rFonts w:cstheme="minorHAnsi"/>
          <w:sz w:val="28"/>
          <w:szCs w:val="28"/>
        </w:rPr>
        <w:t>.</w:t>
      </w:r>
    </w:p>
    <w:p w14:paraId="35B6918B" w14:textId="1D5E980F" w:rsidR="00351ED6" w:rsidRPr="00F467CA" w:rsidRDefault="00351ED6" w:rsidP="007A1C5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F467CA">
        <w:rPr>
          <w:rFonts w:eastAsia="Times New Roman" w:cstheme="minorHAnsi"/>
          <w:sz w:val="28"/>
          <w:szCs w:val="28"/>
        </w:rPr>
        <w:t>Ticket to Work (TTW) Program</w:t>
      </w:r>
      <w:r w:rsidR="00AF7947" w:rsidRPr="00F467CA">
        <w:rPr>
          <w:rFonts w:eastAsia="Times New Roman" w:cstheme="minorHAnsi"/>
          <w:sz w:val="28"/>
          <w:szCs w:val="28"/>
        </w:rPr>
        <w:t xml:space="preserve">: </w:t>
      </w:r>
      <w:r w:rsidR="008E498D">
        <w:rPr>
          <w:rFonts w:eastAsia="Times New Roman" w:cstheme="minorHAnsi"/>
          <w:sz w:val="28"/>
          <w:szCs w:val="28"/>
        </w:rPr>
        <w:t>A f</w:t>
      </w:r>
      <w:r w:rsidRPr="00F467CA">
        <w:rPr>
          <w:rFonts w:eastAsia="Times New Roman" w:cstheme="minorHAnsi"/>
          <w:sz w:val="28"/>
          <w:szCs w:val="28"/>
        </w:rPr>
        <w:t xml:space="preserve">ree </w:t>
      </w:r>
      <w:r w:rsidR="008E498D">
        <w:rPr>
          <w:rFonts w:eastAsia="Times New Roman" w:cstheme="minorHAnsi"/>
          <w:sz w:val="28"/>
          <w:szCs w:val="28"/>
        </w:rPr>
        <w:t xml:space="preserve">and voluntary </w:t>
      </w:r>
      <w:r w:rsidRPr="00F467CA">
        <w:rPr>
          <w:rFonts w:eastAsia="Times New Roman" w:cstheme="minorHAnsi"/>
          <w:sz w:val="28"/>
          <w:szCs w:val="28"/>
        </w:rPr>
        <w:t>program for SSI/SSDI recipients with work goals.</w:t>
      </w:r>
      <w:r w:rsidR="00AF7947" w:rsidRPr="00F467CA">
        <w:rPr>
          <w:rFonts w:eastAsia="Times New Roman" w:cstheme="minorHAnsi"/>
          <w:sz w:val="28"/>
          <w:szCs w:val="28"/>
        </w:rPr>
        <w:t xml:space="preserve"> </w:t>
      </w:r>
      <w:r w:rsidRPr="00F467CA">
        <w:rPr>
          <w:rFonts w:eastAsia="Times New Roman" w:cstheme="minorHAnsi"/>
          <w:sz w:val="28"/>
          <w:szCs w:val="28"/>
        </w:rPr>
        <w:t>Offers help from Employ</w:t>
      </w:r>
      <w:r w:rsidR="008E498D">
        <w:rPr>
          <w:rFonts w:eastAsia="Times New Roman" w:cstheme="minorHAnsi"/>
          <w:sz w:val="28"/>
          <w:szCs w:val="28"/>
        </w:rPr>
        <w:t>m</w:t>
      </w:r>
      <w:r w:rsidRPr="00F467CA">
        <w:rPr>
          <w:rFonts w:eastAsia="Times New Roman" w:cstheme="minorHAnsi"/>
          <w:sz w:val="28"/>
          <w:szCs w:val="28"/>
        </w:rPr>
        <w:t>ent Networks (ENs) or State Vocational Rehabilitation (VR).</w:t>
      </w:r>
      <w:r w:rsidR="00BD21D1" w:rsidRPr="00F467CA">
        <w:rPr>
          <w:rFonts w:eastAsia="Times New Roman" w:cstheme="minorHAnsi"/>
          <w:sz w:val="28"/>
          <w:szCs w:val="28"/>
        </w:rPr>
        <w:t xml:space="preserve"> </w:t>
      </w:r>
      <w:r w:rsidR="00AF7947" w:rsidRPr="00F467CA">
        <w:rPr>
          <w:rFonts w:eastAsia="Times New Roman" w:cstheme="minorHAnsi"/>
          <w:sz w:val="28"/>
          <w:szCs w:val="28"/>
        </w:rPr>
        <w:t>While your TTW is assigned, your</w:t>
      </w:r>
      <w:r w:rsidRPr="00F467CA">
        <w:rPr>
          <w:rFonts w:eastAsia="Times New Roman" w:cstheme="minorHAnsi"/>
          <w:sz w:val="28"/>
          <w:szCs w:val="28"/>
        </w:rPr>
        <w:t xml:space="preserve"> medical CDRs </w:t>
      </w:r>
      <w:r w:rsidR="00AF7947" w:rsidRPr="00F467CA">
        <w:rPr>
          <w:rFonts w:eastAsia="Times New Roman" w:cstheme="minorHAnsi"/>
          <w:sz w:val="28"/>
          <w:szCs w:val="28"/>
        </w:rPr>
        <w:t xml:space="preserve">are paused while </w:t>
      </w:r>
      <w:r w:rsidRPr="00F467CA">
        <w:rPr>
          <w:rFonts w:eastAsia="Times New Roman" w:cstheme="minorHAnsi"/>
          <w:sz w:val="28"/>
          <w:szCs w:val="28"/>
        </w:rPr>
        <w:t xml:space="preserve">you make </w:t>
      </w:r>
      <w:r w:rsidR="00AF7947" w:rsidRPr="00F467CA">
        <w:rPr>
          <w:rFonts w:eastAsia="Times New Roman" w:cstheme="minorHAnsi"/>
          <w:sz w:val="28"/>
          <w:szCs w:val="28"/>
        </w:rPr>
        <w:t xml:space="preserve">timely </w:t>
      </w:r>
      <w:r w:rsidRPr="00F467CA">
        <w:rPr>
          <w:rFonts w:eastAsia="Times New Roman" w:cstheme="minorHAnsi"/>
          <w:sz w:val="28"/>
          <w:szCs w:val="28"/>
        </w:rPr>
        <w:t>progress.</w:t>
      </w:r>
      <w:r w:rsidR="005B3021">
        <w:rPr>
          <w:rFonts w:eastAsia="Times New Roman" w:cstheme="minorHAnsi"/>
          <w:sz w:val="28"/>
          <w:szCs w:val="28"/>
        </w:rPr>
        <w:t xml:space="preserve"> </w:t>
      </w:r>
      <w:r w:rsidR="005B3021" w:rsidRPr="00F467CA">
        <w:rPr>
          <w:rFonts w:eastAsia="Times New Roman" w:cstheme="minorHAnsi"/>
          <w:sz w:val="28"/>
          <w:szCs w:val="28"/>
        </w:rPr>
        <w:t>Visit</w:t>
      </w:r>
      <w:r w:rsidR="00E93D34">
        <w:rPr>
          <w:rFonts w:eastAsia="Times New Roman" w:cstheme="minorHAnsi"/>
          <w:sz w:val="28"/>
          <w:szCs w:val="28"/>
        </w:rPr>
        <w:t xml:space="preserve"> the </w:t>
      </w:r>
      <w:hyperlink r:id="rId12" w:history="1">
        <w:r w:rsidR="00E93D34">
          <w:rPr>
            <w:rStyle w:val="Hyperlink"/>
            <w:rFonts w:eastAsia="Times New Roman" w:cstheme="minorHAnsi"/>
            <w:sz w:val="28"/>
            <w:szCs w:val="28"/>
          </w:rPr>
          <w:t>Choose Work Website</w:t>
        </w:r>
      </w:hyperlink>
      <w:r w:rsidR="005B3021" w:rsidRPr="00F467CA">
        <w:rPr>
          <w:rFonts w:eastAsia="Times New Roman" w:cstheme="minorHAnsi"/>
          <w:sz w:val="28"/>
          <w:szCs w:val="28"/>
        </w:rPr>
        <w:t xml:space="preserve"> or call the TTW Help Line at 1-866-968-7842</w:t>
      </w:r>
      <w:r w:rsidR="005B3021">
        <w:rPr>
          <w:rFonts w:eastAsia="Times New Roman" w:cstheme="minorHAnsi"/>
          <w:sz w:val="28"/>
          <w:szCs w:val="28"/>
        </w:rPr>
        <w:t>.</w:t>
      </w:r>
    </w:p>
    <w:p w14:paraId="19A8CE43" w14:textId="39DC7A3E" w:rsidR="00351ED6" w:rsidRPr="00F467CA" w:rsidRDefault="00351ED6" w:rsidP="007A1C50">
      <w:pPr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sz w:val="28"/>
          <w:szCs w:val="28"/>
        </w:rPr>
      </w:pPr>
      <w:r w:rsidRPr="00F467CA">
        <w:rPr>
          <w:rFonts w:eastAsia="Times New Roman" w:cstheme="minorHAnsi"/>
          <w:sz w:val="28"/>
          <w:szCs w:val="28"/>
        </w:rPr>
        <w:t>Section 301</w:t>
      </w:r>
      <w:r w:rsidR="00AF7947" w:rsidRPr="00F467CA">
        <w:rPr>
          <w:rFonts w:eastAsia="Times New Roman" w:cstheme="minorHAnsi"/>
          <w:sz w:val="28"/>
          <w:szCs w:val="28"/>
        </w:rPr>
        <w:t xml:space="preserve">: </w:t>
      </w:r>
      <w:r w:rsidR="00BD21D1" w:rsidRPr="00F467CA">
        <w:rPr>
          <w:rFonts w:eastAsia="Times New Roman" w:cstheme="minorHAnsi"/>
          <w:sz w:val="28"/>
          <w:szCs w:val="28"/>
        </w:rPr>
        <w:t>A</w:t>
      </w:r>
      <w:r w:rsidR="00AF7947">
        <w:rPr>
          <w:rFonts w:eastAsia="Times New Roman" w:cstheme="minorHAnsi"/>
          <w:sz w:val="28"/>
          <w:szCs w:val="28"/>
        </w:rPr>
        <w:t xml:space="preserve"> work incentive </w:t>
      </w:r>
      <w:r w:rsidR="008E498D" w:rsidRPr="008E498D">
        <w:rPr>
          <w:rFonts w:eastAsia="Times New Roman" w:cstheme="minorHAnsi"/>
          <w:sz w:val="28"/>
          <w:szCs w:val="28"/>
        </w:rPr>
        <w:t>that allows individuals to continue receiving SSI benefits while participating in an approved education or training program, even if S</w:t>
      </w:r>
      <w:r w:rsidR="008E498D">
        <w:rPr>
          <w:rFonts w:eastAsia="Times New Roman" w:cstheme="minorHAnsi"/>
          <w:sz w:val="28"/>
          <w:szCs w:val="28"/>
        </w:rPr>
        <w:t>SA</w:t>
      </w:r>
      <w:r w:rsidR="008E498D" w:rsidRPr="008E498D">
        <w:rPr>
          <w:rFonts w:eastAsia="Times New Roman" w:cstheme="minorHAnsi"/>
          <w:sz w:val="28"/>
          <w:szCs w:val="28"/>
        </w:rPr>
        <w:t xml:space="preserve"> determines </w:t>
      </w:r>
      <w:r w:rsidR="008E498D">
        <w:rPr>
          <w:rFonts w:eastAsia="Times New Roman" w:cstheme="minorHAnsi"/>
          <w:sz w:val="28"/>
          <w:szCs w:val="28"/>
        </w:rPr>
        <w:t>you</w:t>
      </w:r>
      <w:r w:rsidR="008E498D" w:rsidRPr="008E498D">
        <w:rPr>
          <w:rFonts w:eastAsia="Times New Roman" w:cstheme="minorHAnsi"/>
          <w:sz w:val="28"/>
          <w:szCs w:val="28"/>
        </w:rPr>
        <w:t xml:space="preserve"> are no longer disabled. The program must begin before </w:t>
      </w:r>
      <w:r w:rsidR="008E498D">
        <w:rPr>
          <w:rFonts w:eastAsia="Times New Roman" w:cstheme="minorHAnsi"/>
          <w:sz w:val="28"/>
          <w:szCs w:val="28"/>
        </w:rPr>
        <w:t xml:space="preserve">the </w:t>
      </w:r>
      <w:r w:rsidR="008E498D" w:rsidRPr="008E498D">
        <w:rPr>
          <w:rFonts w:eastAsia="Times New Roman" w:cstheme="minorHAnsi"/>
          <w:sz w:val="28"/>
          <w:szCs w:val="28"/>
        </w:rPr>
        <w:t>SS</w:t>
      </w:r>
      <w:r w:rsidR="008E498D">
        <w:rPr>
          <w:rFonts w:eastAsia="Times New Roman" w:cstheme="minorHAnsi"/>
          <w:sz w:val="28"/>
          <w:szCs w:val="28"/>
        </w:rPr>
        <w:t>A</w:t>
      </w:r>
      <w:r w:rsidR="008E498D" w:rsidRPr="008E498D">
        <w:rPr>
          <w:rFonts w:eastAsia="Times New Roman" w:cstheme="minorHAnsi"/>
          <w:sz w:val="28"/>
          <w:szCs w:val="28"/>
        </w:rPr>
        <w:t xml:space="preserve"> decision and be expected to lead to employment.</w:t>
      </w:r>
      <w:r w:rsidR="00F467CA">
        <w:rPr>
          <w:rFonts w:eastAsia="Times New Roman" w:cstheme="minorHAnsi"/>
          <w:sz w:val="28"/>
          <w:szCs w:val="28"/>
        </w:rPr>
        <w:t xml:space="preserve"> </w:t>
      </w:r>
      <w:hyperlink r:id="rId13" w:history="1">
        <w:r w:rsidR="009A03F5">
          <w:rPr>
            <w:rStyle w:val="Hyperlink"/>
            <w:rFonts w:eastAsia="Times New Roman" w:cstheme="minorHAnsi"/>
            <w:sz w:val="28"/>
            <w:szCs w:val="28"/>
          </w:rPr>
          <w:t>For more details, visit the Social Security website Youth Toolkit.</w:t>
        </w:r>
      </w:hyperlink>
      <w:r w:rsidR="009A03F5">
        <w:tab/>
      </w:r>
    </w:p>
    <w:p w14:paraId="00C5082E" w14:textId="7394F782" w:rsidR="00F467CA" w:rsidRPr="00D933B4" w:rsidRDefault="00351ED6" w:rsidP="007A1C50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eastAsia="Times New Roman" w:cstheme="minorHAnsi"/>
          <w:sz w:val="28"/>
          <w:szCs w:val="28"/>
        </w:rPr>
      </w:pPr>
      <w:r w:rsidRPr="00F467CA">
        <w:rPr>
          <w:rFonts w:eastAsia="Times New Roman" w:cstheme="minorHAnsi"/>
          <w:sz w:val="28"/>
          <w:szCs w:val="28"/>
        </w:rPr>
        <w:t>Appeals and Legal Help</w:t>
      </w:r>
      <w:r w:rsidR="00F467CA" w:rsidRPr="00F467CA">
        <w:rPr>
          <w:rFonts w:eastAsia="Times New Roman" w:cstheme="minorHAnsi"/>
          <w:sz w:val="28"/>
          <w:szCs w:val="28"/>
        </w:rPr>
        <w:t xml:space="preserve">: </w:t>
      </w:r>
      <w:r w:rsidR="008E498D" w:rsidRPr="008E498D">
        <w:rPr>
          <w:rFonts w:eastAsia="Times New Roman" w:cstheme="minorHAnsi"/>
          <w:sz w:val="28"/>
          <w:szCs w:val="28"/>
        </w:rPr>
        <w:t>If benefits are reduced or stopped, individuals have 60 days to file an appeal.</w:t>
      </w:r>
      <w:r w:rsidR="008E498D">
        <w:rPr>
          <w:rFonts w:eastAsia="Times New Roman" w:cstheme="minorHAnsi"/>
          <w:sz w:val="28"/>
          <w:szCs w:val="28"/>
        </w:rPr>
        <w:t xml:space="preserve"> </w:t>
      </w:r>
      <w:r w:rsidRPr="00F467CA">
        <w:rPr>
          <w:rFonts w:eastAsia="Times New Roman" w:cstheme="minorHAnsi"/>
          <w:sz w:val="28"/>
          <w:szCs w:val="28"/>
        </w:rPr>
        <w:t>Free or low-cost legal services</w:t>
      </w:r>
      <w:r w:rsidR="008E498D">
        <w:rPr>
          <w:rFonts w:eastAsia="Times New Roman" w:cstheme="minorHAnsi"/>
          <w:sz w:val="28"/>
          <w:szCs w:val="28"/>
        </w:rPr>
        <w:t xml:space="preserve"> are</w:t>
      </w:r>
      <w:r w:rsidRPr="00F467CA">
        <w:rPr>
          <w:rFonts w:eastAsia="Times New Roman" w:cstheme="minorHAnsi"/>
          <w:sz w:val="28"/>
          <w:szCs w:val="28"/>
        </w:rPr>
        <w:t xml:space="preserve"> available</w:t>
      </w:r>
      <w:r w:rsidR="00CE1DB6" w:rsidRPr="00F467CA">
        <w:rPr>
          <w:rFonts w:eastAsia="Times New Roman" w:cstheme="minorHAnsi"/>
          <w:sz w:val="28"/>
          <w:szCs w:val="28"/>
        </w:rPr>
        <w:t xml:space="preserve"> </w:t>
      </w:r>
      <w:r w:rsidR="008E498D">
        <w:rPr>
          <w:rFonts w:eastAsia="Times New Roman" w:cstheme="minorHAnsi"/>
          <w:sz w:val="28"/>
          <w:szCs w:val="28"/>
        </w:rPr>
        <w:t>and</w:t>
      </w:r>
      <w:r w:rsidR="00F467CA">
        <w:rPr>
          <w:rFonts w:eastAsia="Times New Roman" w:cstheme="minorHAnsi"/>
          <w:sz w:val="28"/>
          <w:szCs w:val="28"/>
        </w:rPr>
        <w:t xml:space="preserve"> can be found at </w:t>
      </w:r>
      <w:hyperlink r:id="rId14" w:history="1">
        <w:r w:rsidRPr="00AB1266">
          <w:rPr>
            <w:rStyle w:val="Hyperlink"/>
            <w:rFonts w:eastAsia="Times New Roman" w:cstheme="minorHAnsi"/>
            <w:sz w:val="28"/>
            <w:szCs w:val="28"/>
          </w:rPr>
          <w:t>Disability Rights California</w:t>
        </w:r>
        <w:r w:rsidR="00D933B4" w:rsidRPr="00AB1266">
          <w:rPr>
            <w:rStyle w:val="Hyperlink"/>
            <w:rFonts w:eastAsia="Times New Roman" w:cstheme="minorHAnsi"/>
            <w:sz w:val="28"/>
            <w:szCs w:val="28"/>
          </w:rPr>
          <w:t xml:space="preserve"> </w:t>
        </w:r>
        <w:r w:rsidR="00AD7289" w:rsidRPr="00AB1266">
          <w:rPr>
            <w:rStyle w:val="Hyperlink"/>
            <w:rFonts w:eastAsia="Times New Roman" w:cstheme="minorHAnsi"/>
            <w:sz w:val="28"/>
            <w:szCs w:val="28"/>
          </w:rPr>
          <w:t xml:space="preserve">(DRC) </w:t>
        </w:r>
        <w:r w:rsidR="00AB1266" w:rsidRPr="00AB1266">
          <w:rPr>
            <w:rStyle w:val="Hyperlink"/>
            <w:rFonts w:eastAsia="Times New Roman" w:cstheme="minorHAnsi"/>
            <w:sz w:val="28"/>
            <w:szCs w:val="28"/>
          </w:rPr>
          <w:t>website</w:t>
        </w:r>
      </w:hyperlink>
      <w:r w:rsidR="00AB1266">
        <w:rPr>
          <w:rFonts w:eastAsia="Times New Roman" w:cstheme="minorHAnsi"/>
          <w:sz w:val="28"/>
          <w:szCs w:val="28"/>
        </w:rPr>
        <w:t xml:space="preserve"> </w:t>
      </w:r>
      <w:r w:rsidR="00D933B4">
        <w:rPr>
          <w:rFonts w:eastAsia="Times New Roman" w:cstheme="minorHAnsi"/>
          <w:sz w:val="28"/>
          <w:szCs w:val="28"/>
        </w:rPr>
        <w:t>which is home to the</w:t>
      </w:r>
      <w:r w:rsidR="00AB1266">
        <w:rPr>
          <w:rFonts w:eastAsia="Times New Roman" w:cstheme="minorHAnsi"/>
          <w:sz w:val="28"/>
          <w:szCs w:val="28"/>
        </w:rPr>
        <w:t xml:space="preserve"> </w:t>
      </w:r>
      <w:hyperlink r:id="rId15" w:history="1">
        <w:r w:rsidR="00AB1266" w:rsidRPr="00AB1266">
          <w:rPr>
            <w:rStyle w:val="Hyperlink"/>
            <w:rFonts w:eastAsia="Times New Roman" w:cstheme="minorHAnsi"/>
            <w:sz w:val="28"/>
            <w:szCs w:val="28"/>
          </w:rPr>
          <w:t>Protection and Advocacy for Beneficiaries of Social Security (PABSS) Program</w:t>
        </w:r>
      </w:hyperlink>
      <w:r w:rsidR="00AB1266">
        <w:rPr>
          <w:rFonts w:eastAsia="Times New Roman" w:cstheme="minorHAnsi"/>
          <w:sz w:val="28"/>
          <w:szCs w:val="28"/>
        </w:rPr>
        <w:t xml:space="preserve">. </w:t>
      </w:r>
      <w:r w:rsidR="00AD7289">
        <w:rPr>
          <w:rFonts w:eastAsia="Times New Roman" w:cstheme="minorHAnsi"/>
          <w:sz w:val="28"/>
          <w:szCs w:val="28"/>
        </w:rPr>
        <w:t xml:space="preserve">The </w:t>
      </w:r>
      <w:hyperlink r:id="rId16" w:history="1">
        <w:r w:rsidR="00D933B4" w:rsidRPr="00AB1266">
          <w:rPr>
            <w:rStyle w:val="Hyperlink"/>
            <w:rFonts w:eastAsia="Times New Roman" w:cstheme="minorHAnsi"/>
            <w:sz w:val="28"/>
            <w:szCs w:val="28"/>
          </w:rPr>
          <w:t>LawHelpCA </w:t>
        </w:r>
        <w:r w:rsidR="00AD7289" w:rsidRPr="00AB1266">
          <w:rPr>
            <w:rStyle w:val="Hyperlink"/>
            <w:rFonts w:eastAsia="Times New Roman" w:cstheme="minorHAnsi"/>
            <w:sz w:val="28"/>
            <w:szCs w:val="28"/>
          </w:rPr>
          <w:t>website</w:t>
        </w:r>
      </w:hyperlink>
      <w:r w:rsidR="00AD7289">
        <w:rPr>
          <w:rFonts w:eastAsia="Times New Roman" w:cstheme="minorHAnsi"/>
          <w:sz w:val="28"/>
          <w:szCs w:val="28"/>
        </w:rPr>
        <w:t xml:space="preserve"> </w:t>
      </w:r>
      <w:r w:rsidR="00D933B4" w:rsidRPr="00D933B4">
        <w:rPr>
          <w:rFonts w:eastAsia="Times New Roman" w:cstheme="minorHAnsi"/>
          <w:sz w:val="28"/>
          <w:szCs w:val="28"/>
        </w:rPr>
        <w:t>is a statewide</w:t>
      </w:r>
      <w:r w:rsidR="00AD7289">
        <w:rPr>
          <w:rFonts w:eastAsia="Times New Roman" w:cstheme="minorHAnsi"/>
          <w:sz w:val="28"/>
          <w:szCs w:val="28"/>
        </w:rPr>
        <w:t xml:space="preserve"> California</w:t>
      </w:r>
      <w:r w:rsidR="00D933B4" w:rsidRPr="00D933B4">
        <w:rPr>
          <w:rFonts w:eastAsia="Times New Roman" w:cstheme="minorHAnsi"/>
          <w:sz w:val="28"/>
          <w:szCs w:val="28"/>
        </w:rPr>
        <w:t xml:space="preserve"> resource for easy access to self-help information on legal problems and referrals to local legal aid providers</w:t>
      </w:r>
      <w:r w:rsidR="00D933B4">
        <w:rPr>
          <w:rFonts w:eastAsia="Times New Roman" w:cstheme="minorHAnsi"/>
          <w:sz w:val="28"/>
          <w:szCs w:val="28"/>
        </w:rPr>
        <w:t xml:space="preserve"> and pro-bono services. </w:t>
      </w:r>
      <w:r w:rsidR="00D933B4" w:rsidRPr="009A03F5">
        <w:rPr>
          <w:rFonts w:eastAsia="Times New Roman" w:cstheme="minorHAnsi"/>
          <w:sz w:val="28"/>
          <w:szCs w:val="28"/>
        </w:rPr>
        <w:t>Learn more at </w:t>
      </w:r>
      <w:r w:rsidR="003E47D3" w:rsidRPr="009A03F5">
        <w:rPr>
          <w:rFonts w:eastAsia="Times New Roman" w:cstheme="minorHAnsi"/>
          <w:sz w:val="28"/>
          <w:szCs w:val="28"/>
        </w:rPr>
        <w:t>www.lawhelpca.org</w:t>
      </w:r>
      <w:r w:rsidR="003E47D3">
        <w:rPr>
          <w:rFonts w:eastAsia="Times New Roman" w:cstheme="minorHAnsi"/>
          <w:sz w:val="28"/>
          <w:szCs w:val="28"/>
        </w:rPr>
        <w:t>.</w:t>
      </w:r>
    </w:p>
    <w:p w14:paraId="22203041" w14:textId="1038F6C9" w:rsidR="00047E77" w:rsidRDefault="00047E77" w:rsidP="007A1C50">
      <w:pPr>
        <w:spacing w:before="120" w:after="120" w:line="240" w:lineRule="auto"/>
        <w:ind w:left="360"/>
        <w:rPr>
          <w:rFonts w:cstheme="minorHAnsi"/>
          <w:b/>
          <w:bCs/>
          <w:sz w:val="28"/>
          <w:szCs w:val="28"/>
        </w:rPr>
      </w:pPr>
      <w:r w:rsidRPr="00351ED6">
        <w:rPr>
          <w:rFonts w:cstheme="minorHAnsi"/>
          <w:b/>
          <w:bCs/>
          <w:sz w:val="28"/>
          <w:szCs w:val="28"/>
        </w:rPr>
        <w:t>Practical Steps:</w:t>
      </w:r>
    </w:p>
    <w:p w14:paraId="350AEFA1" w14:textId="4CA52B5F" w:rsidR="00962D01" w:rsidRPr="00962D01" w:rsidRDefault="00962D01" w:rsidP="007A1C5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962D01">
        <w:rPr>
          <w:rFonts w:cstheme="minorHAnsi"/>
          <w:sz w:val="28"/>
          <w:szCs w:val="28"/>
        </w:rPr>
        <w:lastRenderedPageBreak/>
        <w:t xml:space="preserve">Gaining a clear understanding of Medical CDRs is an important first step in navigating the review process. </w:t>
      </w:r>
      <w:r w:rsidR="00A76FC3" w:rsidRPr="00962D01">
        <w:rPr>
          <w:rFonts w:cstheme="minorHAnsi"/>
          <w:sz w:val="28"/>
          <w:szCs w:val="28"/>
        </w:rPr>
        <w:t xml:space="preserve">A Medical </w:t>
      </w:r>
      <w:r w:rsidR="009F6857">
        <w:rPr>
          <w:rFonts w:cstheme="minorHAnsi"/>
          <w:sz w:val="28"/>
          <w:szCs w:val="28"/>
        </w:rPr>
        <w:t>CDR</w:t>
      </w:r>
      <w:r w:rsidRPr="00962D01">
        <w:rPr>
          <w:rFonts w:cstheme="minorHAnsi"/>
          <w:sz w:val="28"/>
          <w:szCs w:val="28"/>
        </w:rPr>
        <w:t xml:space="preserve"> is a review conducted by </w:t>
      </w:r>
      <w:r w:rsidR="009F6857">
        <w:rPr>
          <w:rFonts w:cstheme="minorHAnsi"/>
          <w:sz w:val="28"/>
          <w:szCs w:val="28"/>
        </w:rPr>
        <w:t xml:space="preserve">SSA </w:t>
      </w:r>
      <w:r w:rsidRPr="00962D01">
        <w:rPr>
          <w:rFonts w:cstheme="minorHAnsi"/>
          <w:sz w:val="28"/>
          <w:szCs w:val="28"/>
        </w:rPr>
        <w:t>to determine whether an individual receiving disability benefits still meets the medical criteria for disability. Reviews typically occur every 3–5 years, but frequency may vary based on the individual’s condition.</w:t>
      </w:r>
    </w:p>
    <w:p w14:paraId="015C0DF8" w14:textId="4B108A8F" w:rsidR="00A76FC3" w:rsidRPr="00891007" w:rsidRDefault="00A76FC3" w:rsidP="007A1C5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91007">
        <w:rPr>
          <w:rFonts w:cstheme="minorHAnsi"/>
          <w:sz w:val="28"/>
          <w:szCs w:val="28"/>
        </w:rPr>
        <w:t>Prepare for a CDR</w:t>
      </w:r>
      <w:r w:rsidR="00F676AB" w:rsidRPr="00891007">
        <w:rPr>
          <w:rFonts w:cstheme="minorHAnsi"/>
          <w:sz w:val="28"/>
          <w:szCs w:val="28"/>
        </w:rPr>
        <w:t xml:space="preserve">: </w:t>
      </w:r>
      <w:r w:rsidRPr="00891007">
        <w:rPr>
          <w:rFonts w:cstheme="minorHAnsi"/>
          <w:sz w:val="28"/>
          <w:szCs w:val="28"/>
        </w:rPr>
        <w:t>Keep medical records up to date</w:t>
      </w:r>
      <w:r w:rsidR="00F676AB" w:rsidRPr="00891007">
        <w:rPr>
          <w:rFonts w:cstheme="minorHAnsi"/>
          <w:sz w:val="28"/>
          <w:szCs w:val="28"/>
        </w:rPr>
        <w:t xml:space="preserve"> by m</w:t>
      </w:r>
      <w:r w:rsidRPr="00891007">
        <w:rPr>
          <w:rFonts w:cstheme="minorHAnsi"/>
          <w:sz w:val="28"/>
          <w:szCs w:val="28"/>
        </w:rPr>
        <w:t>aintain</w:t>
      </w:r>
      <w:r w:rsidR="00F676AB" w:rsidRPr="00891007">
        <w:rPr>
          <w:rFonts w:cstheme="minorHAnsi"/>
          <w:sz w:val="28"/>
          <w:szCs w:val="28"/>
        </w:rPr>
        <w:t>ing</w:t>
      </w:r>
      <w:r w:rsidRPr="00891007">
        <w:rPr>
          <w:rFonts w:cstheme="minorHAnsi"/>
          <w:sz w:val="28"/>
          <w:szCs w:val="28"/>
        </w:rPr>
        <w:t xml:space="preserve"> documentation of ongoing treatment and limitations.</w:t>
      </w:r>
      <w:r w:rsidR="00F676AB" w:rsidRPr="00891007">
        <w:rPr>
          <w:rFonts w:cstheme="minorHAnsi"/>
          <w:sz w:val="28"/>
          <w:szCs w:val="28"/>
        </w:rPr>
        <w:t xml:space="preserve"> Also, r</w:t>
      </w:r>
      <w:r w:rsidRPr="00891007">
        <w:rPr>
          <w:rFonts w:cstheme="minorHAnsi"/>
          <w:sz w:val="28"/>
          <w:szCs w:val="28"/>
        </w:rPr>
        <w:t>espond promptly to any mail from Social Security, especially if you receive a CDR mailer.</w:t>
      </w:r>
    </w:p>
    <w:p w14:paraId="5D5560C5" w14:textId="6CEF8656" w:rsidR="00A76FC3" w:rsidRPr="00891007" w:rsidRDefault="00A76FC3" w:rsidP="007A1C5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91007">
        <w:rPr>
          <w:rFonts w:cstheme="minorHAnsi"/>
          <w:sz w:val="28"/>
          <w:szCs w:val="28"/>
        </w:rPr>
        <w:t>Use Special Protections</w:t>
      </w:r>
      <w:r w:rsidR="004258F1" w:rsidRPr="00891007">
        <w:rPr>
          <w:rFonts w:cstheme="minorHAnsi"/>
          <w:sz w:val="28"/>
          <w:szCs w:val="28"/>
        </w:rPr>
        <w:t xml:space="preserve">: </w:t>
      </w:r>
      <w:r w:rsidRPr="00891007">
        <w:rPr>
          <w:rFonts w:cstheme="minorHAnsi"/>
          <w:sz w:val="28"/>
          <w:szCs w:val="28"/>
        </w:rPr>
        <w:t>If enrolled</w:t>
      </w:r>
      <w:r w:rsidR="004258F1" w:rsidRPr="00891007">
        <w:rPr>
          <w:rFonts w:cstheme="minorHAnsi"/>
          <w:sz w:val="28"/>
          <w:szCs w:val="28"/>
        </w:rPr>
        <w:t xml:space="preserve"> in the</w:t>
      </w:r>
      <w:r w:rsidRPr="00891007">
        <w:rPr>
          <w:rFonts w:cstheme="minorHAnsi"/>
          <w:sz w:val="28"/>
          <w:szCs w:val="28"/>
        </w:rPr>
        <w:t xml:space="preserve"> </w:t>
      </w:r>
      <w:r w:rsidR="009F6857">
        <w:rPr>
          <w:rFonts w:cstheme="minorHAnsi"/>
          <w:sz w:val="28"/>
          <w:szCs w:val="28"/>
        </w:rPr>
        <w:t>TTW</w:t>
      </w:r>
      <w:r w:rsidR="004258F1" w:rsidRPr="00891007">
        <w:rPr>
          <w:rFonts w:cstheme="minorHAnsi"/>
          <w:sz w:val="28"/>
          <w:szCs w:val="28"/>
        </w:rPr>
        <w:t xml:space="preserve"> Program </w:t>
      </w:r>
      <w:r w:rsidRPr="00891007">
        <w:rPr>
          <w:rFonts w:cstheme="minorHAnsi"/>
          <w:sz w:val="28"/>
          <w:szCs w:val="28"/>
        </w:rPr>
        <w:t xml:space="preserve">and </w:t>
      </w:r>
      <w:r w:rsidR="004258F1" w:rsidRPr="00891007">
        <w:rPr>
          <w:rFonts w:cstheme="minorHAnsi"/>
          <w:sz w:val="28"/>
          <w:szCs w:val="28"/>
        </w:rPr>
        <w:t xml:space="preserve">you are </w:t>
      </w:r>
      <w:r w:rsidRPr="00891007">
        <w:rPr>
          <w:rFonts w:cstheme="minorHAnsi"/>
          <w:sz w:val="28"/>
          <w:szCs w:val="28"/>
        </w:rPr>
        <w:t xml:space="preserve">making </w:t>
      </w:r>
      <w:r w:rsidR="004258F1" w:rsidRPr="00891007">
        <w:rPr>
          <w:rFonts w:cstheme="minorHAnsi"/>
          <w:sz w:val="28"/>
          <w:szCs w:val="28"/>
        </w:rPr>
        <w:t xml:space="preserve">timely </w:t>
      </w:r>
      <w:r w:rsidRPr="00891007">
        <w:rPr>
          <w:rFonts w:cstheme="minorHAnsi"/>
          <w:sz w:val="28"/>
          <w:szCs w:val="28"/>
        </w:rPr>
        <w:t xml:space="preserve">progress, </w:t>
      </w:r>
      <w:r w:rsidR="004258F1" w:rsidRPr="00891007">
        <w:rPr>
          <w:rFonts w:cstheme="minorHAnsi"/>
          <w:sz w:val="28"/>
          <w:szCs w:val="28"/>
        </w:rPr>
        <w:t>Social Security will not initiate a medical</w:t>
      </w:r>
      <w:r w:rsidRPr="00891007">
        <w:rPr>
          <w:rFonts w:cstheme="minorHAnsi"/>
          <w:sz w:val="28"/>
          <w:szCs w:val="28"/>
        </w:rPr>
        <w:t xml:space="preserve"> CDR.</w:t>
      </w:r>
      <w:r w:rsidR="004258F1" w:rsidRPr="00891007">
        <w:rPr>
          <w:rFonts w:cstheme="minorHAnsi"/>
          <w:sz w:val="28"/>
          <w:szCs w:val="28"/>
        </w:rPr>
        <w:t xml:space="preserve"> Also, i</w:t>
      </w:r>
      <w:r w:rsidRPr="00891007">
        <w:rPr>
          <w:rFonts w:cstheme="minorHAnsi"/>
          <w:sz w:val="28"/>
          <w:szCs w:val="28"/>
        </w:rPr>
        <w:t xml:space="preserve">f </w:t>
      </w:r>
      <w:r w:rsidR="004258F1" w:rsidRPr="00891007">
        <w:rPr>
          <w:rFonts w:cstheme="minorHAnsi"/>
          <w:sz w:val="28"/>
          <w:szCs w:val="28"/>
        </w:rPr>
        <w:t xml:space="preserve">you are </w:t>
      </w:r>
      <w:r w:rsidRPr="00891007">
        <w:rPr>
          <w:rFonts w:cstheme="minorHAnsi"/>
          <w:sz w:val="28"/>
          <w:szCs w:val="28"/>
        </w:rPr>
        <w:t xml:space="preserve">in school or job training before </w:t>
      </w:r>
      <w:r w:rsidR="004258F1" w:rsidRPr="00891007">
        <w:rPr>
          <w:rFonts w:cstheme="minorHAnsi"/>
          <w:sz w:val="28"/>
          <w:szCs w:val="28"/>
        </w:rPr>
        <w:t>Social Security</w:t>
      </w:r>
      <w:r w:rsidRPr="00891007">
        <w:rPr>
          <w:rFonts w:cstheme="minorHAnsi"/>
          <w:sz w:val="28"/>
          <w:szCs w:val="28"/>
        </w:rPr>
        <w:t xml:space="preserve">’s decision, you may keep benefits </w:t>
      </w:r>
      <w:r w:rsidR="004258F1" w:rsidRPr="00891007">
        <w:rPr>
          <w:rFonts w:cstheme="minorHAnsi"/>
          <w:sz w:val="28"/>
          <w:szCs w:val="28"/>
        </w:rPr>
        <w:t xml:space="preserve">through Social Security, </w:t>
      </w:r>
      <w:r w:rsidRPr="00891007">
        <w:rPr>
          <w:rFonts w:cstheme="minorHAnsi"/>
          <w:sz w:val="28"/>
          <w:szCs w:val="28"/>
        </w:rPr>
        <w:t>even if</w:t>
      </w:r>
      <w:r w:rsidR="004258F1" w:rsidRPr="00891007">
        <w:rPr>
          <w:rFonts w:cstheme="minorHAnsi"/>
          <w:sz w:val="28"/>
          <w:szCs w:val="28"/>
        </w:rPr>
        <w:t xml:space="preserve"> you are</w:t>
      </w:r>
      <w:r w:rsidRPr="00891007">
        <w:rPr>
          <w:rFonts w:cstheme="minorHAnsi"/>
          <w:sz w:val="28"/>
          <w:szCs w:val="28"/>
        </w:rPr>
        <w:t xml:space="preserve"> found no longer disabled.</w:t>
      </w:r>
    </w:p>
    <w:p w14:paraId="698760BD" w14:textId="19445157" w:rsidR="00A76FC3" w:rsidRPr="00891007" w:rsidRDefault="00A76FC3" w:rsidP="007A1C5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91007">
        <w:rPr>
          <w:rFonts w:cstheme="minorHAnsi"/>
          <w:sz w:val="28"/>
          <w:szCs w:val="28"/>
        </w:rPr>
        <w:t xml:space="preserve">Age-18 Redetermination: Be </w:t>
      </w:r>
      <w:r w:rsidR="003E47D3">
        <w:rPr>
          <w:rFonts w:cstheme="minorHAnsi"/>
          <w:sz w:val="28"/>
          <w:szCs w:val="28"/>
        </w:rPr>
        <w:t>r</w:t>
      </w:r>
      <w:r w:rsidRPr="00891007">
        <w:rPr>
          <w:rFonts w:cstheme="minorHAnsi"/>
          <w:sz w:val="28"/>
          <w:szCs w:val="28"/>
        </w:rPr>
        <w:t>eady</w:t>
      </w:r>
      <w:r w:rsidR="00101E0F" w:rsidRPr="00891007">
        <w:rPr>
          <w:rFonts w:cstheme="minorHAnsi"/>
          <w:sz w:val="28"/>
          <w:szCs w:val="28"/>
        </w:rPr>
        <w:t xml:space="preserve">, </w:t>
      </w:r>
      <w:r w:rsidR="00962D01" w:rsidRPr="00891007">
        <w:rPr>
          <w:rFonts w:cstheme="minorHAnsi"/>
          <w:sz w:val="28"/>
          <w:szCs w:val="28"/>
        </w:rPr>
        <w:t>this</w:t>
      </w:r>
      <w:r w:rsidR="00101E0F" w:rsidRPr="00891007">
        <w:rPr>
          <w:rFonts w:cstheme="minorHAnsi"/>
          <w:sz w:val="28"/>
          <w:szCs w:val="28"/>
        </w:rPr>
        <w:t xml:space="preserve"> </w:t>
      </w:r>
      <w:r w:rsidRPr="00891007">
        <w:rPr>
          <w:rFonts w:cstheme="minorHAnsi"/>
          <w:sz w:val="28"/>
          <w:szCs w:val="28"/>
        </w:rPr>
        <w:t>automatic</w:t>
      </w:r>
      <w:r w:rsidR="00962D01" w:rsidRPr="00891007">
        <w:rPr>
          <w:rFonts w:cstheme="minorHAnsi"/>
          <w:sz w:val="28"/>
          <w:szCs w:val="28"/>
        </w:rPr>
        <w:t>ally occurs</w:t>
      </w:r>
      <w:r w:rsidRPr="00891007">
        <w:rPr>
          <w:rFonts w:cstheme="minorHAnsi"/>
          <w:sz w:val="28"/>
          <w:szCs w:val="28"/>
        </w:rPr>
        <w:t xml:space="preserve"> when you turn 18.</w:t>
      </w:r>
      <w:r w:rsidR="00101E0F" w:rsidRPr="00891007">
        <w:rPr>
          <w:rFonts w:cstheme="minorHAnsi"/>
          <w:sz w:val="28"/>
          <w:szCs w:val="28"/>
        </w:rPr>
        <w:t xml:space="preserve"> </w:t>
      </w:r>
      <w:r w:rsidRPr="00891007">
        <w:rPr>
          <w:rFonts w:cstheme="minorHAnsi"/>
          <w:sz w:val="28"/>
          <w:szCs w:val="28"/>
        </w:rPr>
        <w:t>Prepare by gathering updated medical and educational records.</w:t>
      </w:r>
    </w:p>
    <w:p w14:paraId="06FB19C5" w14:textId="7515578F" w:rsidR="00A76FC3" w:rsidRPr="00891007" w:rsidRDefault="00A76FC3" w:rsidP="007A1C5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91007">
        <w:rPr>
          <w:rFonts w:cstheme="minorHAnsi"/>
          <w:sz w:val="28"/>
          <w:szCs w:val="28"/>
        </w:rPr>
        <w:t>Appeal If Needed</w:t>
      </w:r>
      <w:r w:rsidR="00CF5E78" w:rsidRPr="00891007">
        <w:rPr>
          <w:rFonts w:cstheme="minorHAnsi"/>
          <w:sz w:val="28"/>
          <w:szCs w:val="28"/>
        </w:rPr>
        <w:t xml:space="preserve">. </w:t>
      </w:r>
      <w:r w:rsidRPr="00891007">
        <w:rPr>
          <w:rFonts w:cstheme="minorHAnsi"/>
          <w:sz w:val="28"/>
          <w:szCs w:val="28"/>
        </w:rPr>
        <w:t>If benefits are denied, you have the right to appeal.</w:t>
      </w:r>
      <w:r w:rsidR="00101E0F" w:rsidRPr="00891007">
        <w:rPr>
          <w:rFonts w:cstheme="minorHAnsi"/>
          <w:sz w:val="28"/>
          <w:szCs w:val="28"/>
        </w:rPr>
        <w:t xml:space="preserve"> </w:t>
      </w:r>
      <w:r w:rsidRPr="00891007">
        <w:rPr>
          <w:rFonts w:cstheme="minorHAnsi"/>
          <w:sz w:val="28"/>
          <w:szCs w:val="28"/>
        </w:rPr>
        <w:t>File within 60 days and request continuation of benefits during the appeal if eligible.</w:t>
      </w:r>
    </w:p>
    <w:p w14:paraId="26EBE359" w14:textId="58004E63" w:rsidR="00A76FC3" w:rsidRPr="00891007" w:rsidRDefault="00A76FC3" w:rsidP="007A1C5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91007">
        <w:rPr>
          <w:rFonts w:cstheme="minorHAnsi"/>
          <w:sz w:val="28"/>
          <w:szCs w:val="28"/>
        </w:rPr>
        <w:t>Stay Engaged in Work or Education</w:t>
      </w:r>
      <w:r w:rsidR="00056964">
        <w:rPr>
          <w:rFonts w:cstheme="minorHAnsi"/>
          <w:sz w:val="28"/>
          <w:szCs w:val="28"/>
        </w:rPr>
        <w:t xml:space="preserve">: </w:t>
      </w:r>
      <w:r w:rsidR="00962D01" w:rsidRPr="00891007">
        <w:rPr>
          <w:rFonts w:cstheme="minorHAnsi"/>
          <w:sz w:val="28"/>
          <w:szCs w:val="28"/>
        </w:rPr>
        <w:t>Participation in school, training, or employment programs may support continued eligibility. Keep documentation of enrollment and progress.</w:t>
      </w:r>
    </w:p>
    <w:p w14:paraId="2C5D5180" w14:textId="4E234141" w:rsidR="00A76FC3" w:rsidRPr="00891007" w:rsidRDefault="00A76FC3" w:rsidP="007A1C5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  <w:sz w:val="28"/>
          <w:szCs w:val="28"/>
        </w:rPr>
      </w:pPr>
      <w:r w:rsidRPr="00891007">
        <w:rPr>
          <w:rFonts w:cstheme="minorHAnsi"/>
          <w:sz w:val="28"/>
          <w:szCs w:val="28"/>
        </w:rPr>
        <w:t>Seek Help</w:t>
      </w:r>
      <w:r w:rsidR="00962D01" w:rsidRPr="00891007">
        <w:rPr>
          <w:rFonts w:cstheme="minorHAnsi"/>
          <w:sz w:val="28"/>
          <w:szCs w:val="28"/>
        </w:rPr>
        <w:t xml:space="preserve"> Early:</w:t>
      </w:r>
      <w:r w:rsidR="00AD7289" w:rsidRPr="00891007">
        <w:rPr>
          <w:rFonts w:cstheme="minorHAnsi"/>
          <w:sz w:val="28"/>
          <w:szCs w:val="28"/>
        </w:rPr>
        <w:t xml:space="preserve"> </w:t>
      </w:r>
      <w:r w:rsidRPr="00891007">
        <w:rPr>
          <w:rFonts w:cstheme="minorHAnsi"/>
          <w:sz w:val="28"/>
          <w:szCs w:val="28"/>
        </w:rPr>
        <w:t>Contact a</w:t>
      </w:r>
      <w:r w:rsidR="00101E0F" w:rsidRPr="00891007">
        <w:rPr>
          <w:rFonts w:cstheme="minorHAnsi"/>
          <w:sz w:val="28"/>
          <w:szCs w:val="28"/>
        </w:rPr>
        <w:t>n</w:t>
      </w:r>
      <w:r w:rsidRPr="00891007">
        <w:rPr>
          <w:rFonts w:cstheme="minorHAnsi"/>
          <w:sz w:val="28"/>
          <w:szCs w:val="28"/>
        </w:rPr>
        <w:t xml:space="preserve"> SSA representative</w:t>
      </w:r>
      <w:r w:rsidR="00962D01" w:rsidRPr="00891007">
        <w:rPr>
          <w:rFonts w:cstheme="minorHAnsi"/>
          <w:sz w:val="28"/>
          <w:szCs w:val="28"/>
        </w:rPr>
        <w:t xml:space="preserve"> </w:t>
      </w:r>
      <w:r w:rsidRPr="00891007">
        <w:rPr>
          <w:rFonts w:cstheme="minorHAnsi"/>
          <w:sz w:val="28"/>
          <w:szCs w:val="28"/>
        </w:rPr>
        <w:t>or advocate if you receive a CDR or redetermination notice</w:t>
      </w:r>
      <w:r w:rsidR="00AD7289" w:rsidRPr="00891007">
        <w:rPr>
          <w:rFonts w:cstheme="minorHAnsi"/>
          <w:sz w:val="28"/>
          <w:szCs w:val="28"/>
        </w:rPr>
        <w:t xml:space="preserve"> and need help</w:t>
      </w:r>
      <w:r w:rsidRPr="00891007">
        <w:rPr>
          <w:rFonts w:cstheme="minorHAnsi"/>
          <w:sz w:val="28"/>
          <w:szCs w:val="28"/>
        </w:rPr>
        <w:t>.</w:t>
      </w:r>
      <w:r w:rsidR="00AD7289" w:rsidRPr="00891007">
        <w:rPr>
          <w:rFonts w:cstheme="minorHAnsi"/>
          <w:sz w:val="28"/>
          <w:szCs w:val="28"/>
        </w:rPr>
        <w:t xml:space="preserve"> You can also u</w:t>
      </w:r>
      <w:r w:rsidRPr="00891007">
        <w:rPr>
          <w:rFonts w:cstheme="minorHAnsi"/>
          <w:sz w:val="28"/>
          <w:szCs w:val="28"/>
        </w:rPr>
        <w:t xml:space="preserve">se resources </w:t>
      </w:r>
      <w:r w:rsidR="00AD7289" w:rsidRPr="00891007">
        <w:rPr>
          <w:rFonts w:cstheme="minorHAnsi"/>
          <w:sz w:val="28"/>
          <w:szCs w:val="28"/>
        </w:rPr>
        <w:t xml:space="preserve">such as a Work Incentive Planner at </w:t>
      </w:r>
      <w:r w:rsidRPr="00891007">
        <w:rPr>
          <w:rFonts w:cstheme="minorHAnsi"/>
          <w:sz w:val="28"/>
          <w:szCs w:val="28"/>
        </w:rPr>
        <w:t xml:space="preserve">the </w:t>
      </w:r>
      <w:r w:rsidR="00AD7289" w:rsidRPr="00891007">
        <w:rPr>
          <w:rFonts w:cstheme="minorHAnsi"/>
          <w:sz w:val="28"/>
          <w:szCs w:val="28"/>
        </w:rPr>
        <w:t>DOR</w:t>
      </w:r>
      <w:r w:rsidRPr="00891007">
        <w:rPr>
          <w:rFonts w:cstheme="minorHAnsi"/>
          <w:sz w:val="28"/>
          <w:szCs w:val="28"/>
        </w:rPr>
        <w:t xml:space="preserve"> or Disability Rights California</w:t>
      </w:r>
      <w:r w:rsidR="00AD7289" w:rsidRPr="00891007">
        <w:rPr>
          <w:rFonts w:cstheme="minorHAnsi"/>
          <w:sz w:val="28"/>
          <w:szCs w:val="28"/>
        </w:rPr>
        <w:t xml:space="preserve"> for advocacy for appeals and redeterminations</w:t>
      </w:r>
      <w:r w:rsidRPr="00891007">
        <w:rPr>
          <w:rFonts w:cstheme="minorHAnsi"/>
          <w:sz w:val="28"/>
          <w:szCs w:val="28"/>
        </w:rPr>
        <w:t>.</w:t>
      </w:r>
    </w:p>
    <w:p w14:paraId="5437CFE9" w14:textId="58AA16C9" w:rsidR="00047E77" w:rsidRPr="00351ED6" w:rsidRDefault="00047E77" w:rsidP="007A1C50">
      <w:pPr>
        <w:spacing w:before="120" w:after="120" w:line="240" w:lineRule="auto"/>
        <w:rPr>
          <w:rFonts w:cstheme="minorHAnsi"/>
          <w:b/>
          <w:bCs/>
          <w:sz w:val="28"/>
          <w:szCs w:val="28"/>
        </w:rPr>
      </w:pPr>
      <w:r w:rsidRPr="00351ED6">
        <w:rPr>
          <w:rFonts w:cstheme="minorHAnsi"/>
          <w:b/>
          <w:bCs/>
          <w:sz w:val="28"/>
          <w:szCs w:val="28"/>
        </w:rPr>
        <w:t>Key Takeaways:</w:t>
      </w:r>
    </w:p>
    <w:p w14:paraId="79F314A6" w14:textId="5CFAB5EA" w:rsidR="00351ED6" w:rsidRPr="00351ED6" w:rsidRDefault="00351ED6" w:rsidP="007A1C50">
      <w:pPr>
        <w:pStyle w:val="NormalWeb"/>
        <w:numPr>
          <w:ilvl w:val="0"/>
          <w:numId w:val="3"/>
        </w:numPr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351ED6">
        <w:rPr>
          <w:rFonts w:asciiTheme="minorHAnsi" w:hAnsiTheme="minorHAnsi" w:cstheme="minorHAnsi"/>
          <w:sz w:val="28"/>
          <w:szCs w:val="28"/>
        </w:rPr>
        <w:t>Medical CDRs are reviews to confirm your disability status.</w:t>
      </w:r>
    </w:p>
    <w:p w14:paraId="7D6C1884" w14:textId="2949617C" w:rsidR="00351ED6" w:rsidRPr="00351ED6" w:rsidRDefault="00351ED6" w:rsidP="007A1C50">
      <w:pPr>
        <w:pStyle w:val="NormalWeb"/>
        <w:numPr>
          <w:ilvl w:val="0"/>
          <w:numId w:val="3"/>
        </w:numPr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351ED6">
        <w:rPr>
          <w:rFonts w:asciiTheme="minorHAnsi" w:hAnsiTheme="minorHAnsi" w:cstheme="minorHAnsi"/>
          <w:sz w:val="28"/>
          <w:szCs w:val="28"/>
        </w:rPr>
        <w:t>At age 18, SSI reviews switch from child</w:t>
      </w:r>
      <w:r w:rsidR="00AD7289">
        <w:rPr>
          <w:rFonts w:asciiTheme="minorHAnsi" w:hAnsiTheme="minorHAnsi" w:cstheme="minorHAnsi"/>
          <w:sz w:val="28"/>
          <w:szCs w:val="28"/>
        </w:rPr>
        <w:t xml:space="preserve"> disability</w:t>
      </w:r>
      <w:r w:rsidRPr="00351ED6">
        <w:rPr>
          <w:rFonts w:asciiTheme="minorHAnsi" w:hAnsiTheme="minorHAnsi" w:cstheme="minorHAnsi"/>
          <w:sz w:val="28"/>
          <w:szCs w:val="28"/>
        </w:rPr>
        <w:t xml:space="preserve"> rules to adult</w:t>
      </w:r>
      <w:r w:rsidR="00AD7289" w:rsidRPr="00AD7289">
        <w:rPr>
          <w:rFonts w:asciiTheme="minorHAnsi" w:hAnsiTheme="minorHAnsi" w:cstheme="minorHAnsi"/>
          <w:sz w:val="28"/>
          <w:szCs w:val="28"/>
        </w:rPr>
        <w:t xml:space="preserve"> </w:t>
      </w:r>
      <w:r w:rsidR="00AD7289">
        <w:rPr>
          <w:rFonts w:asciiTheme="minorHAnsi" w:hAnsiTheme="minorHAnsi" w:cstheme="minorHAnsi"/>
          <w:sz w:val="28"/>
          <w:szCs w:val="28"/>
        </w:rPr>
        <w:t>disability</w:t>
      </w:r>
      <w:r w:rsidRPr="00351ED6">
        <w:rPr>
          <w:rFonts w:asciiTheme="minorHAnsi" w:hAnsiTheme="minorHAnsi" w:cstheme="minorHAnsi"/>
          <w:sz w:val="28"/>
          <w:szCs w:val="28"/>
        </w:rPr>
        <w:t xml:space="preserve"> rules.</w:t>
      </w:r>
    </w:p>
    <w:p w14:paraId="36F575AB" w14:textId="23F3999F" w:rsidR="00351ED6" w:rsidRPr="00351ED6" w:rsidRDefault="00351ED6" w:rsidP="007A1C50">
      <w:pPr>
        <w:pStyle w:val="NormalWeb"/>
        <w:numPr>
          <w:ilvl w:val="0"/>
          <w:numId w:val="3"/>
        </w:numPr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351ED6">
        <w:rPr>
          <w:rFonts w:asciiTheme="minorHAnsi" w:hAnsiTheme="minorHAnsi" w:cstheme="minorHAnsi"/>
          <w:sz w:val="28"/>
          <w:szCs w:val="28"/>
        </w:rPr>
        <w:t>T</w:t>
      </w:r>
      <w:r w:rsidR="00AD7289">
        <w:rPr>
          <w:rFonts w:asciiTheme="minorHAnsi" w:hAnsiTheme="minorHAnsi" w:cstheme="minorHAnsi"/>
          <w:sz w:val="28"/>
          <w:szCs w:val="28"/>
        </w:rPr>
        <w:t>he T</w:t>
      </w:r>
      <w:r w:rsidR="009F6857">
        <w:rPr>
          <w:rFonts w:asciiTheme="minorHAnsi" w:hAnsiTheme="minorHAnsi" w:cstheme="minorHAnsi"/>
          <w:sz w:val="28"/>
          <w:szCs w:val="28"/>
        </w:rPr>
        <w:t>TW</w:t>
      </w:r>
      <w:r w:rsidR="00AD7289">
        <w:rPr>
          <w:rFonts w:asciiTheme="minorHAnsi" w:hAnsiTheme="minorHAnsi" w:cstheme="minorHAnsi"/>
          <w:sz w:val="28"/>
          <w:szCs w:val="28"/>
        </w:rPr>
        <w:t xml:space="preserve"> Program </w:t>
      </w:r>
      <w:r w:rsidRPr="00351ED6">
        <w:rPr>
          <w:rFonts w:asciiTheme="minorHAnsi" w:hAnsiTheme="minorHAnsi" w:cstheme="minorHAnsi"/>
          <w:sz w:val="28"/>
          <w:szCs w:val="28"/>
        </w:rPr>
        <w:t xml:space="preserve">and Section 301 </w:t>
      </w:r>
      <w:r w:rsidR="00AD7289">
        <w:rPr>
          <w:rFonts w:asciiTheme="minorHAnsi" w:hAnsiTheme="minorHAnsi" w:cstheme="minorHAnsi"/>
          <w:sz w:val="28"/>
          <w:szCs w:val="28"/>
        </w:rPr>
        <w:t>work incentive may</w:t>
      </w:r>
      <w:r w:rsidRPr="00351ED6">
        <w:rPr>
          <w:rFonts w:asciiTheme="minorHAnsi" w:hAnsiTheme="minorHAnsi" w:cstheme="minorHAnsi"/>
          <w:sz w:val="28"/>
          <w:szCs w:val="28"/>
        </w:rPr>
        <w:t xml:space="preserve"> protect your benefits during work or school.</w:t>
      </w:r>
    </w:p>
    <w:p w14:paraId="01AFE263" w14:textId="178296BC" w:rsidR="00351ED6" w:rsidRPr="00351ED6" w:rsidRDefault="00351ED6" w:rsidP="007A1C50">
      <w:pPr>
        <w:pStyle w:val="NormalWeb"/>
        <w:numPr>
          <w:ilvl w:val="0"/>
          <w:numId w:val="3"/>
        </w:numPr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351ED6">
        <w:rPr>
          <w:rFonts w:asciiTheme="minorHAnsi" w:hAnsiTheme="minorHAnsi" w:cstheme="minorHAnsi"/>
          <w:sz w:val="28"/>
          <w:szCs w:val="28"/>
        </w:rPr>
        <w:t>Appeals are always an option if your benefits are denied or stopped.</w:t>
      </w:r>
    </w:p>
    <w:p w14:paraId="538CAB75" w14:textId="6AE8A8E6" w:rsidR="00351ED6" w:rsidRPr="00351ED6" w:rsidRDefault="00351ED6" w:rsidP="007A1C50">
      <w:pPr>
        <w:pStyle w:val="NormalWeb"/>
        <w:numPr>
          <w:ilvl w:val="0"/>
          <w:numId w:val="3"/>
        </w:numPr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351ED6">
        <w:rPr>
          <w:rFonts w:asciiTheme="minorHAnsi" w:hAnsiTheme="minorHAnsi" w:cstheme="minorHAnsi"/>
          <w:sz w:val="28"/>
          <w:szCs w:val="28"/>
        </w:rPr>
        <w:t>Free support and advocacy programs are available to guide you.</w:t>
      </w:r>
    </w:p>
    <w:p w14:paraId="5016E4D3" w14:textId="50F2EBE3" w:rsidR="00F81445" w:rsidRPr="00351ED6" w:rsidRDefault="00351ED6" w:rsidP="007A1C50">
      <w:pPr>
        <w:spacing w:before="120" w:after="120" w:line="240" w:lineRule="auto"/>
        <w:rPr>
          <w:rFonts w:cstheme="minorHAnsi"/>
          <w:sz w:val="28"/>
          <w:szCs w:val="28"/>
        </w:rPr>
      </w:pPr>
      <w:r w:rsidRPr="00351ED6">
        <w:rPr>
          <w:rFonts w:cstheme="minorHAnsi"/>
          <w:sz w:val="28"/>
          <w:szCs w:val="28"/>
        </w:rPr>
        <w:t xml:space="preserve">Medical CDRs and Age-18 Redeterminations are just </w:t>
      </w:r>
      <w:r w:rsidR="00E8707E" w:rsidRPr="00351ED6">
        <w:rPr>
          <w:rFonts w:cstheme="minorHAnsi"/>
          <w:sz w:val="28"/>
          <w:szCs w:val="28"/>
        </w:rPr>
        <w:t>checkpoints</w:t>
      </w:r>
      <w:r w:rsidR="00E8707E">
        <w:rPr>
          <w:rFonts w:cstheme="minorHAnsi"/>
          <w:sz w:val="28"/>
          <w:szCs w:val="28"/>
        </w:rPr>
        <w:t>;</w:t>
      </w:r>
      <w:r w:rsidRPr="00351ED6">
        <w:rPr>
          <w:rFonts w:cstheme="minorHAnsi"/>
          <w:sz w:val="28"/>
          <w:szCs w:val="28"/>
        </w:rPr>
        <w:t xml:space="preserve"> they do not mean your benefits will automatically stop. By staying informed, keeping records, and reaching out for help, you can protect your benefits</w:t>
      </w:r>
      <w:r w:rsidR="007A1C50">
        <w:rPr>
          <w:rFonts w:cstheme="minorHAnsi"/>
          <w:sz w:val="28"/>
          <w:szCs w:val="28"/>
        </w:rPr>
        <w:t xml:space="preserve">. </w:t>
      </w:r>
      <w:r w:rsidR="00C6706A" w:rsidRPr="00351ED6">
        <w:rPr>
          <w:rFonts w:cstheme="minorHAnsi"/>
          <w:sz w:val="28"/>
          <w:szCs w:val="28"/>
        </w:rPr>
        <w:t xml:space="preserve">Want to learn more and stay inspired? The </w:t>
      </w:r>
      <w:hyperlink r:id="rId17" w:history="1">
        <w:r w:rsidR="00E93D34">
          <w:rPr>
            <w:rStyle w:val="Hyperlink"/>
            <w:rFonts w:cstheme="minorHAnsi"/>
            <w:sz w:val="28"/>
            <w:szCs w:val="28"/>
          </w:rPr>
          <w:t>Department of Rehabilitation Website</w:t>
        </w:r>
      </w:hyperlink>
      <w:r w:rsidR="00C6706A" w:rsidRPr="00351ED6">
        <w:rPr>
          <w:rFonts w:cstheme="minorHAnsi"/>
          <w:sz w:val="28"/>
          <w:szCs w:val="28"/>
        </w:rPr>
        <w:t xml:space="preserve"> </w:t>
      </w:r>
      <w:r w:rsidR="002C1D3B" w:rsidRPr="00351ED6">
        <w:rPr>
          <w:rFonts w:cstheme="minorHAnsi"/>
          <w:sz w:val="28"/>
          <w:szCs w:val="28"/>
        </w:rPr>
        <w:t xml:space="preserve">offers many </w:t>
      </w:r>
      <w:r w:rsidR="00C6706A" w:rsidRPr="00351ED6">
        <w:rPr>
          <w:rFonts w:cstheme="minorHAnsi"/>
          <w:sz w:val="28"/>
          <w:szCs w:val="28"/>
        </w:rPr>
        <w:t xml:space="preserve">valuable resources. One of the most powerful tools is our </w:t>
      </w:r>
      <w:bookmarkStart w:id="1" w:name="_Hlk216765158"/>
      <w:r w:rsidR="00C6706A">
        <w:fldChar w:fldCharType="begin"/>
      </w:r>
      <w:r w:rsidR="001C566B">
        <w:instrText>HYPERLINK "https://www.youtube.com/@SpotlightonSocialSecurit-wg3ri"</w:instrText>
      </w:r>
      <w:r w:rsidR="00C6706A">
        <w:fldChar w:fldCharType="separate"/>
      </w:r>
      <w:r w:rsidR="007E47BF">
        <w:rPr>
          <w:rStyle w:val="Hyperlink"/>
          <w:rFonts w:cstheme="minorHAnsi"/>
          <w:sz w:val="28"/>
          <w:szCs w:val="28"/>
        </w:rPr>
        <w:t>'Spotlight on Social Security' YouTube channel</w:t>
      </w:r>
      <w:r w:rsidR="00C6706A">
        <w:fldChar w:fldCharType="end"/>
      </w:r>
      <w:bookmarkEnd w:id="1"/>
      <w:r w:rsidR="00C6706A" w:rsidRPr="00351ED6">
        <w:rPr>
          <w:rFonts w:cstheme="minorHAnsi"/>
          <w:sz w:val="28"/>
          <w:szCs w:val="28"/>
        </w:rPr>
        <w:t>. There you will find webinars and workshops, including a variety of topics such as SSI and Work, S</w:t>
      </w:r>
      <w:r w:rsidR="009F6857">
        <w:rPr>
          <w:rFonts w:cstheme="minorHAnsi"/>
          <w:sz w:val="28"/>
          <w:szCs w:val="28"/>
        </w:rPr>
        <w:t xml:space="preserve">ocial </w:t>
      </w:r>
      <w:r w:rsidR="00C6706A" w:rsidRPr="00351ED6">
        <w:rPr>
          <w:rFonts w:cstheme="minorHAnsi"/>
          <w:sz w:val="28"/>
          <w:szCs w:val="28"/>
        </w:rPr>
        <w:t>S</w:t>
      </w:r>
      <w:r w:rsidR="009F6857">
        <w:rPr>
          <w:rFonts w:cstheme="minorHAnsi"/>
          <w:sz w:val="28"/>
          <w:szCs w:val="28"/>
        </w:rPr>
        <w:t xml:space="preserve">ecurity </w:t>
      </w:r>
      <w:r w:rsidR="00C6706A" w:rsidRPr="00351ED6">
        <w:rPr>
          <w:rFonts w:cstheme="minorHAnsi"/>
          <w:sz w:val="28"/>
          <w:szCs w:val="28"/>
        </w:rPr>
        <w:t>D</w:t>
      </w:r>
      <w:r w:rsidR="009F6857">
        <w:rPr>
          <w:rFonts w:cstheme="minorHAnsi"/>
          <w:sz w:val="28"/>
          <w:szCs w:val="28"/>
        </w:rPr>
        <w:t xml:space="preserve">isability </w:t>
      </w:r>
      <w:r w:rsidR="00C6706A" w:rsidRPr="00351ED6">
        <w:rPr>
          <w:rFonts w:cstheme="minorHAnsi"/>
          <w:sz w:val="28"/>
          <w:szCs w:val="28"/>
        </w:rPr>
        <w:t>I</w:t>
      </w:r>
      <w:r w:rsidR="009F6857">
        <w:rPr>
          <w:rFonts w:cstheme="minorHAnsi"/>
          <w:sz w:val="28"/>
          <w:szCs w:val="28"/>
        </w:rPr>
        <w:t>nsurance (SSDI)</w:t>
      </w:r>
      <w:r w:rsidR="00C6706A" w:rsidRPr="00351ED6">
        <w:rPr>
          <w:rFonts w:cstheme="minorHAnsi"/>
          <w:sz w:val="28"/>
          <w:szCs w:val="28"/>
        </w:rPr>
        <w:t xml:space="preserve"> and Work, Students with Disabilities, and </w:t>
      </w:r>
      <w:r w:rsidR="009F6857">
        <w:rPr>
          <w:rFonts w:cstheme="minorHAnsi"/>
          <w:sz w:val="28"/>
          <w:szCs w:val="28"/>
        </w:rPr>
        <w:t>WIP</w:t>
      </w:r>
      <w:r w:rsidR="00C6706A" w:rsidRPr="00351ED6">
        <w:rPr>
          <w:rFonts w:cstheme="minorHAnsi"/>
          <w:sz w:val="28"/>
          <w:szCs w:val="28"/>
        </w:rPr>
        <w:t xml:space="preserve"> Services.</w:t>
      </w:r>
      <w:r w:rsidR="007A1C50">
        <w:rPr>
          <w:rFonts w:cstheme="minorHAnsi"/>
          <w:sz w:val="28"/>
          <w:szCs w:val="28"/>
        </w:rPr>
        <w:t xml:space="preserve"> </w:t>
      </w:r>
      <w:r w:rsidR="00D527B4" w:rsidRPr="00351ED6">
        <w:rPr>
          <w:rFonts w:cstheme="minorHAnsi"/>
          <w:sz w:val="28"/>
          <w:szCs w:val="28"/>
        </w:rPr>
        <w:t>T</w:t>
      </w:r>
      <w:r w:rsidR="00C6706A" w:rsidRPr="00351ED6">
        <w:rPr>
          <w:rFonts w:cstheme="minorHAnsi"/>
          <w:sz w:val="28"/>
          <w:szCs w:val="28"/>
        </w:rPr>
        <w:t xml:space="preserve">hese resources are designed to </w:t>
      </w:r>
      <w:r w:rsidR="00D527B4" w:rsidRPr="00351ED6">
        <w:rPr>
          <w:rFonts w:cstheme="minorHAnsi"/>
          <w:sz w:val="28"/>
          <w:szCs w:val="28"/>
        </w:rPr>
        <w:t xml:space="preserve">guide your journey, </w:t>
      </w:r>
      <w:r w:rsidR="00C6706A" w:rsidRPr="00351ED6">
        <w:rPr>
          <w:rFonts w:cstheme="minorHAnsi"/>
          <w:sz w:val="28"/>
          <w:szCs w:val="28"/>
        </w:rPr>
        <w:t>help you thrive</w:t>
      </w:r>
      <w:r w:rsidR="00D527B4" w:rsidRPr="00351ED6">
        <w:rPr>
          <w:rFonts w:cstheme="minorHAnsi"/>
          <w:sz w:val="28"/>
          <w:szCs w:val="28"/>
        </w:rPr>
        <w:t>, and support your success.</w:t>
      </w:r>
    </w:p>
    <w:sectPr w:rsidR="00F81445" w:rsidRPr="00351ED6" w:rsidSect="000A411C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AAD8" w14:textId="77777777" w:rsidR="00891007" w:rsidRDefault="00891007" w:rsidP="00891007">
      <w:pPr>
        <w:spacing w:after="0" w:line="240" w:lineRule="auto"/>
      </w:pPr>
      <w:r>
        <w:separator/>
      </w:r>
    </w:p>
  </w:endnote>
  <w:endnote w:type="continuationSeparator" w:id="0">
    <w:p w14:paraId="2234F4BF" w14:textId="77777777" w:rsidR="00891007" w:rsidRDefault="00891007" w:rsidP="0089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C929" w14:textId="60782551" w:rsidR="00891007" w:rsidRDefault="00891007" w:rsidP="00891007">
    <w:pPr>
      <w:pStyle w:val="Footer"/>
      <w:jc w:val="right"/>
    </w:pPr>
    <w:r>
      <w:t>www.dor.ca.gov/home/benefits101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F42A" w14:textId="77777777" w:rsidR="00891007" w:rsidRDefault="00891007" w:rsidP="00891007">
      <w:pPr>
        <w:spacing w:after="0" w:line="240" w:lineRule="auto"/>
      </w:pPr>
      <w:r>
        <w:separator/>
      </w:r>
    </w:p>
  </w:footnote>
  <w:footnote w:type="continuationSeparator" w:id="0">
    <w:p w14:paraId="3958E82B" w14:textId="77777777" w:rsidR="00891007" w:rsidRDefault="00891007" w:rsidP="0089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7AEC"/>
    <w:multiLevelType w:val="multilevel"/>
    <w:tmpl w:val="2B3C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7F2207"/>
    <w:multiLevelType w:val="multilevel"/>
    <w:tmpl w:val="50F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83905"/>
    <w:multiLevelType w:val="hybridMultilevel"/>
    <w:tmpl w:val="87ECCC5A"/>
    <w:lvl w:ilvl="0" w:tplc="12A2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D7891"/>
    <w:multiLevelType w:val="multilevel"/>
    <w:tmpl w:val="BAE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13007"/>
    <w:multiLevelType w:val="multilevel"/>
    <w:tmpl w:val="8AF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21598B"/>
    <w:multiLevelType w:val="multilevel"/>
    <w:tmpl w:val="D1F2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F1381B"/>
    <w:multiLevelType w:val="multilevel"/>
    <w:tmpl w:val="2C1E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B153CF"/>
    <w:multiLevelType w:val="multilevel"/>
    <w:tmpl w:val="CFFE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046E97"/>
    <w:multiLevelType w:val="multilevel"/>
    <w:tmpl w:val="CD28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C5AEA"/>
    <w:multiLevelType w:val="hybridMultilevel"/>
    <w:tmpl w:val="F3826AC4"/>
    <w:lvl w:ilvl="0" w:tplc="F8207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D2D8D"/>
    <w:multiLevelType w:val="hybridMultilevel"/>
    <w:tmpl w:val="4B0A1ED4"/>
    <w:lvl w:ilvl="0" w:tplc="F8207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4170E"/>
    <w:multiLevelType w:val="hybridMultilevel"/>
    <w:tmpl w:val="4D08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5B39"/>
    <w:multiLevelType w:val="multilevel"/>
    <w:tmpl w:val="D430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63AE8"/>
    <w:multiLevelType w:val="multilevel"/>
    <w:tmpl w:val="17FC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3307915">
    <w:abstractNumId w:val="12"/>
  </w:num>
  <w:num w:numId="2" w16cid:durableId="249244553">
    <w:abstractNumId w:val="8"/>
  </w:num>
  <w:num w:numId="3" w16cid:durableId="614290606">
    <w:abstractNumId w:val="10"/>
  </w:num>
  <w:num w:numId="4" w16cid:durableId="1774474409">
    <w:abstractNumId w:val="3"/>
  </w:num>
  <w:num w:numId="5" w16cid:durableId="489563139">
    <w:abstractNumId w:val="9"/>
  </w:num>
  <w:num w:numId="6" w16cid:durableId="2104104518">
    <w:abstractNumId w:val="4"/>
  </w:num>
  <w:num w:numId="7" w16cid:durableId="1974019138">
    <w:abstractNumId w:val="6"/>
  </w:num>
  <w:num w:numId="8" w16cid:durableId="1522821990">
    <w:abstractNumId w:val="1"/>
  </w:num>
  <w:num w:numId="9" w16cid:durableId="506986800">
    <w:abstractNumId w:val="13"/>
  </w:num>
  <w:num w:numId="10" w16cid:durableId="256521029">
    <w:abstractNumId w:val="5"/>
  </w:num>
  <w:num w:numId="11" w16cid:durableId="1350791834">
    <w:abstractNumId w:val="0"/>
  </w:num>
  <w:num w:numId="12" w16cid:durableId="2026637353">
    <w:abstractNumId w:val="7"/>
  </w:num>
  <w:num w:numId="13" w16cid:durableId="182520739">
    <w:abstractNumId w:val="11"/>
  </w:num>
  <w:num w:numId="14" w16cid:durableId="33935637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C"/>
    <w:rsid w:val="000103D7"/>
    <w:rsid w:val="00047E77"/>
    <w:rsid w:val="00056964"/>
    <w:rsid w:val="00062796"/>
    <w:rsid w:val="00073C3A"/>
    <w:rsid w:val="000A411C"/>
    <w:rsid w:val="000F0063"/>
    <w:rsid w:val="00101E0F"/>
    <w:rsid w:val="0016662B"/>
    <w:rsid w:val="00195128"/>
    <w:rsid w:val="001C566B"/>
    <w:rsid w:val="002825FB"/>
    <w:rsid w:val="002C1D3B"/>
    <w:rsid w:val="002D3D13"/>
    <w:rsid w:val="00335D65"/>
    <w:rsid w:val="00351ED6"/>
    <w:rsid w:val="003D5D91"/>
    <w:rsid w:val="003E1A82"/>
    <w:rsid w:val="003E47D3"/>
    <w:rsid w:val="0042310E"/>
    <w:rsid w:val="004258F1"/>
    <w:rsid w:val="00426532"/>
    <w:rsid w:val="00497748"/>
    <w:rsid w:val="004F0E90"/>
    <w:rsid w:val="00526846"/>
    <w:rsid w:val="005B3021"/>
    <w:rsid w:val="005E4562"/>
    <w:rsid w:val="006878A6"/>
    <w:rsid w:val="006C2499"/>
    <w:rsid w:val="006D6BF0"/>
    <w:rsid w:val="006D7C5B"/>
    <w:rsid w:val="006F0EF8"/>
    <w:rsid w:val="006F139A"/>
    <w:rsid w:val="007250E8"/>
    <w:rsid w:val="00751959"/>
    <w:rsid w:val="007A1C50"/>
    <w:rsid w:val="007C1F58"/>
    <w:rsid w:val="007E47BF"/>
    <w:rsid w:val="007F1FFC"/>
    <w:rsid w:val="00814502"/>
    <w:rsid w:val="008518A3"/>
    <w:rsid w:val="00891007"/>
    <w:rsid w:val="008A0C5C"/>
    <w:rsid w:val="008E498D"/>
    <w:rsid w:val="008E540B"/>
    <w:rsid w:val="008F52D8"/>
    <w:rsid w:val="00903C37"/>
    <w:rsid w:val="00921B58"/>
    <w:rsid w:val="00927691"/>
    <w:rsid w:val="00962ABE"/>
    <w:rsid w:val="00962D01"/>
    <w:rsid w:val="00977623"/>
    <w:rsid w:val="009A03F5"/>
    <w:rsid w:val="009A701E"/>
    <w:rsid w:val="009B7D45"/>
    <w:rsid w:val="009C3FD8"/>
    <w:rsid w:val="009E2C50"/>
    <w:rsid w:val="009F6857"/>
    <w:rsid w:val="00A23DE0"/>
    <w:rsid w:val="00A30996"/>
    <w:rsid w:val="00A36259"/>
    <w:rsid w:val="00A76FC3"/>
    <w:rsid w:val="00A8010F"/>
    <w:rsid w:val="00AB1266"/>
    <w:rsid w:val="00AD1F4F"/>
    <w:rsid w:val="00AD7289"/>
    <w:rsid w:val="00AE1FD1"/>
    <w:rsid w:val="00AF7947"/>
    <w:rsid w:val="00B0035F"/>
    <w:rsid w:val="00BD21D1"/>
    <w:rsid w:val="00BF0413"/>
    <w:rsid w:val="00C06F7F"/>
    <w:rsid w:val="00C1410F"/>
    <w:rsid w:val="00C1657C"/>
    <w:rsid w:val="00C21986"/>
    <w:rsid w:val="00C30E3C"/>
    <w:rsid w:val="00C6706A"/>
    <w:rsid w:val="00CD611D"/>
    <w:rsid w:val="00CE1DB6"/>
    <w:rsid w:val="00CF5E78"/>
    <w:rsid w:val="00D007F7"/>
    <w:rsid w:val="00D30A14"/>
    <w:rsid w:val="00D42E60"/>
    <w:rsid w:val="00D527B4"/>
    <w:rsid w:val="00D933B4"/>
    <w:rsid w:val="00DB716D"/>
    <w:rsid w:val="00DD5EC9"/>
    <w:rsid w:val="00E8707E"/>
    <w:rsid w:val="00E931FC"/>
    <w:rsid w:val="00E93D34"/>
    <w:rsid w:val="00F36E3E"/>
    <w:rsid w:val="00F467CA"/>
    <w:rsid w:val="00F676AB"/>
    <w:rsid w:val="00F7538D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4AA4"/>
  <w15:chartTrackingRefBased/>
  <w15:docId w15:val="{80263116-71AD-4469-B926-3B808C0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A4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84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1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07"/>
  </w:style>
  <w:style w:type="paragraph" w:styleId="Footer">
    <w:name w:val="footer"/>
    <w:basedOn w:val="Normal"/>
    <w:link w:val="FooterChar"/>
    <w:uiPriority w:val="99"/>
    <w:unhideWhenUsed/>
    <w:rsid w:val="00891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sa.gov/yout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r.ca.gov/home/benefits101" TargetMode="External"/><Relationship Id="rId12" Type="http://schemas.openxmlformats.org/officeDocument/2006/relationships/hyperlink" Target="https://choosework.ssa.gov/" TargetMode="External"/><Relationship Id="rId17" Type="http://schemas.openxmlformats.org/officeDocument/2006/relationships/hyperlink" Target="https://www.dor.ca.gov/Home/Ss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whelpca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ssa.gov/ICON/main.j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rightsca.org/publications/the-pabss-program-protection-advocacy-for-beneficiaries-of-social-security" TargetMode="External"/><Relationship Id="rId10" Type="http://schemas.openxmlformats.org/officeDocument/2006/relationships/hyperlink" Target="https://www.ssa.gov/ssi/text-understanding-ssi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r.ca.gov/Home/WIP" TargetMode="External"/><Relationship Id="rId14" Type="http://schemas.openxmlformats.org/officeDocument/2006/relationships/hyperlink" Target="https://www.disabilityrights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</Pages>
  <Words>752</Words>
  <Characters>4210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44</cp:revision>
  <dcterms:created xsi:type="dcterms:W3CDTF">2025-10-21T22:39:00Z</dcterms:created>
  <dcterms:modified xsi:type="dcterms:W3CDTF">2026-01-02T23:10:00Z</dcterms:modified>
</cp:coreProperties>
</file>