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0E29" w14:textId="77777777" w:rsidR="007250E8" w:rsidRDefault="007250E8" w:rsidP="009A701E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</w:p>
    <w:p w14:paraId="30B4E1A9" w14:textId="7C427F39" w:rsidR="00B928CB" w:rsidRPr="00B928CB" w:rsidRDefault="00B928CB" w:rsidP="00B928CB">
      <w:pPr>
        <w:spacing w:before="120"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r w:rsidRPr="00B928CB">
        <w:rPr>
          <w:rFonts w:asciiTheme="majorHAnsi" w:eastAsiaTheme="majorEastAsia" w:hAnsiTheme="majorHAnsi" w:cstheme="majorBidi"/>
          <w:b/>
          <w:bCs/>
          <w:caps/>
          <w:noProof/>
          <w:color w:val="0E2841" w:themeColor="text2"/>
          <w:spacing w:val="-15"/>
          <w:sz w:val="28"/>
          <w:szCs w:val="28"/>
        </w:rPr>
        <w:drawing>
          <wp:inline distT="0" distB="0" distL="0" distR="0" wp14:anchorId="1B268B26" wp14:editId="5A3CC694">
            <wp:extent cx="6858000" cy="847725"/>
            <wp:effectExtent l="0" t="0" r="0" b="9525"/>
            <wp:docPr id="1171155834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55834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4BF2" w14:textId="09F0112A" w:rsidR="000A411C" w:rsidRPr="007250E8" w:rsidRDefault="00377174" w:rsidP="009A701E">
      <w:pPr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SOCIAL SECURITY DISABILITY INSURANCE (</w:t>
      </w:r>
      <w:r w:rsidR="00054BEA">
        <w:rPr>
          <w:rFonts w:asciiTheme="majorHAnsi" w:hAnsiTheme="majorHAnsi" w:cstheme="majorHAnsi"/>
          <w:sz w:val="28"/>
          <w:szCs w:val="28"/>
        </w:rPr>
        <w:t>SSDI</w:t>
      </w:r>
      <w:r>
        <w:rPr>
          <w:rFonts w:asciiTheme="majorHAnsi" w:hAnsiTheme="majorHAnsi" w:cstheme="majorHAnsi"/>
          <w:sz w:val="28"/>
          <w:szCs w:val="28"/>
        </w:rPr>
        <w:t>)</w:t>
      </w:r>
      <w:r w:rsidR="00054BEA">
        <w:rPr>
          <w:rFonts w:asciiTheme="majorHAnsi" w:hAnsiTheme="majorHAnsi" w:cstheme="majorHAnsi"/>
          <w:sz w:val="28"/>
          <w:szCs w:val="28"/>
        </w:rPr>
        <w:t xml:space="preserve"> ELIGIBILITY AND APPEALS</w:t>
      </w:r>
    </w:p>
    <w:p w14:paraId="03078C5A" w14:textId="5732AEF1" w:rsidR="00F5251A" w:rsidRDefault="00377174" w:rsidP="008D2771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SSDI</w:t>
      </w:r>
      <w:r w:rsidR="00F5251A" w:rsidRPr="00F5251A">
        <w:rPr>
          <w:rFonts w:cstheme="minorHAnsi"/>
          <w:sz w:val="28"/>
          <w:szCs w:val="28"/>
        </w:rPr>
        <w:t xml:space="preserve"> is a benefit you</w:t>
      </w:r>
      <w:r w:rsidR="00F5251A">
        <w:rPr>
          <w:rFonts w:cstheme="minorHAnsi"/>
          <w:sz w:val="28"/>
          <w:szCs w:val="28"/>
        </w:rPr>
        <w:t xml:space="preserve"> ha</w:t>
      </w:r>
      <w:r w:rsidR="00F5251A" w:rsidRPr="00F5251A">
        <w:rPr>
          <w:rFonts w:cstheme="minorHAnsi"/>
          <w:sz w:val="28"/>
          <w:szCs w:val="28"/>
        </w:rPr>
        <w:t xml:space="preserve">ve earned through work. Understanding who qualifies, how to apply, and what to do if your benefits are denied or stopped can help you take control of your future. This </w:t>
      </w:r>
      <w:r w:rsidR="00F5251A">
        <w:rPr>
          <w:rFonts w:cstheme="minorHAnsi"/>
          <w:sz w:val="28"/>
          <w:szCs w:val="28"/>
        </w:rPr>
        <w:t xml:space="preserve">information </w:t>
      </w:r>
      <w:r w:rsidR="00F5251A" w:rsidRPr="00F5251A">
        <w:rPr>
          <w:rFonts w:cstheme="minorHAnsi"/>
          <w:sz w:val="28"/>
          <w:szCs w:val="28"/>
        </w:rPr>
        <w:t>outlines the key steps and resources to help you navigate SSDI with confidence.</w:t>
      </w:r>
      <w:r w:rsidR="00F5251A" w:rsidRPr="00F5251A">
        <w:rPr>
          <w:rFonts w:cstheme="minorHAnsi"/>
          <w:b/>
          <w:bCs/>
          <w:sz w:val="28"/>
          <w:szCs w:val="28"/>
        </w:rPr>
        <w:t xml:space="preserve"> </w:t>
      </w:r>
    </w:p>
    <w:p w14:paraId="1B057C70" w14:textId="26B1D81E" w:rsidR="000E1C2D" w:rsidRDefault="00047E77" w:rsidP="00F223F2">
      <w:pPr>
        <w:spacing w:after="120" w:line="240" w:lineRule="auto"/>
        <w:rPr>
          <w:rFonts w:cstheme="minorHAnsi"/>
          <w:sz w:val="28"/>
          <w:szCs w:val="28"/>
        </w:rPr>
      </w:pPr>
      <w:r w:rsidRPr="000E1C2D">
        <w:rPr>
          <w:rFonts w:cstheme="minorHAnsi"/>
          <w:b/>
          <w:bCs/>
          <w:sz w:val="28"/>
          <w:szCs w:val="28"/>
        </w:rPr>
        <w:t>Programs and Support:</w:t>
      </w:r>
    </w:p>
    <w:p w14:paraId="717EA33A" w14:textId="77777777" w:rsidR="006A4ACE" w:rsidRDefault="006A4ACE" w:rsidP="00F223F2">
      <w:pPr>
        <w:spacing w:after="120" w:line="240" w:lineRule="auto"/>
        <w:ind w:left="720"/>
        <w:rPr>
          <w:rFonts w:cstheme="minorHAnsi"/>
          <w:b/>
          <w:bCs/>
          <w:sz w:val="28"/>
          <w:szCs w:val="28"/>
        </w:rPr>
      </w:pPr>
      <w:r w:rsidRPr="00526846">
        <w:rPr>
          <w:rFonts w:cstheme="minorHAnsi"/>
          <w:b/>
          <w:bCs/>
          <w:sz w:val="28"/>
          <w:szCs w:val="28"/>
        </w:rPr>
        <w:t>SS</w:t>
      </w:r>
      <w:r>
        <w:rPr>
          <w:rFonts w:cstheme="minorHAnsi"/>
          <w:b/>
          <w:bCs/>
          <w:sz w:val="28"/>
          <w:szCs w:val="28"/>
        </w:rPr>
        <w:t>D</w:t>
      </w:r>
      <w:r w:rsidRPr="00526846">
        <w:rPr>
          <w:rFonts w:cstheme="minorHAnsi"/>
          <w:b/>
          <w:bCs/>
          <w:sz w:val="28"/>
          <w:szCs w:val="28"/>
        </w:rPr>
        <w:t>I Eligibility:</w:t>
      </w:r>
    </w:p>
    <w:p w14:paraId="3E6C4842" w14:textId="2F1987A5" w:rsidR="00990623" w:rsidRPr="005B3844" w:rsidRDefault="00990623" w:rsidP="00F223F2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Social Security Administration (SSA): Process</w:t>
      </w:r>
      <w:r w:rsidR="000375E1">
        <w:rPr>
          <w:rFonts w:cstheme="minorHAnsi"/>
          <w:sz w:val="28"/>
          <w:szCs w:val="28"/>
        </w:rPr>
        <w:t>es</w:t>
      </w:r>
      <w:r w:rsidRPr="005B3844">
        <w:rPr>
          <w:rFonts w:cstheme="minorHAnsi"/>
          <w:sz w:val="28"/>
          <w:szCs w:val="28"/>
        </w:rPr>
        <w:t xml:space="preserve"> SSDI applications, make</w:t>
      </w:r>
      <w:r w:rsidR="000375E1">
        <w:rPr>
          <w:rFonts w:cstheme="minorHAnsi"/>
          <w:sz w:val="28"/>
          <w:szCs w:val="28"/>
        </w:rPr>
        <w:t>s</w:t>
      </w:r>
      <w:r w:rsidRPr="005B3844">
        <w:rPr>
          <w:rFonts w:cstheme="minorHAnsi"/>
          <w:sz w:val="28"/>
          <w:szCs w:val="28"/>
        </w:rPr>
        <w:t xml:space="preserve"> eligibility decisions, conduct</w:t>
      </w:r>
      <w:r w:rsidR="000375E1">
        <w:rPr>
          <w:rFonts w:cstheme="minorHAnsi"/>
          <w:sz w:val="28"/>
          <w:szCs w:val="28"/>
        </w:rPr>
        <w:t>s</w:t>
      </w:r>
      <w:r w:rsidRPr="005B3844">
        <w:rPr>
          <w:rFonts w:cstheme="minorHAnsi"/>
          <w:sz w:val="28"/>
          <w:szCs w:val="28"/>
        </w:rPr>
        <w:t xml:space="preserve"> medical reviews, and handle</w:t>
      </w:r>
      <w:r w:rsidR="000375E1">
        <w:rPr>
          <w:rFonts w:cstheme="minorHAnsi"/>
          <w:sz w:val="28"/>
          <w:szCs w:val="28"/>
        </w:rPr>
        <w:t>s</w:t>
      </w:r>
      <w:r w:rsidRPr="005B3844">
        <w:rPr>
          <w:rFonts w:cstheme="minorHAnsi"/>
          <w:sz w:val="28"/>
          <w:szCs w:val="28"/>
        </w:rPr>
        <w:t xml:space="preserve"> appeals.</w:t>
      </w:r>
      <w:hyperlink r:id="rId9" w:history="1">
        <w:r w:rsidR="00377174" w:rsidRPr="00377174">
          <w:rPr>
            <w:rStyle w:val="Hyperlink"/>
            <w:rFonts w:cstheme="minorHAnsi"/>
            <w:sz w:val="28"/>
            <w:szCs w:val="28"/>
          </w:rPr>
          <w:t xml:space="preserve"> For a complete overview of the Social Security Disability Insurance program, visit the Social Security Administration website.</w:t>
        </w:r>
      </w:hyperlink>
    </w:p>
    <w:p w14:paraId="2982B97B" w14:textId="61D8DB2B" w:rsidR="006A4ACE" w:rsidRPr="005B3844" w:rsidRDefault="006A4ACE" w:rsidP="00F223F2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cstheme="minorHAnsi"/>
          <w:b/>
          <w:bCs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Who can qualify for SSDI: </w:t>
      </w:r>
      <w:r w:rsidR="000375E1">
        <w:rPr>
          <w:rFonts w:cstheme="minorHAnsi"/>
          <w:sz w:val="28"/>
          <w:szCs w:val="28"/>
        </w:rPr>
        <w:t>An individual must b</w:t>
      </w:r>
      <w:r w:rsidRPr="005B3844">
        <w:rPr>
          <w:rFonts w:cstheme="minorHAnsi"/>
          <w:sz w:val="28"/>
          <w:szCs w:val="28"/>
        </w:rPr>
        <w:t>e age 18 or older, have a medical condition expected to last at least 12 months or result in death</w:t>
      </w:r>
      <w:r w:rsidR="004B57CB" w:rsidRPr="005B3844">
        <w:rPr>
          <w:rFonts w:cstheme="minorHAnsi"/>
          <w:sz w:val="28"/>
          <w:szCs w:val="28"/>
        </w:rPr>
        <w:t xml:space="preserve"> (</w:t>
      </w:r>
      <w:hyperlink r:id="rId10" w:history="1">
        <w:r w:rsidR="004B57CB" w:rsidRPr="00377174">
          <w:rPr>
            <w:rStyle w:val="Hyperlink"/>
            <w:rFonts w:cstheme="minorHAnsi"/>
            <w:sz w:val="28"/>
            <w:szCs w:val="28"/>
          </w:rPr>
          <w:t xml:space="preserve">see the </w:t>
        </w:r>
        <w:r w:rsidR="00364475" w:rsidRPr="00377174">
          <w:rPr>
            <w:rStyle w:val="Hyperlink"/>
            <w:rFonts w:cstheme="minorHAnsi"/>
            <w:sz w:val="28"/>
            <w:szCs w:val="28"/>
          </w:rPr>
          <w:t>Social Security Blue Book</w:t>
        </w:r>
        <w:r w:rsidR="004B57CB" w:rsidRPr="00377174">
          <w:rPr>
            <w:rStyle w:val="Hyperlink"/>
            <w:rFonts w:cstheme="minorHAnsi"/>
            <w:sz w:val="28"/>
            <w:szCs w:val="28"/>
          </w:rPr>
          <w:t xml:space="preserve"> for more on Disability Criteria</w:t>
        </w:r>
      </w:hyperlink>
      <w:r w:rsidR="004B57CB">
        <w:t>)</w:t>
      </w:r>
      <w:r w:rsidRPr="005B3844">
        <w:rPr>
          <w:rFonts w:cstheme="minorHAnsi"/>
          <w:sz w:val="28"/>
          <w:szCs w:val="28"/>
        </w:rPr>
        <w:t>, have earned enough work credits based on your age, and be unable to engage in Substantial Gainful Activity (SGA).</w:t>
      </w:r>
      <w:r w:rsidRPr="005B3844">
        <w:rPr>
          <w:rFonts w:cstheme="minorHAnsi"/>
          <w:b/>
          <w:bCs/>
          <w:sz w:val="28"/>
          <w:szCs w:val="28"/>
        </w:rPr>
        <w:t xml:space="preserve"> </w:t>
      </w:r>
      <w:hyperlink r:id="rId11" w:history="1">
        <w:r w:rsidR="00377174" w:rsidRPr="00377174">
          <w:rPr>
            <w:rStyle w:val="Hyperlink"/>
            <w:rFonts w:cstheme="minorHAnsi"/>
            <w:sz w:val="28"/>
            <w:szCs w:val="28"/>
          </w:rPr>
          <w:t>Learn about Social Security Disability Insurance Eligibility and check current Substantial Gainful Activity levels on the Social Security website</w:t>
        </w:r>
      </w:hyperlink>
      <w:r w:rsidR="002C59C6" w:rsidRPr="00377174">
        <w:rPr>
          <w:rFonts w:cstheme="minorHAnsi"/>
          <w:sz w:val="28"/>
          <w:szCs w:val="28"/>
        </w:rPr>
        <w:t>.</w:t>
      </w:r>
    </w:p>
    <w:p w14:paraId="171273DC" w14:textId="67596EDA" w:rsidR="006A4ACE" w:rsidRPr="005B3844" w:rsidRDefault="004B57CB" w:rsidP="00F223F2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Insured Status and Work Credits</w:t>
      </w:r>
      <w:r w:rsidR="006A4ACE" w:rsidRPr="005B3844">
        <w:rPr>
          <w:rFonts w:cstheme="minorHAnsi"/>
          <w:sz w:val="28"/>
          <w:szCs w:val="28"/>
        </w:rPr>
        <w:t xml:space="preserve">: </w:t>
      </w:r>
      <w:r w:rsidRPr="005B3844">
        <w:rPr>
          <w:rFonts w:cstheme="minorHAnsi"/>
          <w:sz w:val="28"/>
          <w:szCs w:val="28"/>
        </w:rPr>
        <w:t xml:space="preserve">SSDI is based on your work history. You must have insured status, which means: You worked and paid Social Security (FICA) taxes, and you earned up to 4 work credits per year (the number of credits needed depends on your age). </w:t>
      </w:r>
    </w:p>
    <w:p w14:paraId="1C1F993A" w14:textId="7C18BF0A" w:rsidR="004B57CB" w:rsidRPr="005B3844" w:rsidRDefault="004B57CB" w:rsidP="00F223F2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Benefits for Disabled Family Members: Family members may qualify for benefits based on your SSDI record</w:t>
      </w:r>
      <w:r w:rsidR="003538B1" w:rsidRPr="005B3844">
        <w:rPr>
          <w:rFonts w:cstheme="minorHAnsi"/>
          <w:sz w:val="28"/>
          <w:szCs w:val="28"/>
        </w:rPr>
        <w:t xml:space="preserve">. </w:t>
      </w:r>
      <w:r w:rsidRPr="005B3844">
        <w:rPr>
          <w:rFonts w:cstheme="minorHAnsi"/>
          <w:sz w:val="28"/>
          <w:szCs w:val="28"/>
        </w:rPr>
        <w:t>For adults disabled before age 22 with a parent who is disabled, retired, or deceased</w:t>
      </w:r>
      <w:r w:rsidR="003538B1" w:rsidRPr="005B3844">
        <w:rPr>
          <w:rFonts w:cstheme="minorHAnsi"/>
          <w:sz w:val="28"/>
          <w:szCs w:val="28"/>
        </w:rPr>
        <w:t xml:space="preserve">, they may qualify for Childhood Disability Benefits (CDB). </w:t>
      </w:r>
      <w:r w:rsidRPr="005B3844">
        <w:rPr>
          <w:rFonts w:cstheme="minorHAnsi"/>
          <w:sz w:val="28"/>
          <w:szCs w:val="28"/>
        </w:rPr>
        <w:t>For surviving spouses aged 50–60</w:t>
      </w:r>
      <w:r w:rsidR="003538B1" w:rsidRPr="005B3844">
        <w:rPr>
          <w:rFonts w:cstheme="minorHAnsi"/>
          <w:sz w:val="28"/>
          <w:szCs w:val="28"/>
        </w:rPr>
        <w:t xml:space="preserve">, they can qualify for Disabled Widow(er)’s Benefits (DWB). </w:t>
      </w:r>
      <w:r w:rsidRPr="005B3844">
        <w:rPr>
          <w:rFonts w:cstheme="minorHAnsi"/>
          <w:sz w:val="28"/>
          <w:szCs w:val="28"/>
        </w:rPr>
        <w:t>Dependent Parents</w:t>
      </w:r>
      <w:r w:rsidR="003538B1" w:rsidRPr="005B3844">
        <w:rPr>
          <w:rFonts w:cstheme="minorHAnsi"/>
          <w:sz w:val="28"/>
          <w:szCs w:val="28"/>
        </w:rPr>
        <w:t xml:space="preserve"> m</w:t>
      </w:r>
      <w:r w:rsidRPr="005B3844">
        <w:rPr>
          <w:rFonts w:cstheme="minorHAnsi"/>
          <w:sz w:val="28"/>
          <w:szCs w:val="28"/>
        </w:rPr>
        <w:t xml:space="preserve">ay </w:t>
      </w:r>
      <w:r w:rsidR="003538B1" w:rsidRPr="005B3844">
        <w:rPr>
          <w:rFonts w:cstheme="minorHAnsi"/>
          <w:sz w:val="28"/>
          <w:szCs w:val="28"/>
        </w:rPr>
        <w:t xml:space="preserve">also </w:t>
      </w:r>
      <w:r w:rsidRPr="005B3844">
        <w:rPr>
          <w:rFonts w:cstheme="minorHAnsi"/>
          <w:sz w:val="28"/>
          <w:szCs w:val="28"/>
        </w:rPr>
        <w:t>qualify if they relied on your income</w:t>
      </w:r>
      <w:r w:rsidR="003538B1" w:rsidRPr="005B3844">
        <w:rPr>
          <w:rFonts w:cstheme="minorHAnsi"/>
          <w:sz w:val="28"/>
          <w:szCs w:val="28"/>
        </w:rPr>
        <w:t>.</w:t>
      </w:r>
    </w:p>
    <w:p w14:paraId="13A12C80" w14:textId="03029595" w:rsidR="006A4ACE" w:rsidRPr="00047E77" w:rsidRDefault="004B57CB" w:rsidP="00F223F2">
      <w:pPr>
        <w:spacing w:after="120" w:line="240" w:lineRule="auto"/>
        <w:ind w:left="3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Medical Continuing Disability </w:t>
      </w:r>
      <w:r w:rsidR="006A4ACE" w:rsidRPr="00047E77">
        <w:rPr>
          <w:rFonts w:cstheme="minorHAnsi"/>
          <w:b/>
          <w:bCs/>
          <w:sz w:val="28"/>
          <w:szCs w:val="28"/>
        </w:rPr>
        <w:t>Reviews</w:t>
      </w:r>
      <w:r w:rsidR="000D09E9">
        <w:rPr>
          <w:rFonts w:cstheme="minorHAnsi"/>
          <w:b/>
          <w:bCs/>
          <w:sz w:val="28"/>
          <w:szCs w:val="28"/>
        </w:rPr>
        <w:t xml:space="preserve"> (CDRs)</w:t>
      </w:r>
      <w:r w:rsidR="006A4ACE">
        <w:rPr>
          <w:rFonts w:cstheme="minorHAnsi"/>
          <w:b/>
          <w:bCs/>
          <w:sz w:val="28"/>
          <w:szCs w:val="28"/>
        </w:rPr>
        <w:t>:</w:t>
      </w:r>
    </w:p>
    <w:p w14:paraId="2071530B" w14:textId="4814BD63" w:rsidR="00985759" w:rsidRPr="005B3844" w:rsidRDefault="000D09E9" w:rsidP="00F223F2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Medical CDRs: </w:t>
      </w:r>
      <w:r w:rsidR="006A4ACE" w:rsidRPr="005B3844">
        <w:rPr>
          <w:rFonts w:cstheme="minorHAnsi"/>
          <w:sz w:val="28"/>
          <w:szCs w:val="28"/>
        </w:rPr>
        <w:t xml:space="preserve">Reviews are conducted every 1–5 years, depending on disability type, to see if your </w:t>
      </w:r>
      <w:r w:rsidR="003538B1" w:rsidRPr="005B3844">
        <w:rPr>
          <w:rFonts w:cstheme="minorHAnsi"/>
          <w:sz w:val="28"/>
          <w:szCs w:val="28"/>
        </w:rPr>
        <w:t>condition</w:t>
      </w:r>
      <w:r w:rsidR="006A4ACE" w:rsidRPr="005B3844">
        <w:rPr>
          <w:rFonts w:cstheme="minorHAnsi"/>
          <w:sz w:val="28"/>
          <w:szCs w:val="28"/>
        </w:rPr>
        <w:t xml:space="preserve"> has improved. If </w:t>
      </w:r>
      <w:r w:rsidR="00985759" w:rsidRPr="005B3844">
        <w:rPr>
          <w:rFonts w:cstheme="minorHAnsi"/>
          <w:sz w:val="28"/>
          <w:szCs w:val="28"/>
        </w:rPr>
        <w:t xml:space="preserve">there is no medical </w:t>
      </w:r>
      <w:r w:rsidR="00985759" w:rsidRPr="002C59C6">
        <w:rPr>
          <w:rFonts w:cstheme="minorHAnsi"/>
          <w:sz w:val="28"/>
          <w:szCs w:val="28"/>
        </w:rPr>
        <w:t xml:space="preserve">improvement or </w:t>
      </w:r>
      <w:r w:rsidR="006A4ACE" w:rsidRPr="002C59C6">
        <w:rPr>
          <w:rFonts w:cstheme="minorHAnsi"/>
          <w:sz w:val="28"/>
          <w:szCs w:val="28"/>
        </w:rPr>
        <w:t xml:space="preserve">you are still </w:t>
      </w:r>
      <w:r w:rsidR="00985759" w:rsidRPr="002C59C6">
        <w:rPr>
          <w:rFonts w:cstheme="minorHAnsi"/>
          <w:sz w:val="28"/>
          <w:szCs w:val="28"/>
        </w:rPr>
        <w:t xml:space="preserve">found to be </w:t>
      </w:r>
      <w:r w:rsidR="006A4ACE" w:rsidRPr="002C59C6">
        <w:rPr>
          <w:rFonts w:cstheme="minorHAnsi"/>
          <w:sz w:val="28"/>
          <w:szCs w:val="28"/>
        </w:rPr>
        <w:t>disabled, SS</w:t>
      </w:r>
      <w:r w:rsidR="003538B1" w:rsidRPr="002C59C6">
        <w:rPr>
          <w:rFonts w:cstheme="minorHAnsi"/>
          <w:sz w:val="28"/>
          <w:szCs w:val="28"/>
        </w:rPr>
        <w:t>D</w:t>
      </w:r>
      <w:r w:rsidR="006A4ACE" w:rsidRPr="002C59C6">
        <w:rPr>
          <w:rFonts w:cstheme="minorHAnsi"/>
          <w:sz w:val="28"/>
          <w:szCs w:val="28"/>
        </w:rPr>
        <w:t xml:space="preserve">I continues. </w:t>
      </w:r>
      <w:hyperlink r:id="rId12" w:history="1">
        <w:r w:rsidR="00377174" w:rsidRPr="00377174">
          <w:rPr>
            <w:rStyle w:val="Hyperlink"/>
            <w:rFonts w:cstheme="minorHAnsi"/>
            <w:sz w:val="28"/>
            <w:szCs w:val="28"/>
          </w:rPr>
          <w:t>Learn more about the Continuing Disability Review Process on the Social Security website</w:t>
        </w:r>
      </w:hyperlink>
      <w:r w:rsidR="006A4ACE" w:rsidRPr="002C59C6">
        <w:rPr>
          <w:rFonts w:cstheme="minorHAnsi"/>
          <w:sz w:val="28"/>
          <w:szCs w:val="28"/>
        </w:rPr>
        <w:t>.</w:t>
      </w:r>
      <w:r w:rsidR="00985759" w:rsidRPr="005B3844">
        <w:rPr>
          <w:rFonts w:cstheme="minorHAnsi"/>
          <w:sz w:val="28"/>
          <w:szCs w:val="28"/>
        </w:rPr>
        <w:t xml:space="preserve"> </w:t>
      </w:r>
    </w:p>
    <w:p w14:paraId="5F6EB6E1" w14:textId="77412257" w:rsidR="00985759" w:rsidRPr="005B3844" w:rsidRDefault="00985759" w:rsidP="00F223F2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lastRenderedPageBreak/>
        <w:t>If SSA finds that your condition has improved enough to work at the S</w:t>
      </w:r>
      <w:r w:rsidR="00377174">
        <w:rPr>
          <w:rFonts w:cstheme="minorHAnsi"/>
          <w:sz w:val="28"/>
          <w:szCs w:val="28"/>
        </w:rPr>
        <w:t xml:space="preserve">GA </w:t>
      </w:r>
      <w:r w:rsidRPr="005B3844">
        <w:rPr>
          <w:rFonts w:cstheme="minorHAnsi"/>
          <w:sz w:val="28"/>
          <w:szCs w:val="28"/>
        </w:rPr>
        <w:t xml:space="preserve">level, your benefits may stop. </w:t>
      </w:r>
      <w:hyperlink r:id="rId13" w:history="1">
        <w:r w:rsidRPr="00377174">
          <w:rPr>
            <w:rStyle w:val="Hyperlink"/>
            <w:rFonts w:cstheme="minorHAnsi"/>
            <w:sz w:val="28"/>
            <w:szCs w:val="28"/>
          </w:rPr>
          <w:t>Check for current S</w:t>
        </w:r>
        <w:r w:rsidR="00377174">
          <w:rPr>
            <w:rStyle w:val="Hyperlink"/>
            <w:rFonts w:cstheme="minorHAnsi"/>
            <w:sz w:val="28"/>
            <w:szCs w:val="28"/>
          </w:rPr>
          <w:t xml:space="preserve">ubstantial </w:t>
        </w:r>
        <w:r w:rsidRPr="00377174">
          <w:rPr>
            <w:rStyle w:val="Hyperlink"/>
            <w:rFonts w:cstheme="minorHAnsi"/>
            <w:sz w:val="28"/>
            <w:szCs w:val="28"/>
          </w:rPr>
          <w:t>G</w:t>
        </w:r>
        <w:r w:rsidR="00377174">
          <w:rPr>
            <w:rStyle w:val="Hyperlink"/>
            <w:rFonts w:cstheme="minorHAnsi"/>
            <w:sz w:val="28"/>
            <w:szCs w:val="28"/>
          </w:rPr>
          <w:t xml:space="preserve">ainful </w:t>
        </w:r>
        <w:r w:rsidRPr="00377174">
          <w:rPr>
            <w:rStyle w:val="Hyperlink"/>
            <w:rFonts w:cstheme="minorHAnsi"/>
            <w:sz w:val="28"/>
            <w:szCs w:val="28"/>
          </w:rPr>
          <w:t>A</w:t>
        </w:r>
        <w:r w:rsidR="00377174">
          <w:rPr>
            <w:rStyle w:val="Hyperlink"/>
            <w:rFonts w:cstheme="minorHAnsi"/>
            <w:sz w:val="28"/>
            <w:szCs w:val="28"/>
          </w:rPr>
          <w:t>ctivity</w:t>
        </w:r>
        <w:r w:rsidRPr="00377174">
          <w:rPr>
            <w:rStyle w:val="Hyperlink"/>
            <w:rFonts w:cstheme="minorHAnsi"/>
            <w:sz w:val="28"/>
            <w:szCs w:val="28"/>
          </w:rPr>
          <w:t xml:space="preserve"> levels</w:t>
        </w:r>
        <w:r w:rsidR="00633ED1" w:rsidRPr="00377174">
          <w:rPr>
            <w:rStyle w:val="Hyperlink"/>
            <w:rFonts w:cstheme="minorHAnsi"/>
            <w:sz w:val="28"/>
            <w:szCs w:val="28"/>
          </w:rPr>
          <w:t xml:space="preserve"> </w:t>
        </w:r>
        <w:r w:rsidR="000C6735" w:rsidRPr="00377174">
          <w:rPr>
            <w:rStyle w:val="Hyperlink"/>
            <w:rFonts w:cstheme="minorHAnsi"/>
            <w:sz w:val="28"/>
            <w:szCs w:val="28"/>
          </w:rPr>
          <w:t xml:space="preserve">on the </w:t>
        </w:r>
        <w:r w:rsidR="00F223F2" w:rsidRPr="00377174">
          <w:rPr>
            <w:rStyle w:val="Hyperlink"/>
            <w:rFonts w:cstheme="minorHAnsi"/>
            <w:sz w:val="28"/>
            <w:szCs w:val="28"/>
          </w:rPr>
          <w:t>Social Security website</w:t>
        </w:r>
      </w:hyperlink>
      <w:r w:rsidRPr="005B3844">
        <w:rPr>
          <w:rFonts w:cstheme="minorHAnsi"/>
          <w:sz w:val="28"/>
          <w:szCs w:val="28"/>
        </w:rPr>
        <w:t xml:space="preserve">, as </w:t>
      </w:r>
      <w:r w:rsidR="00633ED1" w:rsidRPr="005B3844">
        <w:rPr>
          <w:rFonts w:cstheme="minorHAnsi"/>
          <w:sz w:val="28"/>
          <w:szCs w:val="28"/>
        </w:rPr>
        <w:t xml:space="preserve">they increase annually and </w:t>
      </w:r>
      <w:r w:rsidRPr="005B3844">
        <w:rPr>
          <w:rFonts w:cstheme="minorHAnsi"/>
          <w:sz w:val="28"/>
          <w:szCs w:val="28"/>
        </w:rPr>
        <w:t>differ for</w:t>
      </w:r>
      <w:r w:rsidR="008F6867" w:rsidRPr="008F6867">
        <w:t xml:space="preserve"> </w:t>
      </w:r>
      <w:r w:rsidR="008F6867" w:rsidRPr="008F6867">
        <w:rPr>
          <w:rFonts w:cstheme="minorHAnsi"/>
          <w:sz w:val="28"/>
          <w:szCs w:val="28"/>
        </w:rPr>
        <w:t>statutorily blind and non-blind individuals</w:t>
      </w:r>
      <w:r w:rsidRPr="005B3844">
        <w:rPr>
          <w:rFonts w:cstheme="minorHAnsi"/>
          <w:sz w:val="28"/>
          <w:szCs w:val="28"/>
        </w:rPr>
        <w:t>.</w:t>
      </w:r>
    </w:p>
    <w:p w14:paraId="45493290" w14:textId="3B41D1EF" w:rsidR="003538B1" w:rsidRPr="005B3844" w:rsidRDefault="00985759" w:rsidP="00F223F2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Section 301 Protection may allow benefits to continue if you are participating in an approved vocational rehabilitation program.</w:t>
      </w:r>
    </w:p>
    <w:p w14:paraId="594AB051" w14:textId="77777777" w:rsidR="006A4ACE" w:rsidRDefault="006A4ACE" w:rsidP="00F223F2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047E77">
        <w:rPr>
          <w:rFonts w:cstheme="minorHAnsi"/>
          <w:b/>
          <w:bCs/>
          <w:sz w:val="28"/>
          <w:szCs w:val="28"/>
        </w:rPr>
        <w:t>Appeals Process</w:t>
      </w:r>
      <w:r>
        <w:rPr>
          <w:rFonts w:cstheme="minorHAnsi"/>
          <w:b/>
          <w:bCs/>
          <w:sz w:val="28"/>
          <w:szCs w:val="28"/>
        </w:rPr>
        <w:t>:</w:t>
      </w:r>
    </w:p>
    <w:p w14:paraId="4F9CC735" w14:textId="0D3EBFD0" w:rsidR="00985759" w:rsidRPr="005B3844" w:rsidRDefault="00985759" w:rsidP="00F223F2">
      <w:pPr>
        <w:pStyle w:val="ListParagraph"/>
        <w:numPr>
          <w:ilvl w:val="0"/>
          <w:numId w:val="27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If your SSDI application is denied or your benefits are </w:t>
      </w:r>
      <w:r w:rsidR="00633ED1" w:rsidRPr="005B3844">
        <w:rPr>
          <w:rFonts w:cstheme="minorHAnsi"/>
          <w:sz w:val="28"/>
          <w:szCs w:val="28"/>
        </w:rPr>
        <w:t>stopped,</w:t>
      </w:r>
      <w:r w:rsidRPr="005B3844">
        <w:rPr>
          <w:rFonts w:cstheme="minorHAnsi"/>
          <w:sz w:val="28"/>
          <w:szCs w:val="28"/>
        </w:rPr>
        <w:t xml:space="preserve"> you have the right to appeal. File </w:t>
      </w:r>
      <w:r w:rsidR="00633ED1" w:rsidRPr="005B3844">
        <w:rPr>
          <w:rFonts w:cstheme="minorHAnsi"/>
          <w:sz w:val="28"/>
          <w:szCs w:val="28"/>
        </w:rPr>
        <w:t xml:space="preserve">an appeal </w:t>
      </w:r>
      <w:r w:rsidRPr="005B3844">
        <w:rPr>
          <w:rFonts w:cstheme="minorHAnsi"/>
          <w:sz w:val="28"/>
          <w:szCs w:val="28"/>
        </w:rPr>
        <w:t>within 60 days of the decision</w:t>
      </w:r>
      <w:r w:rsidR="00633ED1" w:rsidRPr="005B3844">
        <w:rPr>
          <w:rFonts w:cstheme="minorHAnsi"/>
          <w:sz w:val="28"/>
          <w:szCs w:val="28"/>
        </w:rPr>
        <w:t>, and if requested within 10 days, b</w:t>
      </w:r>
      <w:r w:rsidRPr="005B3844">
        <w:rPr>
          <w:rFonts w:cstheme="minorHAnsi"/>
          <w:sz w:val="28"/>
          <w:szCs w:val="28"/>
        </w:rPr>
        <w:t xml:space="preserve">enefits may continue during the appeal </w:t>
      </w:r>
      <w:r w:rsidR="00633ED1" w:rsidRPr="005B3844">
        <w:rPr>
          <w:rFonts w:cstheme="minorHAnsi"/>
          <w:sz w:val="28"/>
          <w:szCs w:val="28"/>
        </w:rPr>
        <w:t>process.</w:t>
      </w:r>
    </w:p>
    <w:p w14:paraId="30E34831" w14:textId="1FD0FE22" w:rsidR="00985759" w:rsidRPr="005B3844" w:rsidRDefault="00985759" w:rsidP="00F223F2">
      <w:pPr>
        <w:pStyle w:val="ListParagraph"/>
        <w:numPr>
          <w:ilvl w:val="0"/>
          <w:numId w:val="27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How to appeal:</w:t>
      </w:r>
      <w:r w:rsidR="00633ED1" w:rsidRPr="005B3844">
        <w:rPr>
          <w:rFonts w:cstheme="minorHAnsi"/>
          <w:sz w:val="28"/>
          <w:szCs w:val="28"/>
        </w:rPr>
        <w:t xml:space="preserve"> File online, by mail, or in person. Always keep copies of all documents and mailing proof. You can u</w:t>
      </w:r>
      <w:r w:rsidRPr="005B3844">
        <w:rPr>
          <w:rFonts w:cstheme="minorHAnsi"/>
          <w:sz w:val="28"/>
          <w:szCs w:val="28"/>
        </w:rPr>
        <w:t xml:space="preserve">se legal aid, advocacy </w:t>
      </w:r>
      <w:r w:rsidR="00633ED1" w:rsidRPr="005B3844">
        <w:rPr>
          <w:rFonts w:cstheme="minorHAnsi"/>
          <w:sz w:val="28"/>
          <w:szCs w:val="28"/>
        </w:rPr>
        <w:t>group</w:t>
      </w:r>
      <w:r w:rsidRPr="005B3844">
        <w:rPr>
          <w:rFonts w:cstheme="minorHAnsi"/>
          <w:sz w:val="28"/>
          <w:szCs w:val="28"/>
        </w:rPr>
        <w:t xml:space="preserve">s, or private attorneys </w:t>
      </w:r>
      <w:r w:rsidR="00633ED1" w:rsidRPr="005B3844">
        <w:rPr>
          <w:rFonts w:cstheme="minorHAnsi"/>
          <w:sz w:val="28"/>
          <w:szCs w:val="28"/>
        </w:rPr>
        <w:t>if you need additional assistance, resources, or support.</w:t>
      </w:r>
    </w:p>
    <w:p w14:paraId="1DD52B33" w14:textId="77777777" w:rsidR="00C370E9" w:rsidRDefault="00047E77" w:rsidP="00B928CB">
      <w:pPr>
        <w:spacing w:after="0" w:line="240" w:lineRule="auto"/>
        <w:rPr>
          <w:rFonts w:cstheme="minorHAnsi"/>
          <w:sz w:val="28"/>
          <w:szCs w:val="28"/>
        </w:rPr>
      </w:pPr>
      <w:r w:rsidRPr="00C370E9">
        <w:rPr>
          <w:rFonts w:cstheme="minorHAnsi"/>
          <w:b/>
          <w:bCs/>
          <w:sz w:val="28"/>
          <w:szCs w:val="28"/>
        </w:rPr>
        <w:t>Practical Steps:</w:t>
      </w:r>
      <w:r w:rsidR="00A361CD" w:rsidRPr="00C370E9">
        <w:rPr>
          <w:rFonts w:eastAsia="Times New Roman" w:cstheme="minorHAnsi"/>
          <w:color w:val="D6D6D6"/>
          <w:sz w:val="28"/>
          <w:szCs w:val="28"/>
        </w:rPr>
        <w:t xml:space="preserve"> </w:t>
      </w:r>
    </w:p>
    <w:p w14:paraId="3B6870CE" w14:textId="0677138A" w:rsidR="00633ED1" w:rsidRPr="005B3844" w:rsidRDefault="00633ED1" w:rsidP="00B928CB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Check your eligibility: Understand SGA limits and work credit requirements</w:t>
      </w:r>
      <w:r w:rsidR="00990623" w:rsidRPr="005B3844">
        <w:rPr>
          <w:rFonts w:cstheme="minorHAnsi"/>
          <w:sz w:val="28"/>
          <w:szCs w:val="28"/>
        </w:rPr>
        <w:t>.</w:t>
      </w:r>
    </w:p>
    <w:p w14:paraId="30BC7364" w14:textId="21354E3B" w:rsidR="00633ED1" w:rsidRPr="005B3844" w:rsidRDefault="00633ED1" w:rsidP="00B928CB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Gather documents: Medical records, work history, education, and personal information</w:t>
      </w:r>
      <w:r w:rsidR="00990623" w:rsidRPr="005B3844">
        <w:rPr>
          <w:rFonts w:cstheme="minorHAnsi"/>
          <w:sz w:val="28"/>
          <w:szCs w:val="28"/>
        </w:rPr>
        <w:t>.</w:t>
      </w:r>
    </w:p>
    <w:p w14:paraId="48A39407" w14:textId="41237509" w:rsidR="00633ED1" w:rsidRPr="005B3844" w:rsidRDefault="00633ED1" w:rsidP="00B928CB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Apply for SSDI: Online on the </w:t>
      </w:r>
      <w:hyperlink r:id="rId14" w:history="1">
        <w:r w:rsidR="000375E1">
          <w:rPr>
            <w:rStyle w:val="Hyperlink"/>
            <w:rFonts w:cstheme="minorHAnsi"/>
            <w:sz w:val="28"/>
            <w:szCs w:val="28"/>
          </w:rPr>
          <w:t>Social Security website</w:t>
        </w:r>
      </w:hyperlink>
      <w:r w:rsidRPr="005B3844">
        <w:rPr>
          <w:rFonts w:cstheme="minorHAnsi"/>
          <w:sz w:val="28"/>
          <w:szCs w:val="28"/>
        </w:rPr>
        <w:t xml:space="preserve"> or in person by visiting your </w:t>
      </w:r>
      <w:hyperlink r:id="rId15" w:history="1">
        <w:r w:rsidRPr="005B3844">
          <w:rPr>
            <w:rStyle w:val="Hyperlink"/>
            <w:rFonts w:cstheme="minorHAnsi"/>
            <w:sz w:val="28"/>
            <w:szCs w:val="28"/>
          </w:rPr>
          <w:t>local Social Security office</w:t>
        </w:r>
      </w:hyperlink>
      <w:r w:rsidRPr="005B3844">
        <w:rPr>
          <w:rFonts w:cstheme="minorHAnsi"/>
          <w:sz w:val="28"/>
          <w:szCs w:val="28"/>
        </w:rPr>
        <w:t>.</w:t>
      </w:r>
    </w:p>
    <w:p w14:paraId="46729C12" w14:textId="1506F0A6" w:rsidR="00633ED1" w:rsidRPr="005B3844" w:rsidRDefault="00633ED1" w:rsidP="00B928CB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Respond to SSA notices: Especially for CDRs or requests for information</w:t>
      </w:r>
      <w:r w:rsidR="00990623" w:rsidRPr="005B3844">
        <w:rPr>
          <w:rFonts w:cstheme="minorHAnsi"/>
          <w:sz w:val="28"/>
          <w:szCs w:val="28"/>
        </w:rPr>
        <w:t>.</w:t>
      </w:r>
    </w:p>
    <w:p w14:paraId="35DA3BFA" w14:textId="67830EF5" w:rsidR="00633ED1" w:rsidRPr="005B3844" w:rsidRDefault="00633ED1" w:rsidP="00B928CB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Appeal on time: Don’t miss deadlines</w:t>
      </w:r>
      <w:r w:rsidR="00990623" w:rsidRPr="005B3844">
        <w:rPr>
          <w:rFonts w:cstheme="minorHAnsi"/>
          <w:sz w:val="28"/>
          <w:szCs w:val="28"/>
        </w:rPr>
        <w:t xml:space="preserve">, </w:t>
      </w:r>
      <w:r w:rsidR="00B928CB">
        <w:rPr>
          <w:rFonts w:cstheme="minorHAnsi"/>
          <w:sz w:val="28"/>
          <w:szCs w:val="28"/>
        </w:rPr>
        <w:t>s</w:t>
      </w:r>
      <w:r w:rsidR="00990623" w:rsidRPr="005B3844">
        <w:rPr>
          <w:rFonts w:cstheme="minorHAnsi"/>
          <w:sz w:val="28"/>
          <w:szCs w:val="28"/>
        </w:rPr>
        <w:t xml:space="preserve">end appeal forms to your local Social Security office by mail, or in person and make sure to </w:t>
      </w:r>
      <w:r w:rsidRPr="005B3844">
        <w:rPr>
          <w:rFonts w:cstheme="minorHAnsi"/>
          <w:sz w:val="28"/>
          <w:szCs w:val="28"/>
        </w:rPr>
        <w:t>keep copies</w:t>
      </w:r>
      <w:r w:rsidR="00B928CB">
        <w:rPr>
          <w:rFonts w:cstheme="minorHAnsi"/>
          <w:sz w:val="28"/>
          <w:szCs w:val="28"/>
        </w:rPr>
        <w:t>.</w:t>
      </w:r>
    </w:p>
    <w:p w14:paraId="558EEEA9" w14:textId="54A87727" w:rsidR="00633ED1" w:rsidRPr="005B3844" w:rsidRDefault="00633ED1" w:rsidP="00B928CB">
      <w:pPr>
        <w:pStyle w:val="ListParagraph"/>
        <w:numPr>
          <w:ilvl w:val="0"/>
          <w:numId w:val="28"/>
        </w:numPr>
        <w:spacing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Seek support: </w:t>
      </w:r>
      <w:r w:rsidR="005B3844" w:rsidRPr="005B3844">
        <w:rPr>
          <w:rFonts w:cstheme="minorHAnsi"/>
          <w:sz w:val="28"/>
          <w:szCs w:val="28"/>
        </w:rPr>
        <w:t xml:space="preserve">Help and guidance </w:t>
      </w:r>
      <w:r w:rsidR="002C59C6" w:rsidRPr="005B3844">
        <w:rPr>
          <w:rFonts w:cstheme="minorHAnsi"/>
          <w:sz w:val="28"/>
          <w:szCs w:val="28"/>
        </w:rPr>
        <w:t>are</w:t>
      </w:r>
      <w:r w:rsidR="005B3844" w:rsidRPr="005B3844">
        <w:rPr>
          <w:rFonts w:cstheme="minorHAnsi"/>
          <w:sz w:val="28"/>
          <w:szCs w:val="28"/>
        </w:rPr>
        <w:t xml:space="preserve"> available through free or low-cost </w:t>
      </w:r>
      <w:r w:rsidR="005B3844" w:rsidRPr="000C6735">
        <w:rPr>
          <w:rFonts w:cstheme="minorHAnsi"/>
          <w:sz w:val="28"/>
          <w:szCs w:val="28"/>
        </w:rPr>
        <w:t>legal services</w:t>
      </w:r>
      <w:r w:rsidR="005B3844" w:rsidRPr="005B3844">
        <w:rPr>
          <w:rFonts w:cstheme="minorHAnsi"/>
          <w:sz w:val="28"/>
          <w:szCs w:val="28"/>
        </w:rPr>
        <w:t xml:space="preserve"> and private attorneys who work on contingency.</w:t>
      </w:r>
      <w:r w:rsidR="002C59C6">
        <w:rPr>
          <w:rFonts w:cstheme="minorHAnsi"/>
          <w:sz w:val="28"/>
          <w:szCs w:val="28"/>
        </w:rPr>
        <w:t xml:space="preserve"> </w:t>
      </w:r>
      <w:hyperlink r:id="rId16" w:history="1">
        <w:r w:rsidR="002C59C6" w:rsidRPr="00377174">
          <w:rPr>
            <w:rStyle w:val="Hyperlink"/>
            <w:rFonts w:cstheme="minorHAnsi"/>
            <w:sz w:val="28"/>
            <w:szCs w:val="28"/>
          </w:rPr>
          <w:t xml:space="preserve">Find local help </w:t>
        </w:r>
        <w:r w:rsidR="000C6735" w:rsidRPr="00377174">
          <w:rPr>
            <w:rStyle w:val="Hyperlink"/>
            <w:rFonts w:cstheme="minorHAnsi"/>
            <w:sz w:val="28"/>
            <w:szCs w:val="28"/>
          </w:rPr>
          <w:t>on the</w:t>
        </w:r>
        <w:r w:rsidR="002C59C6" w:rsidRPr="00377174">
          <w:rPr>
            <w:rStyle w:val="Hyperlink"/>
            <w:rFonts w:cstheme="minorHAnsi"/>
            <w:sz w:val="28"/>
            <w:szCs w:val="28"/>
          </w:rPr>
          <w:t xml:space="preserve"> </w:t>
        </w:r>
        <w:r w:rsidR="000C6735" w:rsidRPr="00377174">
          <w:rPr>
            <w:rStyle w:val="Hyperlink"/>
            <w:rFonts w:cstheme="minorHAnsi"/>
            <w:sz w:val="28"/>
            <w:szCs w:val="28"/>
          </w:rPr>
          <w:t>Legal Services Corporation website</w:t>
        </w:r>
      </w:hyperlink>
      <w:r w:rsidR="002C59C6">
        <w:rPr>
          <w:rFonts w:cstheme="minorHAnsi"/>
          <w:sz w:val="28"/>
          <w:szCs w:val="28"/>
        </w:rPr>
        <w:t>.</w:t>
      </w:r>
    </w:p>
    <w:p w14:paraId="5437CFE9" w14:textId="6A66BA0E" w:rsidR="00047E77" w:rsidRPr="00C370E9" w:rsidRDefault="00047E77" w:rsidP="00B928C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370E9">
        <w:rPr>
          <w:rFonts w:cstheme="minorHAnsi"/>
          <w:b/>
          <w:bCs/>
          <w:sz w:val="28"/>
          <w:szCs w:val="28"/>
        </w:rPr>
        <w:t>Key Takeaways:</w:t>
      </w:r>
    </w:p>
    <w:p w14:paraId="736A5BF1" w14:textId="6AB33602" w:rsidR="00054BEA" w:rsidRPr="005B3844" w:rsidRDefault="00054BEA" w:rsidP="00B928CB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SSDI is insurance you earned by working and paying Social Security taxe</w:t>
      </w:r>
      <w:r w:rsidR="00990623" w:rsidRPr="005B3844">
        <w:rPr>
          <w:rFonts w:cstheme="minorHAnsi"/>
          <w:sz w:val="28"/>
          <w:szCs w:val="28"/>
        </w:rPr>
        <w:t>s.</w:t>
      </w:r>
    </w:p>
    <w:p w14:paraId="525620FD" w14:textId="40D4F59C" w:rsidR="00054BEA" w:rsidRPr="005B3844" w:rsidRDefault="00054BEA" w:rsidP="00B928CB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>Eligibility requires: Age 18+, sufficient work credits, and a medical condition lasting 12+ months</w:t>
      </w:r>
      <w:r w:rsidR="00990623" w:rsidRPr="005B3844">
        <w:rPr>
          <w:rFonts w:cstheme="minorHAnsi"/>
          <w:sz w:val="28"/>
          <w:szCs w:val="28"/>
        </w:rPr>
        <w:t>. Family members may also qualify for benefits based on your work record (spouses, children, some parents).</w:t>
      </w:r>
    </w:p>
    <w:p w14:paraId="2889451E" w14:textId="46D2F73D" w:rsidR="005B3844" w:rsidRPr="005B3844" w:rsidRDefault="00377174" w:rsidP="00B928CB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SGA</w:t>
      </w:r>
      <w:r w:rsidR="00054BEA" w:rsidRPr="005B3844">
        <w:rPr>
          <w:rFonts w:cstheme="minorHAnsi"/>
          <w:sz w:val="28"/>
          <w:szCs w:val="28"/>
        </w:rPr>
        <w:t xml:space="preserve"> determines if your earnings are too high to qualify</w:t>
      </w:r>
      <w:r w:rsidR="005B3844" w:rsidRPr="005B3844">
        <w:rPr>
          <w:rFonts w:cstheme="minorHAnsi"/>
          <w:sz w:val="28"/>
          <w:szCs w:val="28"/>
        </w:rPr>
        <w:t xml:space="preserve"> (</w:t>
      </w:r>
      <w:r w:rsidR="00054BEA" w:rsidRPr="005B3844">
        <w:rPr>
          <w:rFonts w:cstheme="minorHAnsi"/>
          <w:sz w:val="28"/>
          <w:szCs w:val="28"/>
        </w:rPr>
        <w:t>levels change yearly</w:t>
      </w:r>
      <w:r w:rsidR="005B3844" w:rsidRPr="005B3844">
        <w:rPr>
          <w:rFonts w:cstheme="minorHAnsi"/>
          <w:sz w:val="28"/>
          <w:szCs w:val="28"/>
        </w:rPr>
        <w:t>).</w:t>
      </w:r>
    </w:p>
    <w:p w14:paraId="69DDDBC4" w14:textId="4C8CABFE" w:rsidR="00054BEA" w:rsidRPr="005B3844" w:rsidRDefault="00377174" w:rsidP="00B928CB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Medical CDRs</w:t>
      </w:r>
      <w:r w:rsidR="00054BEA" w:rsidRPr="005B3844">
        <w:rPr>
          <w:rFonts w:cstheme="minorHAnsi"/>
          <w:sz w:val="28"/>
          <w:szCs w:val="28"/>
        </w:rPr>
        <w:t xml:space="preserve"> happen periodically to check if your condition has improved</w:t>
      </w:r>
      <w:r w:rsidR="005B3844" w:rsidRPr="005B3844">
        <w:rPr>
          <w:rFonts w:cstheme="minorHAnsi"/>
          <w:sz w:val="28"/>
          <w:szCs w:val="28"/>
        </w:rPr>
        <w:t>.</w:t>
      </w:r>
    </w:p>
    <w:p w14:paraId="7F44ED21" w14:textId="7AB8FAAF" w:rsidR="00054BEA" w:rsidRPr="005B3844" w:rsidRDefault="00054BEA" w:rsidP="00B928CB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You have the right to </w:t>
      </w:r>
      <w:proofErr w:type="gramStart"/>
      <w:r w:rsidRPr="005B3844">
        <w:rPr>
          <w:rFonts w:cstheme="minorHAnsi"/>
          <w:sz w:val="28"/>
          <w:szCs w:val="28"/>
        </w:rPr>
        <w:t>appeal</w:t>
      </w:r>
      <w:proofErr w:type="gramEnd"/>
      <w:r w:rsidRPr="005B3844">
        <w:rPr>
          <w:rFonts w:cstheme="minorHAnsi"/>
          <w:sz w:val="28"/>
          <w:szCs w:val="28"/>
        </w:rPr>
        <w:t xml:space="preserve"> any Social Security decision</w:t>
      </w:r>
      <w:r w:rsidR="005B3844" w:rsidRPr="005B3844">
        <w:rPr>
          <w:rFonts w:cstheme="minorHAnsi"/>
          <w:sz w:val="28"/>
          <w:szCs w:val="28"/>
        </w:rPr>
        <w:t xml:space="preserve"> and </w:t>
      </w:r>
      <w:r w:rsidRPr="005B3844">
        <w:rPr>
          <w:rFonts w:cstheme="minorHAnsi"/>
          <w:sz w:val="28"/>
          <w:szCs w:val="28"/>
        </w:rPr>
        <w:t>benefits can continue</w:t>
      </w:r>
      <w:r w:rsidR="005B3844" w:rsidRPr="005B3844">
        <w:rPr>
          <w:rFonts w:cstheme="minorHAnsi"/>
          <w:sz w:val="28"/>
          <w:szCs w:val="28"/>
        </w:rPr>
        <w:t>.</w:t>
      </w:r>
    </w:p>
    <w:p w14:paraId="5016E4D3" w14:textId="075C8524" w:rsidR="00F81445" w:rsidRPr="004A65E7" w:rsidRDefault="005B3844" w:rsidP="008D2771">
      <w:pPr>
        <w:spacing w:before="120" w:after="120" w:line="240" w:lineRule="auto"/>
        <w:rPr>
          <w:rFonts w:cstheme="minorHAnsi"/>
          <w:sz w:val="28"/>
          <w:szCs w:val="28"/>
        </w:rPr>
      </w:pPr>
      <w:r w:rsidRPr="005B3844">
        <w:rPr>
          <w:rFonts w:cstheme="minorHAnsi"/>
          <w:sz w:val="28"/>
          <w:szCs w:val="28"/>
        </w:rPr>
        <w:t xml:space="preserve">Navigating SSDI can feel complex, but you don’t have to do it alone. </w:t>
      </w:r>
      <w:r w:rsidR="00054BEA" w:rsidRPr="004A65E7">
        <w:rPr>
          <w:rFonts w:cstheme="minorHAnsi"/>
          <w:sz w:val="28"/>
          <w:szCs w:val="28"/>
        </w:rPr>
        <w:t xml:space="preserve">Want to continue learning? The </w:t>
      </w:r>
      <w:r w:rsidR="00054BEA" w:rsidRPr="00E7691B">
        <w:rPr>
          <w:rFonts w:cstheme="minorHAnsi"/>
          <w:sz w:val="28"/>
          <w:szCs w:val="28"/>
        </w:rPr>
        <w:t xml:space="preserve">California </w:t>
      </w:r>
      <w:hyperlink r:id="rId17" w:history="1">
        <w:r w:rsidR="00A8054B">
          <w:rPr>
            <w:rStyle w:val="Hyperlink"/>
            <w:rFonts w:cstheme="minorHAnsi"/>
            <w:sz w:val="28"/>
            <w:szCs w:val="28"/>
          </w:rPr>
          <w:t>Department Of Rehabilitation website</w:t>
        </w:r>
      </w:hyperlink>
      <w:r w:rsidR="00A8054B">
        <w:t xml:space="preserve"> </w:t>
      </w:r>
      <w:r w:rsidR="00A8054B" w:rsidRPr="004A65E7">
        <w:rPr>
          <w:rFonts w:cstheme="minorHAnsi"/>
          <w:sz w:val="28"/>
          <w:szCs w:val="28"/>
        </w:rPr>
        <w:t>offers many resources</w:t>
      </w:r>
      <w:r w:rsidR="00A8054B">
        <w:rPr>
          <w:rFonts w:cstheme="minorHAnsi"/>
          <w:sz w:val="28"/>
          <w:szCs w:val="28"/>
        </w:rPr>
        <w:t xml:space="preserve">, </w:t>
      </w:r>
      <w:r w:rsidR="00A8054B" w:rsidRPr="004A65E7">
        <w:rPr>
          <w:rFonts w:cstheme="minorHAnsi"/>
          <w:sz w:val="28"/>
          <w:szCs w:val="28"/>
        </w:rPr>
        <w:t>tools</w:t>
      </w:r>
      <w:r w:rsidR="00A8054B">
        <w:rPr>
          <w:rFonts w:cstheme="minorHAnsi"/>
          <w:sz w:val="28"/>
          <w:szCs w:val="28"/>
        </w:rPr>
        <w:t>,</w:t>
      </w:r>
      <w:r w:rsidR="00A8054B" w:rsidRPr="004A65E7">
        <w:rPr>
          <w:rFonts w:cstheme="minorHAnsi"/>
          <w:sz w:val="28"/>
          <w:szCs w:val="28"/>
        </w:rPr>
        <w:t xml:space="preserve"> Work Incentive Planning</w:t>
      </w:r>
      <w:r w:rsidR="00A8054B">
        <w:rPr>
          <w:rFonts w:cstheme="minorHAnsi"/>
          <w:sz w:val="28"/>
          <w:szCs w:val="28"/>
        </w:rPr>
        <w:t xml:space="preserve"> (WIP)</w:t>
      </w:r>
      <w:r w:rsidR="00A8054B" w:rsidRPr="004A65E7">
        <w:rPr>
          <w:rFonts w:cstheme="minorHAnsi"/>
          <w:sz w:val="28"/>
          <w:szCs w:val="28"/>
        </w:rPr>
        <w:t xml:space="preserve"> services</w:t>
      </w:r>
      <w:r w:rsidR="00A8054B">
        <w:rPr>
          <w:rFonts w:cstheme="minorHAnsi"/>
          <w:sz w:val="28"/>
          <w:szCs w:val="28"/>
        </w:rPr>
        <w:t xml:space="preserve">, including a </w:t>
      </w:r>
      <w:hyperlink r:id="rId18" w:history="1">
        <w:r w:rsidR="00A8054B">
          <w:rPr>
            <w:rStyle w:val="Hyperlink"/>
            <w:rFonts w:cstheme="minorHAnsi"/>
            <w:sz w:val="28"/>
            <w:szCs w:val="28"/>
          </w:rPr>
          <w:t>'Spotlight on Social Security' YouTube channel</w:t>
        </w:r>
      </w:hyperlink>
      <w:r w:rsidR="00A8054B">
        <w:t xml:space="preserve">, </w:t>
      </w:r>
      <w:r w:rsidR="00A8054B" w:rsidRPr="004A65E7">
        <w:rPr>
          <w:rFonts w:cstheme="minorHAnsi"/>
          <w:sz w:val="28"/>
          <w:szCs w:val="28"/>
        </w:rPr>
        <w:t>all designed to guide your journey and support your independence</w:t>
      </w:r>
      <w:r w:rsidR="00A8054B">
        <w:rPr>
          <w:rFonts w:cstheme="minorHAnsi"/>
          <w:sz w:val="28"/>
          <w:szCs w:val="28"/>
        </w:rPr>
        <w:t>.</w:t>
      </w:r>
    </w:p>
    <w:sectPr w:rsidR="00F81445" w:rsidRPr="004A65E7" w:rsidSect="000A411C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0FDE" w14:textId="77777777" w:rsidR="002C59C6" w:rsidRDefault="002C59C6" w:rsidP="002C59C6">
      <w:pPr>
        <w:spacing w:after="0" w:line="240" w:lineRule="auto"/>
      </w:pPr>
      <w:r>
        <w:separator/>
      </w:r>
    </w:p>
  </w:endnote>
  <w:endnote w:type="continuationSeparator" w:id="0">
    <w:p w14:paraId="7EF7B3E7" w14:textId="77777777" w:rsidR="002C59C6" w:rsidRDefault="002C59C6" w:rsidP="002C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5D3E" w14:textId="5BFBF031" w:rsidR="002C59C6" w:rsidRDefault="002C59C6" w:rsidP="002C59C6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EA33" w14:textId="77777777" w:rsidR="002C59C6" w:rsidRDefault="002C59C6" w:rsidP="002C59C6">
      <w:pPr>
        <w:spacing w:after="0" w:line="240" w:lineRule="auto"/>
      </w:pPr>
      <w:r>
        <w:separator/>
      </w:r>
    </w:p>
  </w:footnote>
  <w:footnote w:type="continuationSeparator" w:id="0">
    <w:p w14:paraId="5FECB181" w14:textId="77777777" w:rsidR="002C59C6" w:rsidRDefault="002C59C6" w:rsidP="002C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9EF"/>
    <w:multiLevelType w:val="hybridMultilevel"/>
    <w:tmpl w:val="22DEF8DE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92D"/>
    <w:multiLevelType w:val="multilevel"/>
    <w:tmpl w:val="D64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5063E"/>
    <w:multiLevelType w:val="hybridMultilevel"/>
    <w:tmpl w:val="4D62369E"/>
    <w:lvl w:ilvl="0" w:tplc="D53CD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439E5"/>
    <w:multiLevelType w:val="hybridMultilevel"/>
    <w:tmpl w:val="77BCF592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12FEF"/>
    <w:multiLevelType w:val="multilevel"/>
    <w:tmpl w:val="B296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37FF"/>
    <w:multiLevelType w:val="multilevel"/>
    <w:tmpl w:val="E46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D7DCF"/>
    <w:multiLevelType w:val="multilevel"/>
    <w:tmpl w:val="98E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53EF0"/>
    <w:multiLevelType w:val="hybridMultilevel"/>
    <w:tmpl w:val="1D0841A0"/>
    <w:lvl w:ilvl="0" w:tplc="F8E2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7403"/>
    <w:multiLevelType w:val="multilevel"/>
    <w:tmpl w:val="C69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53645"/>
    <w:multiLevelType w:val="multilevel"/>
    <w:tmpl w:val="509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72465"/>
    <w:multiLevelType w:val="multilevel"/>
    <w:tmpl w:val="F8C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82335"/>
    <w:multiLevelType w:val="multilevel"/>
    <w:tmpl w:val="AA66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E2310"/>
    <w:multiLevelType w:val="hybridMultilevel"/>
    <w:tmpl w:val="AA6EB83A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2F25"/>
    <w:multiLevelType w:val="hybridMultilevel"/>
    <w:tmpl w:val="CB0E592A"/>
    <w:lvl w:ilvl="0" w:tplc="12466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C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69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0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EC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A7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8F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8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6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EA62EB"/>
    <w:multiLevelType w:val="multilevel"/>
    <w:tmpl w:val="47C8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05CD0"/>
    <w:multiLevelType w:val="multilevel"/>
    <w:tmpl w:val="C4E4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7F2DE0"/>
    <w:multiLevelType w:val="multilevel"/>
    <w:tmpl w:val="34D0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B47D90"/>
    <w:multiLevelType w:val="hybridMultilevel"/>
    <w:tmpl w:val="A80C46EC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266A3"/>
    <w:multiLevelType w:val="multilevel"/>
    <w:tmpl w:val="B2969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C6B6A"/>
    <w:multiLevelType w:val="hybridMultilevel"/>
    <w:tmpl w:val="22F21090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700C6"/>
    <w:multiLevelType w:val="multilevel"/>
    <w:tmpl w:val="B7B2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AA69A1"/>
    <w:multiLevelType w:val="hybridMultilevel"/>
    <w:tmpl w:val="48D6BD3C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6082"/>
    <w:multiLevelType w:val="multilevel"/>
    <w:tmpl w:val="B2969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A38DD"/>
    <w:multiLevelType w:val="hybridMultilevel"/>
    <w:tmpl w:val="90C8AFA6"/>
    <w:lvl w:ilvl="0" w:tplc="0C1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23222"/>
    <w:multiLevelType w:val="multilevel"/>
    <w:tmpl w:val="FB94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BC3947"/>
    <w:multiLevelType w:val="multilevel"/>
    <w:tmpl w:val="14A6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A68C3"/>
    <w:multiLevelType w:val="multilevel"/>
    <w:tmpl w:val="A13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640CCA"/>
    <w:multiLevelType w:val="multilevel"/>
    <w:tmpl w:val="C0D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A5504"/>
    <w:multiLevelType w:val="multilevel"/>
    <w:tmpl w:val="9314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439712">
    <w:abstractNumId w:val="18"/>
  </w:num>
  <w:num w:numId="2" w16cid:durableId="314989335">
    <w:abstractNumId w:val="28"/>
  </w:num>
  <w:num w:numId="3" w16cid:durableId="384842888">
    <w:abstractNumId w:val="11"/>
  </w:num>
  <w:num w:numId="4" w16cid:durableId="1307395978">
    <w:abstractNumId w:val="25"/>
  </w:num>
  <w:num w:numId="5" w16cid:durableId="980157141">
    <w:abstractNumId w:val="8"/>
  </w:num>
  <w:num w:numId="6" w16cid:durableId="1139692136">
    <w:abstractNumId w:val="14"/>
  </w:num>
  <w:num w:numId="7" w16cid:durableId="1699773806">
    <w:abstractNumId w:val="5"/>
  </w:num>
  <w:num w:numId="8" w16cid:durableId="1119881660">
    <w:abstractNumId w:val="9"/>
  </w:num>
  <w:num w:numId="9" w16cid:durableId="254559007">
    <w:abstractNumId w:val="6"/>
  </w:num>
  <w:num w:numId="10" w16cid:durableId="118837032">
    <w:abstractNumId w:val="15"/>
  </w:num>
  <w:num w:numId="11" w16cid:durableId="1831434713">
    <w:abstractNumId w:val="27"/>
  </w:num>
  <w:num w:numId="12" w16cid:durableId="1576935152">
    <w:abstractNumId w:val="2"/>
  </w:num>
  <w:num w:numId="13" w16cid:durableId="792409188">
    <w:abstractNumId w:val="4"/>
  </w:num>
  <w:num w:numId="14" w16cid:durableId="214895451">
    <w:abstractNumId w:val="22"/>
  </w:num>
  <w:num w:numId="15" w16cid:durableId="892739429">
    <w:abstractNumId w:val="7"/>
  </w:num>
  <w:num w:numId="16" w16cid:durableId="1886288146">
    <w:abstractNumId w:val="26"/>
  </w:num>
  <w:num w:numId="17" w16cid:durableId="717553898">
    <w:abstractNumId w:val="24"/>
  </w:num>
  <w:num w:numId="18" w16cid:durableId="2127967742">
    <w:abstractNumId w:val="10"/>
  </w:num>
  <w:num w:numId="19" w16cid:durableId="1622884012">
    <w:abstractNumId w:val="16"/>
  </w:num>
  <w:num w:numId="20" w16cid:durableId="1056508743">
    <w:abstractNumId w:val="20"/>
  </w:num>
  <w:num w:numId="21" w16cid:durableId="784083087">
    <w:abstractNumId w:val="13"/>
  </w:num>
  <w:num w:numId="22" w16cid:durableId="1119910659">
    <w:abstractNumId w:val="1"/>
  </w:num>
  <w:num w:numId="23" w16cid:durableId="934480822">
    <w:abstractNumId w:val="0"/>
  </w:num>
  <w:num w:numId="24" w16cid:durableId="1194538620">
    <w:abstractNumId w:val="23"/>
  </w:num>
  <w:num w:numId="25" w16cid:durableId="2043241293">
    <w:abstractNumId w:val="12"/>
  </w:num>
  <w:num w:numId="26" w16cid:durableId="1057359608">
    <w:abstractNumId w:val="3"/>
  </w:num>
  <w:num w:numId="27" w16cid:durableId="1401291070">
    <w:abstractNumId w:val="17"/>
  </w:num>
  <w:num w:numId="28" w16cid:durableId="1636520156">
    <w:abstractNumId w:val="21"/>
  </w:num>
  <w:num w:numId="29" w16cid:durableId="168022936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352F6"/>
    <w:rsid w:val="000375E1"/>
    <w:rsid w:val="00047E77"/>
    <w:rsid w:val="00054BEA"/>
    <w:rsid w:val="00062796"/>
    <w:rsid w:val="000A411C"/>
    <w:rsid w:val="000A41FE"/>
    <w:rsid w:val="000C6735"/>
    <w:rsid w:val="000D09E9"/>
    <w:rsid w:val="000E1C2D"/>
    <w:rsid w:val="0016662B"/>
    <w:rsid w:val="001D2732"/>
    <w:rsid w:val="002554E0"/>
    <w:rsid w:val="00257A50"/>
    <w:rsid w:val="002C1D3B"/>
    <w:rsid w:val="002C4177"/>
    <w:rsid w:val="002C59C6"/>
    <w:rsid w:val="003538B1"/>
    <w:rsid w:val="00364475"/>
    <w:rsid w:val="00377174"/>
    <w:rsid w:val="003E1A82"/>
    <w:rsid w:val="00497748"/>
    <w:rsid w:val="004A65E7"/>
    <w:rsid w:val="004A7CA6"/>
    <w:rsid w:val="004B57CB"/>
    <w:rsid w:val="004F0E90"/>
    <w:rsid w:val="00526846"/>
    <w:rsid w:val="00541DDF"/>
    <w:rsid w:val="0057702D"/>
    <w:rsid w:val="0058169C"/>
    <w:rsid w:val="005B3844"/>
    <w:rsid w:val="005D5F4B"/>
    <w:rsid w:val="00622A95"/>
    <w:rsid w:val="00633ED1"/>
    <w:rsid w:val="0065350E"/>
    <w:rsid w:val="006A4ACE"/>
    <w:rsid w:val="006C2499"/>
    <w:rsid w:val="006D7C5B"/>
    <w:rsid w:val="006F0EF8"/>
    <w:rsid w:val="006F139A"/>
    <w:rsid w:val="00704F10"/>
    <w:rsid w:val="007250E8"/>
    <w:rsid w:val="00751959"/>
    <w:rsid w:val="007C1F58"/>
    <w:rsid w:val="007D77B1"/>
    <w:rsid w:val="00811A8F"/>
    <w:rsid w:val="00833833"/>
    <w:rsid w:val="008518A3"/>
    <w:rsid w:val="008A0C5C"/>
    <w:rsid w:val="008B02EA"/>
    <w:rsid w:val="008D2771"/>
    <w:rsid w:val="008E540B"/>
    <w:rsid w:val="008F52D8"/>
    <w:rsid w:val="008F6867"/>
    <w:rsid w:val="0090331B"/>
    <w:rsid w:val="00903C37"/>
    <w:rsid w:val="009611EF"/>
    <w:rsid w:val="00962ABE"/>
    <w:rsid w:val="00974367"/>
    <w:rsid w:val="00985759"/>
    <w:rsid w:val="00990623"/>
    <w:rsid w:val="009A701E"/>
    <w:rsid w:val="009C3FD8"/>
    <w:rsid w:val="009D4307"/>
    <w:rsid w:val="009F77AA"/>
    <w:rsid w:val="00A361CD"/>
    <w:rsid w:val="00A8054B"/>
    <w:rsid w:val="00AE1FD1"/>
    <w:rsid w:val="00B928CB"/>
    <w:rsid w:val="00C06F7F"/>
    <w:rsid w:val="00C21986"/>
    <w:rsid w:val="00C370E9"/>
    <w:rsid w:val="00C6706A"/>
    <w:rsid w:val="00C76F66"/>
    <w:rsid w:val="00C81BF9"/>
    <w:rsid w:val="00CB072D"/>
    <w:rsid w:val="00D007F7"/>
    <w:rsid w:val="00D43C72"/>
    <w:rsid w:val="00D527B4"/>
    <w:rsid w:val="00D6228C"/>
    <w:rsid w:val="00D659F2"/>
    <w:rsid w:val="00D81B5D"/>
    <w:rsid w:val="00DC7FDC"/>
    <w:rsid w:val="00DD5EC9"/>
    <w:rsid w:val="00DD7AD0"/>
    <w:rsid w:val="00E04818"/>
    <w:rsid w:val="00E42580"/>
    <w:rsid w:val="00E7691B"/>
    <w:rsid w:val="00ED7EC4"/>
    <w:rsid w:val="00EE3DD0"/>
    <w:rsid w:val="00EE7265"/>
    <w:rsid w:val="00F223F2"/>
    <w:rsid w:val="00F236F0"/>
    <w:rsid w:val="00F5251A"/>
    <w:rsid w:val="00F81445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1B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D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C6"/>
  </w:style>
  <w:style w:type="paragraph" w:styleId="Footer">
    <w:name w:val="footer"/>
    <w:basedOn w:val="Normal"/>
    <w:link w:val="FooterChar"/>
    <w:uiPriority w:val="99"/>
    <w:unhideWhenUsed/>
    <w:rsid w:val="002C5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sa.gov/oact/cola/sga.html" TargetMode="External"/><Relationship Id="rId18" Type="http://schemas.openxmlformats.org/officeDocument/2006/relationships/hyperlink" Target="https://www.youtube.com/@SpotlightonSocialSecurit-wg3r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www.ssa.gov/ssi/text-cdrs-ussi.htm" TargetMode="External"/><Relationship Id="rId17" Type="http://schemas.openxmlformats.org/officeDocument/2006/relationships/hyperlink" Target="https://www.dor.ca.gov/Home/S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sc.gov/find-legal-ai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a.gov/disability/eligibil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cure.ssa.gov/ICON/main.jsp" TargetMode="External"/><Relationship Id="rId10" Type="http://schemas.openxmlformats.org/officeDocument/2006/relationships/hyperlink" Target="https://www.ssa.gov/disability/professionals/bluebook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sa.gov/disability" TargetMode="External"/><Relationship Id="rId14" Type="http://schemas.openxmlformats.org/officeDocument/2006/relationships/hyperlink" Target="https://www.ssa.gov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797</Words>
  <Characters>4397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47</cp:revision>
  <dcterms:created xsi:type="dcterms:W3CDTF">2025-10-21T22:39:00Z</dcterms:created>
  <dcterms:modified xsi:type="dcterms:W3CDTF">2026-01-12T22:30:00Z</dcterms:modified>
</cp:coreProperties>
</file>