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CEDF9" w14:textId="75FB0FF7" w:rsidR="00BE1872" w:rsidRPr="008C434A" w:rsidRDefault="00BE1872" w:rsidP="008C434A">
      <w:pPr>
        <w:pStyle w:val="Heading1"/>
      </w:pPr>
      <w:r w:rsidRPr="008C434A">
        <w:t>California Department of Rehabilitation</w:t>
      </w:r>
    </w:p>
    <w:p w14:paraId="07AA1118" w14:textId="1F1F93D5" w:rsidR="008831E0" w:rsidRPr="008C434A" w:rsidRDefault="008831E0" w:rsidP="008C434A">
      <w:pPr>
        <w:pStyle w:val="Heading1"/>
        <w:rPr>
          <w:u w:val="single"/>
        </w:rPr>
      </w:pPr>
      <w:hyperlink r:id="rId7" w:history="1">
        <w:r w:rsidRPr="008C434A">
          <w:rPr>
            <w:rStyle w:val="Hyperlink"/>
            <w:color w:val="0E2841" w:themeColor="text2"/>
          </w:rPr>
          <w:t>Spotlight on Social Security</w:t>
        </w:r>
      </w:hyperlink>
    </w:p>
    <w:p w14:paraId="02FB0D1D" w14:textId="22B4EA4D" w:rsidR="008831E0" w:rsidRPr="008C434A" w:rsidRDefault="00BE1872" w:rsidP="008C434A">
      <w:pPr>
        <w:pStyle w:val="Heading1"/>
      </w:pPr>
      <w:r w:rsidRPr="008C434A">
        <w:t xml:space="preserve">January 2025 </w:t>
      </w:r>
      <w:r w:rsidR="008831E0" w:rsidRPr="008C434A">
        <w:t xml:space="preserve">Topic of the Month: </w:t>
      </w:r>
      <w:r w:rsidR="005C2DE2" w:rsidRPr="008C434A">
        <w:t>What’s New</w:t>
      </w:r>
      <w:r w:rsidR="008831E0" w:rsidRPr="008C434A">
        <w:t xml:space="preserve"> in </w:t>
      </w:r>
      <w:r w:rsidR="005C2DE2" w:rsidRPr="008C434A">
        <w:t>2025</w:t>
      </w:r>
    </w:p>
    <w:p w14:paraId="1E3669BE" w14:textId="118D4E83" w:rsidR="005C2DE2" w:rsidRPr="00361A1A" w:rsidRDefault="006500E0" w:rsidP="00361A1A">
      <w:pPr>
        <w:pStyle w:val="Subtitle"/>
      </w:pPr>
      <w:r w:rsidRPr="00361A1A">
        <w:t>L</w:t>
      </w:r>
      <w:r w:rsidR="005C2DE2" w:rsidRPr="00361A1A">
        <w:t xml:space="preserve">et’s </w:t>
      </w:r>
      <w:r w:rsidR="00F55DF3" w:rsidRPr="00361A1A">
        <w:t>look</w:t>
      </w:r>
      <w:r w:rsidR="005C2DE2" w:rsidRPr="00361A1A">
        <w:t xml:space="preserve"> at some </w:t>
      </w:r>
      <w:r w:rsidRPr="00361A1A">
        <w:t>2025</w:t>
      </w:r>
      <w:r w:rsidR="005C2DE2" w:rsidRPr="00361A1A">
        <w:t xml:space="preserve"> updates and resources t</w:t>
      </w:r>
      <w:r w:rsidR="00B8408D" w:rsidRPr="00361A1A">
        <w:t>o</w:t>
      </w:r>
      <w:r w:rsidR="005C2DE2" w:rsidRPr="00361A1A">
        <w:t xml:space="preserve"> help you stay informed and take advantage of available benefits and opportunities. </w:t>
      </w:r>
      <w:r w:rsidR="00B8408D" w:rsidRPr="00361A1A">
        <w:t>H</w:t>
      </w:r>
      <w:r w:rsidR="005C2DE2" w:rsidRPr="00361A1A">
        <w:t>ere’s what’s new this year:</w:t>
      </w:r>
    </w:p>
    <w:p w14:paraId="28835E2A" w14:textId="77777777" w:rsidR="005C2DE2" w:rsidRPr="008C434A" w:rsidRDefault="005C2DE2" w:rsidP="008C434A">
      <w:pPr>
        <w:pStyle w:val="Heading2"/>
      </w:pPr>
      <w:r w:rsidRPr="008C434A">
        <w:t>Social Security Administration (SSA) Updates</w:t>
      </w:r>
    </w:p>
    <w:p w14:paraId="52C03751" w14:textId="319E5145" w:rsidR="005C2DE2" w:rsidRPr="00361A1A" w:rsidRDefault="005C2DE2" w:rsidP="005C2DE2">
      <w:pPr>
        <w:numPr>
          <w:ilvl w:val="0"/>
          <w:numId w:val="1"/>
        </w:numPr>
        <w:rPr>
          <w:sz w:val="28"/>
          <w:szCs w:val="28"/>
        </w:rPr>
      </w:pPr>
      <w:r w:rsidRPr="00361A1A">
        <w:rPr>
          <w:b/>
          <w:bCs/>
          <w:sz w:val="28"/>
          <w:szCs w:val="28"/>
        </w:rPr>
        <w:t>Cost of Living Adjustment (COLA):</w:t>
      </w:r>
      <w:r w:rsidRPr="00361A1A">
        <w:rPr>
          <w:sz w:val="28"/>
          <w:szCs w:val="28"/>
        </w:rPr>
        <w:t xml:space="preserve"> Social Security </w:t>
      </w:r>
      <w:r w:rsidR="00B8408D" w:rsidRPr="00361A1A">
        <w:rPr>
          <w:sz w:val="28"/>
          <w:szCs w:val="28"/>
        </w:rPr>
        <w:t>checks</w:t>
      </w:r>
      <w:r w:rsidRPr="00361A1A">
        <w:rPr>
          <w:sz w:val="28"/>
          <w:szCs w:val="28"/>
        </w:rPr>
        <w:t xml:space="preserve"> will see a </w:t>
      </w:r>
      <w:r w:rsidR="00B8408D" w:rsidRPr="00361A1A">
        <w:rPr>
          <w:sz w:val="28"/>
          <w:szCs w:val="28"/>
        </w:rPr>
        <w:t xml:space="preserve">2.5% </w:t>
      </w:r>
      <w:r w:rsidRPr="00361A1A">
        <w:rPr>
          <w:sz w:val="28"/>
          <w:szCs w:val="28"/>
        </w:rPr>
        <w:t>COLA increase, aimed at helping benefits keep pace with inflation. This adjustment affects retirement, disability, and survivor benefits.</w:t>
      </w:r>
    </w:p>
    <w:p w14:paraId="56E23B94" w14:textId="512FADB0" w:rsidR="00E65FC3" w:rsidRPr="00361A1A" w:rsidRDefault="00E65FC3" w:rsidP="005C2DE2">
      <w:pPr>
        <w:numPr>
          <w:ilvl w:val="0"/>
          <w:numId w:val="1"/>
        </w:numPr>
        <w:rPr>
          <w:sz w:val="28"/>
          <w:szCs w:val="28"/>
        </w:rPr>
      </w:pPr>
      <w:r w:rsidRPr="00361A1A">
        <w:rPr>
          <w:b/>
          <w:bCs/>
          <w:sz w:val="28"/>
          <w:szCs w:val="28"/>
        </w:rPr>
        <w:t>Substantial Gainful Activity (SGA) Amount:</w:t>
      </w:r>
      <w:r w:rsidRPr="00361A1A">
        <w:rPr>
          <w:sz w:val="28"/>
          <w:szCs w:val="28"/>
        </w:rPr>
        <w:t xml:space="preserve"> $1,620 for non-blind individuals, $2,700 for blind individuals.</w:t>
      </w:r>
    </w:p>
    <w:p w14:paraId="4E925344" w14:textId="5D4CE75C" w:rsidR="00E65FC3" w:rsidRPr="00361A1A" w:rsidRDefault="00E65FC3" w:rsidP="005C2DE2">
      <w:pPr>
        <w:numPr>
          <w:ilvl w:val="0"/>
          <w:numId w:val="1"/>
        </w:numPr>
        <w:rPr>
          <w:sz w:val="28"/>
          <w:szCs w:val="28"/>
        </w:rPr>
      </w:pPr>
      <w:r w:rsidRPr="00361A1A">
        <w:rPr>
          <w:b/>
          <w:bCs/>
          <w:sz w:val="28"/>
          <w:szCs w:val="28"/>
        </w:rPr>
        <w:t>Trial Work Period (TWP) Amount:</w:t>
      </w:r>
      <w:r w:rsidRPr="00361A1A">
        <w:rPr>
          <w:sz w:val="28"/>
          <w:szCs w:val="28"/>
        </w:rPr>
        <w:t xml:space="preserve"> $1,160 per month.</w:t>
      </w:r>
    </w:p>
    <w:p w14:paraId="4436F93D" w14:textId="37BF26CD" w:rsidR="007C53F8" w:rsidRPr="00361A1A" w:rsidRDefault="00E65FC3" w:rsidP="005C2DE2">
      <w:pPr>
        <w:numPr>
          <w:ilvl w:val="0"/>
          <w:numId w:val="1"/>
        </w:numPr>
        <w:rPr>
          <w:sz w:val="28"/>
          <w:szCs w:val="28"/>
        </w:rPr>
      </w:pPr>
      <w:r w:rsidRPr="00361A1A">
        <w:rPr>
          <w:b/>
          <w:bCs/>
          <w:sz w:val="28"/>
          <w:szCs w:val="28"/>
        </w:rPr>
        <w:t>Student Earned Income Exclusion:</w:t>
      </w:r>
      <w:r w:rsidRPr="00361A1A">
        <w:rPr>
          <w:sz w:val="28"/>
          <w:szCs w:val="28"/>
        </w:rPr>
        <w:t xml:space="preserve"> SSA will exclude $2,350 per month, up to $9,460 per year for students regularly attending school.</w:t>
      </w:r>
    </w:p>
    <w:p w14:paraId="3316F1E6" w14:textId="355D013C" w:rsidR="005C2DE2" w:rsidRPr="00361A1A" w:rsidRDefault="005C2DE2" w:rsidP="00FE4E43">
      <w:pPr>
        <w:numPr>
          <w:ilvl w:val="0"/>
          <w:numId w:val="1"/>
        </w:numPr>
        <w:rPr>
          <w:sz w:val="28"/>
          <w:szCs w:val="28"/>
        </w:rPr>
      </w:pPr>
      <w:r w:rsidRPr="00361A1A">
        <w:rPr>
          <w:b/>
          <w:bCs/>
          <w:sz w:val="28"/>
          <w:szCs w:val="28"/>
        </w:rPr>
        <w:t>Earnings Limits:</w:t>
      </w:r>
      <w:r w:rsidRPr="00361A1A">
        <w:rPr>
          <w:sz w:val="28"/>
          <w:szCs w:val="28"/>
        </w:rPr>
        <w:t xml:space="preserve"> For individuals who receive benefits but continue to work, the annual earnings limit has increased. The new threshold for individuals under full retirement age </w:t>
      </w:r>
      <w:r w:rsidRPr="00556B34">
        <w:rPr>
          <w:sz w:val="28"/>
          <w:szCs w:val="28"/>
        </w:rPr>
        <w:t>is $</w:t>
      </w:r>
      <w:r w:rsidR="0011724E" w:rsidRPr="00556B34">
        <w:rPr>
          <w:sz w:val="28"/>
          <w:szCs w:val="28"/>
        </w:rPr>
        <w:t>62,160</w:t>
      </w:r>
      <w:r w:rsidR="00A07779" w:rsidRPr="00361A1A">
        <w:rPr>
          <w:sz w:val="28"/>
          <w:szCs w:val="28"/>
        </w:rPr>
        <w:t>.</w:t>
      </w:r>
    </w:p>
    <w:p w14:paraId="10C42A61" w14:textId="18D360E7" w:rsidR="007C53F8" w:rsidRDefault="007C53F8" w:rsidP="00FE4E43">
      <w:pPr>
        <w:numPr>
          <w:ilvl w:val="0"/>
          <w:numId w:val="1"/>
        </w:numPr>
        <w:rPr>
          <w:sz w:val="28"/>
          <w:szCs w:val="28"/>
        </w:rPr>
      </w:pPr>
      <w:r w:rsidRPr="00361A1A">
        <w:rPr>
          <w:b/>
          <w:bCs/>
          <w:sz w:val="28"/>
          <w:szCs w:val="28"/>
        </w:rPr>
        <w:t xml:space="preserve">Public Assistance </w:t>
      </w:r>
      <w:r w:rsidR="00A07779" w:rsidRPr="00361A1A">
        <w:rPr>
          <w:b/>
          <w:bCs/>
          <w:sz w:val="28"/>
          <w:szCs w:val="28"/>
        </w:rPr>
        <w:t xml:space="preserve">(PA) </w:t>
      </w:r>
      <w:r w:rsidRPr="00361A1A">
        <w:rPr>
          <w:b/>
          <w:bCs/>
          <w:sz w:val="28"/>
          <w:szCs w:val="28"/>
        </w:rPr>
        <w:t>Household:</w:t>
      </w:r>
      <w:r w:rsidRPr="00361A1A">
        <w:rPr>
          <w:sz w:val="28"/>
          <w:szCs w:val="28"/>
        </w:rPr>
        <w:t xml:space="preserve"> If you and at least one other person in your household receives CalFresh or other “needs based” assistance, you will be considered a PA Household. This will no longer negatively impact your SSI cash benefit amount.</w:t>
      </w:r>
    </w:p>
    <w:p w14:paraId="5E3AFF01" w14:textId="16E6AC12" w:rsidR="009C5528" w:rsidRPr="009C5528" w:rsidRDefault="009C5528" w:rsidP="009C5528">
      <w:pPr>
        <w:numPr>
          <w:ilvl w:val="0"/>
          <w:numId w:val="1"/>
        </w:numPr>
        <w:rPr>
          <w:sz w:val="28"/>
          <w:szCs w:val="28"/>
        </w:rPr>
      </w:pPr>
      <w:r w:rsidRPr="00361A1A">
        <w:rPr>
          <w:b/>
          <w:bCs/>
          <w:sz w:val="28"/>
          <w:szCs w:val="28"/>
        </w:rPr>
        <w:t>Expansion of Rental Subsidy:</w:t>
      </w:r>
      <w:r w:rsidRPr="00361A1A">
        <w:rPr>
          <w:sz w:val="28"/>
          <w:szCs w:val="28"/>
        </w:rPr>
        <w:t xml:space="preserve"> Starting in 2025, if you pay at least $342.33 in rent (the "Presumed Maximum Value"), the new subsidy rules may apply to you. This amount will no longer reduce your SSI benefits.</w:t>
      </w:r>
    </w:p>
    <w:p w14:paraId="76029D6F" w14:textId="247A0AF8" w:rsidR="006A1AB8" w:rsidRPr="00361A1A" w:rsidRDefault="006A1AB8" w:rsidP="005C2DE2">
      <w:pPr>
        <w:numPr>
          <w:ilvl w:val="0"/>
          <w:numId w:val="1"/>
        </w:numPr>
        <w:rPr>
          <w:sz w:val="28"/>
          <w:szCs w:val="28"/>
        </w:rPr>
      </w:pPr>
      <w:r w:rsidRPr="00361A1A">
        <w:rPr>
          <w:b/>
          <w:bCs/>
          <w:sz w:val="28"/>
          <w:szCs w:val="28"/>
        </w:rPr>
        <w:t>Social Security Credits</w:t>
      </w:r>
      <w:r w:rsidRPr="00361A1A">
        <w:rPr>
          <w:sz w:val="28"/>
          <w:szCs w:val="28"/>
        </w:rPr>
        <w:t xml:space="preserve">: The amount needed to earn one Social Security credit will rise </w:t>
      </w:r>
      <w:r w:rsidRPr="00556B34">
        <w:rPr>
          <w:sz w:val="28"/>
          <w:szCs w:val="28"/>
        </w:rPr>
        <w:t>from $1,730 to $1,810.</w:t>
      </w:r>
    </w:p>
    <w:p w14:paraId="26034485" w14:textId="003949E6" w:rsidR="0011724E" w:rsidRPr="00361A1A" w:rsidRDefault="0011724E" w:rsidP="005C2DE2">
      <w:pPr>
        <w:numPr>
          <w:ilvl w:val="0"/>
          <w:numId w:val="1"/>
        </w:numPr>
        <w:rPr>
          <w:sz w:val="28"/>
          <w:szCs w:val="28"/>
        </w:rPr>
      </w:pPr>
      <w:r w:rsidRPr="00361A1A">
        <w:rPr>
          <w:b/>
          <w:bCs/>
          <w:sz w:val="28"/>
          <w:szCs w:val="28"/>
        </w:rPr>
        <w:t>Full retirement age (FRA):</w:t>
      </w:r>
      <w:r w:rsidRPr="00361A1A">
        <w:rPr>
          <w:sz w:val="28"/>
          <w:szCs w:val="28"/>
        </w:rPr>
        <w:t xml:space="preserve"> FRA is 66 years and 8 months for people born in 1958 and 66 and 10 months for those born in 1959</w:t>
      </w:r>
      <w:r w:rsidR="008018E6" w:rsidRPr="00361A1A">
        <w:rPr>
          <w:sz w:val="28"/>
          <w:szCs w:val="28"/>
        </w:rPr>
        <w:t>.</w:t>
      </w:r>
      <w:r w:rsidRPr="00361A1A">
        <w:rPr>
          <w:sz w:val="28"/>
          <w:szCs w:val="28"/>
        </w:rPr>
        <w:t xml:space="preserve"> (Under current law, it will settle at 67 for people born in 1960 and afterward.)</w:t>
      </w:r>
    </w:p>
    <w:p w14:paraId="124AC55F" w14:textId="1B0FA428" w:rsidR="005C2DE2" w:rsidRPr="00361A1A" w:rsidRDefault="005C2DE2" w:rsidP="005C2DE2">
      <w:pPr>
        <w:numPr>
          <w:ilvl w:val="0"/>
          <w:numId w:val="1"/>
        </w:numPr>
        <w:rPr>
          <w:sz w:val="28"/>
          <w:szCs w:val="28"/>
        </w:rPr>
      </w:pPr>
      <w:r w:rsidRPr="00361A1A">
        <w:rPr>
          <w:b/>
          <w:bCs/>
          <w:sz w:val="28"/>
          <w:szCs w:val="28"/>
        </w:rPr>
        <w:t>Online Services Expansion:</w:t>
      </w:r>
      <w:r w:rsidRPr="00361A1A">
        <w:rPr>
          <w:sz w:val="28"/>
          <w:szCs w:val="28"/>
        </w:rPr>
        <w:t xml:space="preserve"> SSA has launched additional tools to make applying for benefits, updating personal information, and accessing records more convenient online.</w:t>
      </w:r>
      <w:r w:rsidR="00CF4B29" w:rsidRPr="00361A1A">
        <w:rPr>
          <w:sz w:val="28"/>
          <w:szCs w:val="28"/>
        </w:rPr>
        <w:t xml:space="preserve"> </w:t>
      </w:r>
      <w:r w:rsidR="000D64AC" w:rsidRPr="00361A1A">
        <w:rPr>
          <w:sz w:val="28"/>
          <w:szCs w:val="28"/>
        </w:rPr>
        <w:t>E</w:t>
      </w:r>
      <w:r w:rsidR="00CF4B29" w:rsidRPr="00361A1A">
        <w:rPr>
          <w:sz w:val="28"/>
          <w:szCs w:val="28"/>
        </w:rPr>
        <w:t>xample</w:t>
      </w:r>
      <w:r w:rsidR="000D64AC" w:rsidRPr="00361A1A">
        <w:rPr>
          <w:sz w:val="28"/>
          <w:szCs w:val="28"/>
        </w:rPr>
        <w:t>s- Y</w:t>
      </w:r>
      <w:r w:rsidR="00CF4B29" w:rsidRPr="00361A1A">
        <w:rPr>
          <w:sz w:val="28"/>
          <w:szCs w:val="28"/>
        </w:rPr>
        <w:t>ou can now complete and submit the Medical Continuing Disability Review Report</w:t>
      </w:r>
      <w:r w:rsidR="00A079AB" w:rsidRPr="00361A1A">
        <w:rPr>
          <w:sz w:val="28"/>
          <w:szCs w:val="28"/>
        </w:rPr>
        <w:t>, or even apply for Extra Help with Medicare Prescription Drug Costs online!</w:t>
      </w:r>
    </w:p>
    <w:p w14:paraId="441B72C7" w14:textId="1FE9B9B6" w:rsidR="006A1AB8" w:rsidRPr="00361A1A" w:rsidRDefault="006A1AB8" w:rsidP="005C2DE2">
      <w:pPr>
        <w:numPr>
          <w:ilvl w:val="0"/>
          <w:numId w:val="1"/>
        </w:numPr>
        <w:rPr>
          <w:sz w:val="28"/>
          <w:szCs w:val="28"/>
        </w:rPr>
      </w:pPr>
      <w:r w:rsidRPr="00361A1A">
        <w:rPr>
          <w:b/>
          <w:bCs/>
          <w:sz w:val="28"/>
          <w:szCs w:val="28"/>
        </w:rPr>
        <w:t>Service at Social Security offices</w:t>
      </w:r>
      <w:r w:rsidR="0011724E" w:rsidRPr="00361A1A">
        <w:rPr>
          <w:b/>
          <w:bCs/>
          <w:sz w:val="28"/>
          <w:szCs w:val="28"/>
        </w:rPr>
        <w:t>:</w:t>
      </w:r>
      <w:r w:rsidR="0011724E" w:rsidRPr="00361A1A">
        <w:rPr>
          <w:sz w:val="28"/>
          <w:szCs w:val="28"/>
        </w:rPr>
        <w:t xml:space="preserve"> </w:t>
      </w:r>
      <w:r w:rsidRPr="00361A1A">
        <w:rPr>
          <w:sz w:val="28"/>
          <w:szCs w:val="28"/>
        </w:rPr>
        <w:t>Starting Jan. 6,</w:t>
      </w:r>
      <w:r w:rsidR="0011724E" w:rsidRPr="00361A1A">
        <w:rPr>
          <w:sz w:val="28"/>
          <w:szCs w:val="28"/>
        </w:rPr>
        <w:t xml:space="preserve"> SSA</w:t>
      </w:r>
      <w:r w:rsidRPr="00361A1A">
        <w:rPr>
          <w:sz w:val="28"/>
          <w:szCs w:val="28"/>
        </w:rPr>
        <w:t xml:space="preserve"> will require customers to schedule an appointment for service in field offices</w:t>
      </w:r>
      <w:r w:rsidR="0011724E" w:rsidRPr="00361A1A">
        <w:rPr>
          <w:sz w:val="28"/>
          <w:szCs w:val="28"/>
        </w:rPr>
        <w:t xml:space="preserve">. </w:t>
      </w:r>
      <w:r w:rsidRPr="00361A1A">
        <w:rPr>
          <w:sz w:val="28"/>
          <w:szCs w:val="28"/>
        </w:rPr>
        <w:t xml:space="preserve">The aim is to reduce wait </w:t>
      </w:r>
      <w:r w:rsidRPr="00361A1A">
        <w:rPr>
          <w:sz w:val="28"/>
          <w:szCs w:val="28"/>
        </w:rPr>
        <w:lastRenderedPageBreak/>
        <w:t>times, streamline service delivery and improve the overall customer experience</w:t>
      </w:r>
      <w:r w:rsidR="0011724E" w:rsidRPr="00361A1A">
        <w:rPr>
          <w:sz w:val="28"/>
          <w:szCs w:val="28"/>
        </w:rPr>
        <w:t xml:space="preserve">. </w:t>
      </w:r>
      <w:r w:rsidRPr="00361A1A">
        <w:rPr>
          <w:sz w:val="28"/>
          <w:szCs w:val="28"/>
        </w:rPr>
        <w:br/>
        <w:t>To schedule an office visit, call the SSA’s national help line at 800-772-1213 or </w:t>
      </w:r>
      <w:hyperlink r:id="rId8" w:tgtFrame="_blank" w:history="1">
        <w:r w:rsidRPr="00361A1A">
          <w:rPr>
            <w:rStyle w:val="Hyperlink"/>
            <w:sz w:val="28"/>
            <w:szCs w:val="28"/>
          </w:rPr>
          <w:t>contact your local office</w:t>
        </w:r>
      </w:hyperlink>
      <w:r w:rsidRPr="00361A1A">
        <w:rPr>
          <w:sz w:val="28"/>
          <w:szCs w:val="28"/>
        </w:rPr>
        <w:t>. You can also </w:t>
      </w:r>
      <w:hyperlink r:id="rId9" w:tgtFrame="_blank" w:history="1">
        <w:r w:rsidRPr="00361A1A">
          <w:rPr>
            <w:rStyle w:val="Hyperlink"/>
            <w:sz w:val="28"/>
            <w:szCs w:val="28"/>
          </w:rPr>
          <w:t>access many SSA services online</w:t>
        </w:r>
      </w:hyperlink>
      <w:r w:rsidRPr="00361A1A">
        <w:rPr>
          <w:sz w:val="28"/>
          <w:szCs w:val="28"/>
        </w:rPr>
        <w:t>, if you </w:t>
      </w:r>
      <w:hyperlink r:id="rId10" w:tgtFrame="_blank" w:history="1">
        <w:r w:rsidRPr="00361A1A">
          <w:rPr>
            <w:rStyle w:val="Hyperlink"/>
            <w:sz w:val="28"/>
            <w:szCs w:val="28"/>
          </w:rPr>
          <w:t>have a My Social Security account</w:t>
        </w:r>
      </w:hyperlink>
      <w:r w:rsidRPr="00361A1A">
        <w:rPr>
          <w:sz w:val="28"/>
          <w:szCs w:val="28"/>
        </w:rPr>
        <w:t>, or </w:t>
      </w:r>
      <w:hyperlink r:id="rId11" w:tgtFrame="_blank" w:history="1">
        <w:r w:rsidRPr="00361A1A">
          <w:rPr>
            <w:rStyle w:val="Hyperlink"/>
            <w:sz w:val="28"/>
            <w:szCs w:val="28"/>
          </w:rPr>
          <w:t>by phone</w:t>
        </w:r>
      </w:hyperlink>
      <w:r w:rsidRPr="00361A1A">
        <w:rPr>
          <w:sz w:val="28"/>
          <w:szCs w:val="28"/>
        </w:rPr>
        <w:t>.</w:t>
      </w:r>
      <w:r w:rsidRPr="00361A1A">
        <w:rPr>
          <w:sz w:val="28"/>
          <w:szCs w:val="28"/>
        </w:rPr>
        <w:br/>
      </w:r>
      <w:r w:rsidR="00143E6F" w:rsidRPr="00361A1A">
        <w:rPr>
          <w:sz w:val="28"/>
          <w:szCs w:val="28"/>
        </w:rPr>
        <w:t>*</w:t>
      </w:r>
      <w:r w:rsidR="0011724E" w:rsidRPr="00361A1A">
        <w:rPr>
          <w:sz w:val="28"/>
          <w:szCs w:val="28"/>
        </w:rPr>
        <w:t>Exclusion:</w:t>
      </w:r>
      <w:r w:rsidRPr="00361A1A">
        <w:rPr>
          <w:sz w:val="28"/>
          <w:szCs w:val="28"/>
        </w:rPr>
        <w:t xml:space="preserve"> </w:t>
      </w:r>
      <w:r w:rsidR="0011724E" w:rsidRPr="00361A1A">
        <w:rPr>
          <w:sz w:val="28"/>
          <w:szCs w:val="28"/>
        </w:rPr>
        <w:t>M</w:t>
      </w:r>
      <w:r w:rsidRPr="00361A1A">
        <w:rPr>
          <w:sz w:val="28"/>
          <w:szCs w:val="28"/>
        </w:rPr>
        <w:t>embers of vulnerable populations, military personnel, people with terminal illnesses and individuals with other situations requiring immediate or specialized attention may still walk in for service at field offices</w:t>
      </w:r>
      <w:r w:rsidR="0011724E" w:rsidRPr="00361A1A">
        <w:rPr>
          <w:sz w:val="28"/>
          <w:szCs w:val="28"/>
        </w:rPr>
        <w:t>.</w:t>
      </w:r>
    </w:p>
    <w:p w14:paraId="488D741E" w14:textId="3554DA7D" w:rsidR="00BC2EF3" w:rsidRPr="00361A1A" w:rsidRDefault="00BC2EF3" w:rsidP="00BC2EF3">
      <w:pPr>
        <w:numPr>
          <w:ilvl w:val="0"/>
          <w:numId w:val="1"/>
        </w:numPr>
        <w:rPr>
          <w:sz w:val="28"/>
          <w:szCs w:val="28"/>
        </w:rPr>
      </w:pPr>
      <w:r w:rsidRPr="00361A1A">
        <w:rPr>
          <w:b/>
          <w:bCs/>
          <w:sz w:val="28"/>
          <w:szCs w:val="28"/>
        </w:rPr>
        <w:t>Faster Processing for Certain Conditions:</w:t>
      </w:r>
      <w:r w:rsidRPr="00361A1A">
        <w:rPr>
          <w:sz w:val="28"/>
          <w:szCs w:val="28"/>
        </w:rPr>
        <w:t xml:space="preserve"> SSA has expanded its Compassionate Allowances program for 2025 to include additional medical conditions such as early-onset Alzheimer’s disease and several other neurodegenerative (brain degenerative) disorders, speeding up approval times for disability benefits.</w:t>
      </w:r>
    </w:p>
    <w:p w14:paraId="6B10D7D9" w14:textId="43F0CA86" w:rsidR="005C2DE2" w:rsidRPr="00361A1A" w:rsidRDefault="005C2DE2" w:rsidP="005C2DE2">
      <w:pPr>
        <w:rPr>
          <w:sz w:val="28"/>
          <w:szCs w:val="28"/>
        </w:rPr>
      </w:pPr>
      <w:r w:rsidRPr="00361A1A">
        <w:rPr>
          <w:sz w:val="28"/>
          <w:szCs w:val="28"/>
        </w:rPr>
        <w:t>For detailed information</w:t>
      </w:r>
      <w:r w:rsidR="00B56C98" w:rsidRPr="00361A1A">
        <w:rPr>
          <w:sz w:val="28"/>
          <w:szCs w:val="28"/>
        </w:rPr>
        <w:t xml:space="preserve"> on any</w:t>
      </w:r>
      <w:r w:rsidR="000D64AC" w:rsidRPr="00361A1A">
        <w:rPr>
          <w:sz w:val="28"/>
          <w:szCs w:val="28"/>
        </w:rPr>
        <w:t>thing above</w:t>
      </w:r>
      <w:r w:rsidR="00B56C98" w:rsidRPr="00361A1A">
        <w:rPr>
          <w:sz w:val="28"/>
          <w:szCs w:val="28"/>
        </w:rPr>
        <w:t xml:space="preserve"> or other topics</w:t>
      </w:r>
      <w:r w:rsidRPr="00361A1A">
        <w:rPr>
          <w:sz w:val="28"/>
          <w:szCs w:val="28"/>
        </w:rPr>
        <w:t xml:space="preserve">, visit </w:t>
      </w:r>
      <w:hyperlink r:id="rId12" w:history="1">
        <w:r w:rsidRPr="00361A1A">
          <w:rPr>
            <w:rStyle w:val="Hyperlink"/>
            <w:sz w:val="28"/>
            <w:szCs w:val="28"/>
          </w:rPr>
          <w:t>ssa.gov</w:t>
        </w:r>
      </w:hyperlink>
      <w:r w:rsidRPr="00361A1A">
        <w:rPr>
          <w:sz w:val="28"/>
          <w:szCs w:val="28"/>
        </w:rPr>
        <w:t>.</w:t>
      </w:r>
    </w:p>
    <w:p w14:paraId="00358510" w14:textId="77777777" w:rsidR="005C2DE2" w:rsidRPr="00361A1A" w:rsidRDefault="005C2DE2" w:rsidP="008C434A">
      <w:pPr>
        <w:pStyle w:val="Heading2"/>
      </w:pPr>
      <w:r w:rsidRPr="00361A1A">
        <w:t>Disability Benefits</w:t>
      </w:r>
    </w:p>
    <w:p w14:paraId="17CAD02D" w14:textId="2439ABF8" w:rsidR="005C2DE2" w:rsidRPr="00361A1A" w:rsidRDefault="005C2DE2" w:rsidP="005C2DE2">
      <w:pPr>
        <w:numPr>
          <w:ilvl w:val="0"/>
          <w:numId w:val="2"/>
        </w:numPr>
        <w:rPr>
          <w:sz w:val="28"/>
          <w:szCs w:val="28"/>
        </w:rPr>
      </w:pPr>
      <w:r w:rsidRPr="00361A1A">
        <w:rPr>
          <w:b/>
          <w:bCs/>
          <w:sz w:val="28"/>
          <w:szCs w:val="28"/>
        </w:rPr>
        <w:t xml:space="preserve">California </w:t>
      </w:r>
      <w:hyperlink r:id="rId13" w:history="1">
        <w:r w:rsidRPr="006A64AF">
          <w:rPr>
            <w:rStyle w:val="Hyperlink"/>
            <w:b/>
            <w:bCs/>
            <w:sz w:val="28"/>
            <w:szCs w:val="28"/>
          </w:rPr>
          <w:t>State Disability Insurance</w:t>
        </w:r>
      </w:hyperlink>
      <w:r w:rsidRPr="00361A1A">
        <w:rPr>
          <w:b/>
          <w:bCs/>
          <w:sz w:val="28"/>
          <w:szCs w:val="28"/>
        </w:rPr>
        <w:t xml:space="preserve"> (SDI) Changes:</w:t>
      </w:r>
      <w:r w:rsidRPr="00361A1A">
        <w:rPr>
          <w:sz w:val="28"/>
          <w:szCs w:val="28"/>
        </w:rPr>
        <w:t xml:space="preserve"> Updates to SDI benefits include an increase in maximum weekly benefit amounts and a streamlined claims process through an enhanced online portal.</w:t>
      </w:r>
    </w:p>
    <w:p w14:paraId="6B47E564" w14:textId="079662A8" w:rsidR="005C2DE2" w:rsidRPr="00361A1A" w:rsidRDefault="005C2DE2" w:rsidP="005C2DE2">
      <w:pPr>
        <w:rPr>
          <w:sz w:val="28"/>
          <w:szCs w:val="28"/>
        </w:rPr>
      </w:pPr>
      <w:r w:rsidRPr="00361A1A">
        <w:rPr>
          <w:sz w:val="28"/>
          <w:szCs w:val="28"/>
        </w:rPr>
        <w:t xml:space="preserve">Find </w:t>
      </w:r>
      <w:r w:rsidR="006D23C8" w:rsidRPr="00361A1A">
        <w:rPr>
          <w:sz w:val="28"/>
          <w:szCs w:val="28"/>
        </w:rPr>
        <w:t xml:space="preserve">more </w:t>
      </w:r>
      <w:r w:rsidR="00BC2EF3" w:rsidRPr="00361A1A">
        <w:rPr>
          <w:sz w:val="28"/>
          <w:szCs w:val="28"/>
        </w:rPr>
        <w:t>information and</w:t>
      </w:r>
      <w:r w:rsidRPr="00361A1A">
        <w:rPr>
          <w:sz w:val="28"/>
          <w:szCs w:val="28"/>
        </w:rPr>
        <w:t xml:space="preserve"> resources </w:t>
      </w:r>
      <w:r w:rsidR="00BC2EF3" w:rsidRPr="00361A1A">
        <w:rPr>
          <w:sz w:val="28"/>
          <w:szCs w:val="28"/>
        </w:rPr>
        <w:t xml:space="preserve">visit EDD at </w:t>
      </w:r>
      <w:hyperlink r:id="rId14" w:history="1">
        <w:r w:rsidR="00BC2EF3" w:rsidRPr="00361A1A">
          <w:rPr>
            <w:rStyle w:val="Hyperlink"/>
            <w:sz w:val="28"/>
            <w:szCs w:val="28"/>
          </w:rPr>
          <w:t>edd.ca.gov/</w:t>
        </w:r>
      </w:hyperlink>
      <w:r w:rsidRPr="00361A1A">
        <w:rPr>
          <w:sz w:val="28"/>
          <w:szCs w:val="28"/>
        </w:rPr>
        <w:t>.</w:t>
      </w:r>
    </w:p>
    <w:p w14:paraId="7017391B" w14:textId="77777777" w:rsidR="005C2DE2" w:rsidRPr="00361A1A" w:rsidRDefault="005C2DE2" w:rsidP="008C434A">
      <w:pPr>
        <w:pStyle w:val="Heading2"/>
      </w:pPr>
      <w:r w:rsidRPr="00361A1A">
        <w:t>California State and Local Benefits</w:t>
      </w:r>
    </w:p>
    <w:p w14:paraId="048BF03B" w14:textId="225289FC" w:rsidR="00E65FC3" w:rsidRPr="00361A1A" w:rsidRDefault="00E65FC3" w:rsidP="00E65FC3">
      <w:pPr>
        <w:pStyle w:val="ListParagraph"/>
        <w:numPr>
          <w:ilvl w:val="0"/>
          <w:numId w:val="4"/>
        </w:numPr>
        <w:rPr>
          <w:sz w:val="28"/>
          <w:szCs w:val="28"/>
        </w:rPr>
      </w:pPr>
      <w:hyperlink r:id="rId15" w:history="1">
        <w:r w:rsidRPr="009A58E9">
          <w:rPr>
            <w:rStyle w:val="Hyperlink"/>
            <w:b/>
            <w:bCs/>
            <w:sz w:val="28"/>
            <w:szCs w:val="28"/>
          </w:rPr>
          <w:t>Medicare</w:t>
        </w:r>
      </w:hyperlink>
      <w:r w:rsidRPr="00361A1A">
        <w:rPr>
          <w:b/>
          <w:bCs/>
          <w:sz w:val="28"/>
          <w:szCs w:val="28"/>
        </w:rPr>
        <w:t xml:space="preserve"> Premiums</w:t>
      </w:r>
      <w:r w:rsidRPr="00361A1A">
        <w:rPr>
          <w:sz w:val="28"/>
          <w:szCs w:val="28"/>
        </w:rPr>
        <w:t>: The standard monthly premium for Medicare Part A will increase to $518 ($285 if you qualify for the reduce premium). The standard monthly premium for Medicare Part B will increase to $185.</w:t>
      </w:r>
    </w:p>
    <w:p w14:paraId="45F6B7DF" w14:textId="55E1B1CB" w:rsidR="005C2DE2" w:rsidRPr="00361A1A" w:rsidRDefault="005C2DE2" w:rsidP="009A345A">
      <w:pPr>
        <w:numPr>
          <w:ilvl w:val="0"/>
          <w:numId w:val="4"/>
        </w:numPr>
        <w:rPr>
          <w:sz w:val="28"/>
          <w:szCs w:val="28"/>
        </w:rPr>
      </w:pPr>
      <w:hyperlink r:id="rId16" w:history="1">
        <w:r w:rsidRPr="006F00FD">
          <w:rPr>
            <w:rStyle w:val="Hyperlink"/>
            <w:b/>
            <w:bCs/>
            <w:sz w:val="28"/>
            <w:szCs w:val="28"/>
          </w:rPr>
          <w:t xml:space="preserve">Medi-Cal </w:t>
        </w:r>
        <w:r w:rsidR="009A345A" w:rsidRPr="006F00FD">
          <w:rPr>
            <w:rStyle w:val="Hyperlink"/>
            <w:b/>
            <w:bCs/>
            <w:sz w:val="28"/>
            <w:szCs w:val="28"/>
          </w:rPr>
          <w:t>Meets Medicare</w:t>
        </w:r>
      </w:hyperlink>
      <w:r w:rsidRPr="00361A1A">
        <w:rPr>
          <w:b/>
          <w:bCs/>
          <w:sz w:val="28"/>
          <w:szCs w:val="28"/>
        </w:rPr>
        <w:t>:</w:t>
      </w:r>
      <w:r w:rsidRPr="00361A1A">
        <w:rPr>
          <w:sz w:val="28"/>
          <w:szCs w:val="28"/>
        </w:rPr>
        <w:t xml:space="preserve"> </w:t>
      </w:r>
      <w:r w:rsidR="00A079AB" w:rsidRPr="00361A1A">
        <w:rPr>
          <w:sz w:val="28"/>
          <w:szCs w:val="28"/>
        </w:rPr>
        <w:t>Starting January 1, 2025, eligible Medi-Cal members in California will get free Medicare Part A services if they are already enrolled in Medicare Part B and qualify for the Qualified Medicare Beneficiary (QMB) program. For these members, Medicare will cover hospital stays and other inpatient benefits instead of Medi-Cal. This new agreement means that California can enroll eligible QMB members in Medicare Part A throughout the year without any late enrollment penalties.</w:t>
      </w:r>
    </w:p>
    <w:p w14:paraId="24F8B19E" w14:textId="177068AB" w:rsidR="005C2DE2" w:rsidRPr="00361A1A" w:rsidRDefault="005C2DE2" w:rsidP="005C2DE2">
      <w:pPr>
        <w:numPr>
          <w:ilvl w:val="0"/>
          <w:numId w:val="4"/>
        </w:numPr>
        <w:rPr>
          <w:sz w:val="28"/>
          <w:szCs w:val="28"/>
        </w:rPr>
      </w:pPr>
      <w:hyperlink r:id="rId17" w:history="1">
        <w:r w:rsidRPr="009A58E9">
          <w:rPr>
            <w:rStyle w:val="Hyperlink"/>
            <w:b/>
            <w:bCs/>
            <w:sz w:val="28"/>
            <w:szCs w:val="28"/>
          </w:rPr>
          <w:t>CalFresh</w:t>
        </w:r>
      </w:hyperlink>
      <w:r w:rsidRPr="00361A1A">
        <w:rPr>
          <w:b/>
          <w:bCs/>
          <w:sz w:val="28"/>
          <w:szCs w:val="28"/>
        </w:rPr>
        <w:t xml:space="preserve"> Updates:</w:t>
      </w:r>
      <w:r w:rsidRPr="00361A1A">
        <w:rPr>
          <w:sz w:val="28"/>
          <w:szCs w:val="28"/>
        </w:rPr>
        <w:t xml:space="preserve"> Income thresholds for CalFresh (California’s food assistance program) have been adjusted, potentially qualifying more families for benefits.</w:t>
      </w:r>
    </w:p>
    <w:p w14:paraId="3E80B0AE" w14:textId="76D0D211" w:rsidR="00D07B7F" w:rsidRPr="009C5528" w:rsidRDefault="00DD6A98" w:rsidP="005C2DE2">
      <w:pPr>
        <w:numPr>
          <w:ilvl w:val="0"/>
          <w:numId w:val="4"/>
        </w:numPr>
        <w:rPr>
          <w:sz w:val="28"/>
          <w:szCs w:val="28"/>
        </w:rPr>
      </w:pPr>
      <w:hyperlink r:id="rId18" w:history="1">
        <w:r w:rsidRPr="00D07B7F">
          <w:rPr>
            <w:rStyle w:val="Hyperlink"/>
            <w:b/>
            <w:bCs/>
            <w:sz w:val="28"/>
            <w:szCs w:val="28"/>
          </w:rPr>
          <w:t>CalABLE</w:t>
        </w:r>
      </w:hyperlink>
      <w:r>
        <w:rPr>
          <w:b/>
          <w:bCs/>
          <w:sz w:val="28"/>
          <w:szCs w:val="28"/>
        </w:rPr>
        <w:t xml:space="preserve"> Account Contribution Limits:</w:t>
      </w:r>
      <w:r>
        <w:rPr>
          <w:sz w:val="28"/>
          <w:szCs w:val="28"/>
        </w:rPr>
        <w:t xml:space="preserve"> Save </w:t>
      </w:r>
      <w:r w:rsidR="00D07B7F">
        <w:rPr>
          <w:sz w:val="28"/>
          <w:szCs w:val="28"/>
        </w:rPr>
        <w:t xml:space="preserve">up to </w:t>
      </w:r>
      <w:r>
        <w:rPr>
          <w:sz w:val="28"/>
          <w:szCs w:val="28"/>
        </w:rPr>
        <w:t xml:space="preserve">$19,000 this year (plus additional </w:t>
      </w:r>
      <w:r w:rsidRPr="00DD6A98">
        <w:rPr>
          <w:sz w:val="28"/>
          <w:szCs w:val="28"/>
        </w:rPr>
        <w:t>$15,560 from earnings</w:t>
      </w:r>
      <w:r>
        <w:rPr>
          <w:sz w:val="28"/>
          <w:szCs w:val="28"/>
        </w:rPr>
        <w:t>) with no impact on federal, state and local benefits.</w:t>
      </w:r>
    </w:p>
    <w:p w14:paraId="4AF5C468" w14:textId="437D71B9" w:rsidR="005C2DE2" w:rsidRPr="00361A1A" w:rsidRDefault="005C2DE2" w:rsidP="005C2DE2">
      <w:pPr>
        <w:rPr>
          <w:sz w:val="28"/>
          <w:szCs w:val="28"/>
        </w:rPr>
      </w:pPr>
      <w:r w:rsidRPr="00361A1A">
        <w:rPr>
          <w:sz w:val="28"/>
          <w:szCs w:val="28"/>
        </w:rPr>
        <w:t xml:space="preserve">For </w:t>
      </w:r>
      <w:r w:rsidR="00F81A96" w:rsidRPr="00361A1A">
        <w:rPr>
          <w:sz w:val="28"/>
          <w:szCs w:val="28"/>
        </w:rPr>
        <w:t xml:space="preserve">more information on </w:t>
      </w:r>
      <w:r w:rsidRPr="00361A1A">
        <w:rPr>
          <w:sz w:val="28"/>
          <w:szCs w:val="28"/>
        </w:rPr>
        <w:t xml:space="preserve">state benefits, visit </w:t>
      </w:r>
      <w:hyperlink r:id="rId19" w:history="1">
        <w:r w:rsidRPr="00361A1A">
          <w:rPr>
            <w:rStyle w:val="Hyperlink"/>
            <w:sz w:val="28"/>
            <w:szCs w:val="28"/>
          </w:rPr>
          <w:t>benefitscal.com</w:t>
        </w:r>
      </w:hyperlink>
      <w:r w:rsidRPr="00361A1A">
        <w:rPr>
          <w:sz w:val="28"/>
          <w:szCs w:val="28"/>
        </w:rPr>
        <w:t>.</w:t>
      </w:r>
    </w:p>
    <w:p w14:paraId="517CAD6F" w14:textId="026159F4" w:rsidR="005C2DE2" w:rsidRPr="00361A1A" w:rsidRDefault="005C2DE2" w:rsidP="008C434A">
      <w:pPr>
        <w:pStyle w:val="Heading2"/>
      </w:pPr>
      <w:r w:rsidRPr="00361A1A">
        <w:lastRenderedPageBreak/>
        <w:t>How to Stay Informed</w:t>
      </w:r>
    </w:p>
    <w:p w14:paraId="5C9911EB" w14:textId="128B11DE" w:rsidR="005C2DE2" w:rsidRPr="00361A1A" w:rsidRDefault="005C2DE2" w:rsidP="005C2DE2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361A1A">
        <w:rPr>
          <w:b/>
          <w:bCs/>
          <w:sz w:val="28"/>
          <w:szCs w:val="28"/>
        </w:rPr>
        <w:t>Subscribe to Newsletters:</w:t>
      </w:r>
      <w:r w:rsidRPr="00361A1A">
        <w:rPr>
          <w:sz w:val="28"/>
          <w:szCs w:val="28"/>
        </w:rPr>
        <w:t xml:space="preserve"> Organizations like the </w:t>
      </w:r>
      <w:hyperlink r:id="rId20" w:history="1">
        <w:r w:rsidRPr="00361A1A">
          <w:rPr>
            <w:rStyle w:val="Hyperlink"/>
            <w:sz w:val="28"/>
            <w:szCs w:val="28"/>
          </w:rPr>
          <w:t>SSA</w:t>
        </w:r>
      </w:hyperlink>
      <w:r w:rsidR="00684065" w:rsidRPr="00361A1A">
        <w:rPr>
          <w:sz w:val="28"/>
          <w:szCs w:val="28"/>
        </w:rPr>
        <w:t xml:space="preserve">, </w:t>
      </w:r>
      <w:hyperlink r:id="rId21" w:history="1">
        <w:r w:rsidR="00684065" w:rsidRPr="00361A1A">
          <w:rPr>
            <w:rStyle w:val="Hyperlink"/>
            <w:sz w:val="28"/>
            <w:szCs w:val="28"/>
          </w:rPr>
          <w:t>Disability Rights California</w:t>
        </w:r>
      </w:hyperlink>
      <w:r w:rsidR="00684065" w:rsidRPr="00361A1A">
        <w:rPr>
          <w:sz w:val="28"/>
          <w:szCs w:val="28"/>
        </w:rPr>
        <w:t xml:space="preserve"> (DRC)</w:t>
      </w:r>
      <w:r w:rsidR="003B7009" w:rsidRPr="00361A1A">
        <w:rPr>
          <w:sz w:val="28"/>
          <w:szCs w:val="28"/>
        </w:rPr>
        <w:t xml:space="preserve">, </w:t>
      </w:r>
      <w:hyperlink r:id="rId22" w:history="1">
        <w:r w:rsidR="003B7009" w:rsidRPr="00361A1A">
          <w:rPr>
            <w:rStyle w:val="Hyperlink"/>
            <w:sz w:val="28"/>
            <w:szCs w:val="28"/>
          </w:rPr>
          <w:t>California Commission on Disability Access</w:t>
        </w:r>
      </w:hyperlink>
      <w:r w:rsidR="003B7009" w:rsidRPr="00361A1A">
        <w:rPr>
          <w:sz w:val="28"/>
          <w:szCs w:val="28"/>
        </w:rPr>
        <w:t xml:space="preserve">, </w:t>
      </w:r>
      <w:hyperlink r:id="rId23" w:anchor=":~:text=From%20policy%20updates%20to%20stories,Disability%20Policy%20News" w:history="1">
        <w:r w:rsidR="003B7009" w:rsidRPr="00361A1A">
          <w:rPr>
            <w:rStyle w:val="Hyperlink"/>
            <w:sz w:val="28"/>
            <w:szCs w:val="28"/>
          </w:rPr>
          <w:t>Association of University Centers on Disabilities</w:t>
        </w:r>
      </w:hyperlink>
      <w:r w:rsidR="003B7009" w:rsidRPr="00361A1A">
        <w:rPr>
          <w:sz w:val="28"/>
          <w:szCs w:val="28"/>
        </w:rPr>
        <w:t xml:space="preserve">, </w:t>
      </w:r>
      <w:r w:rsidRPr="00361A1A">
        <w:rPr>
          <w:sz w:val="28"/>
          <w:szCs w:val="28"/>
        </w:rPr>
        <w:t xml:space="preserve">and </w:t>
      </w:r>
      <w:hyperlink r:id="rId24" w:history="1">
        <w:r w:rsidR="006C1C04" w:rsidRPr="00361A1A">
          <w:rPr>
            <w:rStyle w:val="Hyperlink"/>
            <w:sz w:val="28"/>
            <w:szCs w:val="28"/>
          </w:rPr>
          <w:t>EasterSeals</w:t>
        </w:r>
      </w:hyperlink>
      <w:r w:rsidRPr="00361A1A">
        <w:rPr>
          <w:sz w:val="28"/>
          <w:szCs w:val="28"/>
        </w:rPr>
        <w:t xml:space="preserve"> offer email updates.</w:t>
      </w:r>
      <w:r w:rsidR="006C2731" w:rsidRPr="00361A1A">
        <w:rPr>
          <w:sz w:val="28"/>
          <w:szCs w:val="28"/>
        </w:rPr>
        <w:t xml:space="preserve"> </w:t>
      </w:r>
      <w:r w:rsidR="00684065" w:rsidRPr="00361A1A">
        <w:rPr>
          <w:sz w:val="28"/>
          <w:szCs w:val="28"/>
        </w:rPr>
        <w:t>If you haven’t already, s</w:t>
      </w:r>
      <w:r w:rsidR="006C2731" w:rsidRPr="00361A1A">
        <w:rPr>
          <w:sz w:val="28"/>
          <w:szCs w:val="28"/>
        </w:rPr>
        <w:t xml:space="preserve">ubscribe to </w:t>
      </w:r>
      <w:r w:rsidR="008831E0" w:rsidRPr="00361A1A">
        <w:rPr>
          <w:sz w:val="28"/>
          <w:szCs w:val="28"/>
        </w:rPr>
        <w:t xml:space="preserve">the </w:t>
      </w:r>
      <w:r w:rsidR="006C2731" w:rsidRPr="00361A1A">
        <w:rPr>
          <w:sz w:val="28"/>
          <w:szCs w:val="28"/>
        </w:rPr>
        <w:t xml:space="preserve">DOR </w:t>
      </w:r>
      <w:hyperlink r:id="rId25" w:history="1">
        <w:r w:rsidR="006C2731" w:rsidRPr="00361A1A">
          <w:rPr>
            <w:rStyle w:val="Hyperlink"/>
            <w:sz w:val="28"/>
            <w:szCs w:val="28"/>
          </w:rPr>
          <w:t>Spotlight on Social Security Newsletter</w:t>
        </w:r>
      </w:hyperlink>
      <w:r w:rsidR="00684065" w:rsidRPr="00361A1A">
        <w:rPr>
          <w:sz w:val="28"/>
          <w:szCs w:val="28"/>
        </w:rPr>
        <w:t>.</w:t>
      </w:r>
    </w:p>
    <w:p w14:paraId="3A5BBA74" w14:textId="67693FA8" w:rsidR="006A1AB8" w:rsidRDefault="005C2DE2">
      <w:pPr>
        <w:rPr>
          <w:sz w:val="28"/>
          <w:szCs w:val="28"/>
        </w:rPr>
      </w:pPr>
      <w:r w:rsidRPr="00361A1A">
        <w:rPr>
          <w:sz w:val="28"/>
          <w:szCs w:val="28"/>
        </w:rPr>
        <w:t>This January, take some time to explore these updates and ensure you’re taking full advantage of the benefits and resources available to you. Let’s make 2025 a year of empowerment and growth!</w:t>
      </w:r>
    </w:p>
    <w:p w14:paraId="63D918E1" w14:textId="77777777" w:rsidR="00136F4B" w:rsidRDefault="00136F4B">
      <w:pPr>
        <w:rPr>
          <w:sz w:val="28"/>
          <w:szCs w:val="28"/>
        </w:rPr>
      </w:pPr>
    </w:p>
    <w:p w14:paraId="427B8ACF" w14:textId="7801A1B7" w:rsidR="00136F4B" w:rsidRPr="0057145D" w:rsidRDefault="00136F4B" w:rsidP="008C434A">
      <w:pPr>
        <w:pStyle w:val="Heading2"/>
      </w:pPr>
      <w:r w:rsidRPr="0057145D">
        <w:t xml:space="preserve">How to Connect with a Benefits Planner? </w:t>
      </w:r>
    </w:p>
    <w:p w14:paraId="5833AE3F" w14:textId="399CA6F3" w:rsidR="00136F4B" w:rsidRPr="0057145D" w:rsidRDefault="00136F4B" w:rsidP="0057145D">
      <w:pPr>
        <w:spacing w:before="120" w:after="120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57145D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If you receive SSI or SSDI benefits, figuring out how working might affect them can feel overwhelming. A certified DOR </w:t>
      </w:r>
      <w:r w:rsidR="0057145D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Work Incentive Planner (</w:t>
      </w:r>
      <w:r w:rsidRPr="0057145D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WIP</w:t>
      </w:r>
      <w:r w:rsidR="0057145D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)</w:t>
      </w:r>
      <w:r w:rsidRPr="0057145D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is available to give you personalized support to help you start working with confidence.</w:t>
      </w:r>
    </w:p>
    <w:p w14:paraId="7E46AEB5" w14:textId="6FE068C9" w:rsidR="00136F4B" w:rsidRPr="0057145D" w:rsidRDefault="00136F4B" w:rsidP="0057145D">
      <w:pPr>
        <w:spacing w:before="120" w:after="120" w:line="240" w:lineRule="auto"/>
        <w:ind w:left="360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57145D">
        <w:rPr>
          <w:rFonts w:asciiTheme="majorHAnsi" w:hAnsiTheme="majorHAnsi" w:cstheme="majorHAnsi"/>
          <w:b/>
          <w:bCs/>
          <w:color w:val="404040" w:themeColor="text1" w:themeTint="BF"/>
          <w:sz w:val="28"/>
          <w:szCs w:val="28"/>
        </w:rPr>
        <w:t>Are you ready to start working?</w:t>
      </w:r>
      <w:r w:rsidRPr="0057145D">
        <w:rPr>
          <w:rFonts w:asciiTheme="majorHAnsi" w:hAnsiTheme="majorHAnsi" w:cstheme="majorHAnsi"/>
          <w:b/>
          <w:bCs/>
          <w:color w:val="404040" w:themeColor="text1" w:themeTint="BF"/>
          <w:sz w:val="28"/>
          <w:szCs w:val="28"/>
        </w:rPr>
        <w:br/>
      </w:r>
      <w:r w:rsidRPr="0057145D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Meeting with a WIP can help you understand how working may impact your Social Security benefits. Your WIP will give you clear, accurate information tailored to your situation.</w:t>
      </w:r>
    </w:p>
    <w:p w14:paraId="13DAEFE5" w14:textId="4398ECF1" w:rsidR="00674646" w:rsidRPr="0057145D" w:rsidRDefault="00136F4B" w:rsidP="0057145D">
      <w:pPr>
        <w:spacing w:before="120" w:after="120" w:line="240" w:lineRule="auto"/>
        <w:ind w:left="360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57145D">
        <w:rPr>
          <w:rFonts w:asciiTheme="majorHAnsi" w:hAnsiTheme="majorHAnsi" w:cstheme="majorHAnsi"/>
          <w:b/>
          <w:bCs/>
          <w:color w:val="404040" w:themeColor="text1" w:themeTint="BF"/>
          <w:sz w:val="28"/>
          <w:szCs w:val="28"/>
        </w:rPr>
        <w:t>DOR Consumers</w:t>
      </w:r>
      <w:r w:rsidRPr="0057145D">
        <w:rPr>
          <w:rFonts w:asciiTheme="majorHAnsi" w:hAnsiTheme="majorHAnsi" w:cstheme="majorHAnsi"/>
          <w:b/>
          <w:bCs/>
          <w:color w:val="404040" w:themeColor="text1" w:themeTint="BF"/>
          <w:sz w:val="28"/>
          <w:szCs w:val="28"/>
        </w:rPr>
        <w:br/>
      </w:r>
      <w:r w:rsidRPr="0057145D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If you’re already working with the DOR, talk to your DOR counselor to see if you’re eligible for </w:t>
      </w:r>
      <w:hyperlink r:id="rId26" w:history="1">
        <w:r w:rsidRPr="0057145D">
          <w:rPr>
            <w:rStyle w:val="Hyperlink"/>
            <w:rFonts w:asciiTheme="majorHAnsi" w:hAnsiTheme="majorHAnsi" w:cstheme="majorHAnsi"/>
            <w:sz w:val="28"/>
            <w:szCs w:val="28"/>
          </w:rPr>
          <w:t>Work Incentive Planning Services</w:t>
        </w:r>
      </w:hyperlink>
      <w:r w:rsidRPr="0057145D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.</w:t>
      </w:r>
      <w:r w:rsidR="00674646" w:rsidRPr="0057145D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For more information, call 1-866-449-2730 or send an e-mail to TTWinfo@dor.ca.gov.</w:t>
      </w:r>
    </w:p>
    <w:p w14:paraId="74338D8A" w14:textId="5CC6A1DB" w:rsidR="00136F4B" w:rsidRPr="0057145D" w:rsidRDefault="00136F4B" w:rsidP="0057145D">
      <w:pPr>
        <w:spacing w:before="120" w:after="120" w:line="240" w:lineRule="auto"/>
        <w:ind w:left="360"/>
        <w:rPr>
          <w:rFonts w:asciiTheme="majorHAnsi" w:hAnsiTheme="majorHAnsi" w:cstheme="majorHAnsi"/>
          <w:sz w:val="28"/>
          <w:szCs w:val="28"/>
        </w:rPr>
      </w:pPr>
      <w:r w:rsidRPr="0057145D">
        <w:rPr>
          <w:rFonts w:asciiTheme="majorHAnsi" w:hAnsiTheme="majorHAnsi" w:cstheme="majorHAnsi"/>
          <w:b/>
          <w:bCs/>
          <w:color w:val="404040" w:themeColor="text1" w:themeTint="BF"/>
          <w:sz w:val="28"/>
          <w:szCs w:val="28"/>
        </w:rPr>
        <w:t>Not Receiving DOR Services?</w:t>
      </w:r>
      <w:r w:rsidRPr="0057145D">
        <w:rPr>
          <w:rFonts w:asciiTheme="majorHAnsi" w:hAnsiTheme="majorHAnsi" w:cstheme="majorHAnsi"/>
          <w:b/>
          <w:bCs/>
          <w:color w:val="404040" w:themeColor="text1" w:themeTint="BF"/>
          <w:sz w:val="28"/>
          <w:szCs w:val="28"/>
        </w:rPr>
        <w:br/>
      </w:r>
      <w:r w:rsidRPr="0057145D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If you’re not currently receiving DOR services, the Ticket-to-Work (TTW) Helpline can connect you with a local Work Incentive Planning and Assistance (WIPA) program for free benefits planning. Helpline: 1-866-968-7842, TTY: 1-866-833-2967 or visit TTW online at </w:t>
      </w:r>
      <w:hyperlink r:id="rId27" w:tgtFrame="_new" w:history="1">
        <w:r w:rsidRPr="0057145D">
          <w:rPr>
            <w:rStyle w:val="Hyperlink"/>
            <w:rFonts w:asciiTheme="majorHAnsi" w:hAnsiTheme="majorHAnsi" w:cstheme="majorHAnsi"/>
            <w:sz w:val="28"/>
            <w:szCs w:val="28"/>
          </w:rPr>
          <w:t>choosework.ssa.gov/</w:t>
        </w:r>
        <w:proofErr w:type="spellStart"/>
        <w:r w:rsidRPr="0057145D">
          <w:rPr>
            <w:rStyle w:val="Hyperlink"/>
            <w:rFonts w:asciiTheme="majorHAnsi" w:hAnsiTheme="majorHAnsi" w:cstheme="majorHAnsi"/>
            <w:sz w:val="28"/>
            <w:szCs w:val="28"/>
          </w:rPr>
          <w:t>findhelp</w:t>
        </w:r>
        <w:proofErr w:type="spellEnd"/>
      </w:hyperlink>
    </w:p>
    <w:p w14:paraId="70D72CCA" w14:textId="77777777" w:rsidR="00136F4B" w:rsidRPr="0057145D" w:rsidRDefault="00136F4B" w:rsidP="008C434A">
      <w:pPr>
        <w:pStyle w:val="Heading2"/>
      </w:pPr>
      <w:r w:rsidRPr="0057145D">
        <w:t>Interested in Receiving DOR Services?</w:t>
      </w:r>
    </w:p>
    <w:p w14:paraId="0BCF2018" w14:textId="16640A1F" w:rsidR="00136F4B" w:rsidRPr="0057145D" w:rsidRDefault="00136F4B" w:rsidP="0057145D">
      <w:pPr>
        <w:pStyle w:val="NormalWeb"/>
        <w:shd w:val="clear" w:color="auto" w:fill="FFFFFF"/>
        <w:spacing w:before="120" w:beforeAutospacing="0" w:after="120" w:afterAutospacing="0"/>
        <w:rPr>
          <w:rFonts w:asciiTheme="majorHAnsi" w:hAnsiTheme="majorHAnsi" w:cstheme="majorHAnsi"/>
          <w:color w:val="3B3A48"/>
          <w:sz w:val="28"/>
          <w:szCs w:val="28"/>
        </w:rPr>
      </w:pPr>
      <w:r w:rsidRPr="0057145D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If you are ready to take the first step in an exciting journey with </w:t>
      </w:r>
      <w:r w:rsidR="00B053E5" w:rsidRPr="0057145D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DOR, </w:t>
      </w:r>
      <w:r w:rsidR="00B053E5" w:rsidRPr="0057145D">
        <w:rPr>
          <w:rFonts w:asciiTheme="majorHAnsi" w:eastAsiaTheme="majorEastAsia" w:hAnsiTheme="majorHAnsi" w:cstheme="majorHAnsi"/>
          <w:color w:val="404040" w:themeColor="text1" w:themeTint="BF"/>
          <w:sz w:val="28"/>
          <w:szCs w:val="28"/>
        </w:rPr>
        <w:t>go</w:t>
      </w:r>
      <w:r w:rsidR="00891EC7" w:rsidRPr="0057145D">
        <w:rPr>
          <w:rFonts w:asciiTheme="majorHAnsi" w:eastAsiaTheme="majorEastAsia" w:hAnsiTheme="majorHAnsi" w:cstheme="majorHAnsi"/>
          <w:color w:val="404040" w:themeColor="text1" w:themeTint="BF"/>
          <w:sz w:val="28"/>
          <w:szCs w:val="28"/>
        </w:rPr>
        <w:t xml:space="preserve"> to </w:t>
      </w:r>
      <w:hyperlink r:id="rId28" w:history="1">
        <w:r w:rsidR="00891EC7" w:rsidRPr="0057145D">
          <w:rPr>
            <w:rStyle w:val="Hyperlink"/>
            <w:rFonts w:asciiTheme="majorHAnsi" w:eastAsiaTheme="majorEastAsia" w:hAnsiTheme="majorHAnsi" w:cstheme="majorHAnsi"/>
            <w:sz w:val="28"/>
            <w:szCs w:val="28"/>
          </w:rPr>
          <w:t>www.dor.ca.gov</w:t>
        </w:r>
      </w:hyperlink>
      <w:r w:rsidR="00891EC7" w:rsidRPr="0057145D">
        <w:rPr>
          <w:rFonts w:asciiTheme="majorHAnsi" w:eastAsiaTheme="majorEastAsia" w:hAnsiTheme="majorHAnsi" w:cstheme="majorHAnsi"/>
          <w:sz w:val="28"/>
          <w:szCs w:val="28"/>
        </w:rPr>
        <w:t xml:space="preserve"> </w:t>
      </w:r>
      <w:r w:rsidR="00891EC7" w:rsidRPr="0057145D">
        <w:rPr>
          <w:rFonts w:asciiTheme="majorHAnsi" w:eastAsiaTheme="majorEastAsia" w:hAnsiTheme="majorHAnsi" w:cstheme="majorHAnsi"/>
          <w:color w:val="404040" w:themeColor="text1" w:themeTint="BF"/>
          <w:sz w:val="28"/>
          <w:szCs w:val="28"/>
        </w:rPr>
        <w:t xml:space="preserve">to </w:t>
      </w:r>
      <w:r w:rsidRPr="0057145D">
        <w:rPr>
          <w:rFonts w:asciiTheme="majorHAnsi" w:eastAsiaTheme="majorEastAsia" w:hAnsiTheme="majorHAnsi" w:cstheme="majorHAnsi"/>
          <w:color w:val="404040" w:themeColor="text1" w:themeTint="BF"/>
          <w:sz w:val="28"/>
          <w:szCs w:val="28"/>
        </w:rPr>
        <w:t>get started</w:t>
      </w:r>
      <w:r w:rsidRPr="0057145D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. You will need to provide additional information about yourself to request services.</w:t>
      </w:r>
      <w:bookmarkStart w:id="0" w:name="_Subscribe_to_the"/>
      <w:bookmarkEnd w:id="0"/>
    </w:p>
    <w:p w14:paraId="2A4E19DE" w14:textId="6D84D4F1" w:rsidR="00136F4B" w:rsidRPr="0057145D" w:rsidRDefault="00136F4B" w:rsidP="008C434A">
      <w:pPr>
        <w:pStyle w:val="Heading2"/>
      </w:pPr>
      <w:r w:rsidRPr="0057145D">
        <w:t>Stay Connected!</w:t>
      </w:r>
    </w:p>
    <w:p w14:paraId="6FFB319E" w14:textId="240EF975" w:rsidR="00136F4B" w:rsidRPr="008C434A" w:rsidRDefault="00136F4B" w:rsidP="008C434A">
      <w:pPr>
        <w:rPr>
          <w:rFonts w:cstheme="minorHAnsi"/>
          <w:sz w:val="28"/>
          <w:szCs w:val="28"/>
        </w:rPr>
      </w:pPr>
      <w:hyperlink r:id="rId29" w:tooltip="Subscribe to our monthly Spotlight on Social Security Newsletter" w:history="1">
        <w:r w:rsidRPr="008C434A">
          <w:rPr>
            <w:rStyle w:val="Hyperlink"/>
            <w:rFonts w:cstheme="minorHAnsi"/>
            <w:sz w:val="28"/>
            <w:szCs w:val="28"/>
          </w:rPr>
          <w:t>Subscribe to our monthly Spotlight on Social Security Newsletter</w:t>
        </w:r>
      </w:hyperlink>
      <w:r w:rsidRPr="008C434A">
        <w:rPr>
          <w:rFonts w:cstheme="minorHAnsi"/>
          <w:sz w:val="28"/>
          <w:szCs w:val="28"/>
        </w:rPr>
        <w:t>, which focuses on topics related to Social Security Disability Benefits and provides important information that can help you make informed decisions about your future.</w:t>
      </w:r>
    </w:p>
    <w:p w14:paraId="52B21652" w14:textId="77777777" w:rsidR="0032705B" w:rsidRPr="00361A1A" w:rsidRDefault="0032705B" w:rsidP="00674646">
      <w:pPr>
        <w:rPr>
          <w:sz w:val="28"/>
          <w:szCs w:val="28"/>
        </w:rPr>
      </w:pPr>
    </w:p>
    <w:sectPr w:rsidR="0032705B" w:rsidRPr="00361A1A" w:rsidSect="001172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024B1" w14:textId="77777777" w:rsidR="00E02427" w:rsidRDefault="00E02427" w:rsidP="00E02427">
      <w:pPr>
        <w:spacing w:after="0" w:line="240" w:lineRule="auto"/>
      </w:pPr>
      <w:r>
        <w:separator/>
      </w:r>
    </w:p>
  </w:endnote>
  <w:endnote w:type="continuationSeparator" w:id="0">
    <w:p w14:paraId="68F89B8C" w14:textId="77777777" w:rsidR="00E02427" w:rsidRDefault="00E02427" w:rsidP="00E02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74FBF" w14:textId="77777777" w:rsidR="00E02427" w:rsidRDefault="00E02427" w:rsidP="00E02427">
      <w:pPr>
        <w:spacing w:after="0" w:line="240" w:lineRule="auto"/>
      </w:pPr>
      <w:r>
        <w:separator/>
      </w:r>
    </w:p>
  </w:footnote>
  <w:footnote w:type="continuationSeparator" w:id="0">
    <w:p w14:paraId="3297AED2" w14:textId="77777777" w:rsidR="00E02427" w:rsidRDefault="00E02427" w:rsidP="00E02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96A4A"/>
    <w:multiLevelType w:val="multilevel"/>
    <w:tmpl w:val="D47C5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66926"/>
    <w:multiLevelType w:val="multilevel"/>
    <w:tmpl w:val="44B0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41C98"/>
    <w:multiLevelType w:val="multilevel"/>
    <w:tmpl w:val="5BD8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30DF7"/>
    <w:multiLevelType w:val="multilevel"/>
    <w:tmpl w:val="F588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1207B1"/>
    <w:multiLevelType w:val="multilevel"/>
    <w:tmpl w:val="824C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0D5B2D"/>
    <w:multiLevelType w:val="multilevel"/>
    <w:tmpl w:val="3798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C957F6"/>
    <w:multiLevelType w:val="hybridMultilevel"/>
    <w:tmpl w:val="75D6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564908">
    <w:abstractNumId w:val="2"/>
  </w:num>
  <w:num w:numId="2" w16cid:durableId="345061593">
    <w:abstractNumId w:val="3"/>
  </w:num>
  <w:num w:numId="3" w16cid:durableId="746926060">
    <w:abstractNumId w:val="5"/>
  </w:num>
  <w:num w:numId="4" w16cid:durableId="1996031928">
    <w:abstractNumId w:val="4"/>
  </w:num>
  <w:num w:numId="5" w16cid:durableId="1978296633">
    <w:abstractNumId w:val="0"/>
  </w:num>
  <w:num w:numId="6" w16cid:durableId="1250777409">
    <w:abstractNumId w:val="6"/>
  </w:num>
  <w:num w:numId="7" w16cid:durableId="824202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E2"/>
    <w:rsid w:val="000044D0"/>
    <w:rsid w:val="000D64AC"/>
    <w:rsid w:val="00107F6B"/>
    <w:rsid w:val="0011724E"/>
    <w:rsid w:val="00136F4B"/>
    <w:rsid w:val="00143E6F"/>
    <w:rsid w:val="00186C3C"/>
    <w:rsid w:val="001C46A7"/>
    <w:rsid w:val="001E3531"/>
    <w:rsid w:val="001E44E5"/>
    <w:rsid w:val="0032705B"/>
    <w:rsid w:val="00345444"/>
    <w:rsid w:val="00361A1A"/>
    <w:rsid w:val="003B7009"/>
    <w:rsid w:val="003E1A82"/>
    <w:rsid w:val="00487449"/>
    <w:rsid w:val="00497748"/>
    <w:rsid w:val="00525729"/>
    <w:rsid w:val="00552CC7"/>
    <w:rsid w:val="00556B34"/>
    <w:rsid w:val="00567FC9"/>
    <w:rsid w:val="0057145D"/>
    <w:rsid w:val="00591751"/>
    <w:rsid w:val="005C2DE2"/>
    <w:rsid w:val="0060244F"/>
    <w:rsid w:val="006500E0"/>
    <w:rsid w:val="00674646"/>
    <w:rsid w:val="00684065"/>
    <w:rsid w:val="006A1AB8"/>
    <w:rsid w:val="006A64AF"/>
    <w:rsid w:val="006C1C04"/>
    <w:rsid w:val="006C2731"/>
    <w:rsid w:val="006D23C8"/>
    <w:rsid w:val="006F00FD"/>
    <w:rsid w:val="00722106"/>
    <w:rsid w:val="007C53F8"/>
    <w:rsid w:val="007D1D3A"/>
    <w:rsid w:val="008018E6"/>
    <w:rsid w:val="008831E0"/>
    <w:rsid w:val="00891EC7"/>
    <w:rsid w:val="008A0C5C"/>
    <w:rsid w:val="008B0032"/>
    <w:rsid w:val="008C434A"/>
    <w:rsid w:val="00900EA1"/>
    <w:rsid w:val="00933180"/>
    <w:rsid w:val="009A345A"/>
    <w:rsid w:val="009A58E9"/>
    <w:rsid w:val="009C5528"/>
    <w:rsid w:val="00A07779"/>
    <w:rsid w:val="00A079AB"/>
    <w:rsid w:val="00AD39D0"/>
    <w:rsid w:val="00B053E5"/>
    <w:rsid w:val="00B56C98"/>
    <w:rsid w:val="00B8408D"/>
    <w:rsid w:val="00BC2EF3"/>
    <w:rsid w:val="00BD1CC6"/>
    <w:rsid w:val="00BE1872"/>
    <w:rsid w:val="00C21986"/>
    <w:rsid w:val="00C40E98"/>
    <w:rsid w:val="00C612A7"/>
    <w:rsid w:val="00CD3752"/>
    <w:rsid w:val="00CE4935"/>
    <w:rsid w:val="00CF4B29"/>
    <w:rsid w:val="00D07B7F"/>
    <w:rsid w:val="00DD6A98"/>
    <w:rsid w:val="00E02427"/>
    <w:rsid w:val="00E30AEC"/>
    <w:rsid w:val="00E65FC3"/>
    <w:rsid w:val="00E9205B"/>
    <w:rsid w:val="00F55DF3"/>
    <w:rsid w:val="00F8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79347"/>
  <w15:chartTrackingRefBased/>
  <w15:docId w15:val="{2DE7169E-1858-4FF2-93CD-184DC84B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748"/>
  </w:style>
  <w:style w:type="paragraph" w:styleId="Heading1">
    <w:name w:val="heading 1"/>
    <w:basedOn w:val="Title"/>
    <w:next w:val="Normal"/>
    <w:link w:val="Heading1Char"/>
    <w:uiPriority w:val="9"/>
    <w:qFormat/>
    <w:rsid w:val="008C434A"/>
    <w:pPr>
      <w:spacing w:line="276" w:lineRule="auto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34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7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7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7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7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74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7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7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34A"/>
    <w:rPr>
      <w:rFonts w:asciiTheme="majorHAnsi" w:eastAsiaTheme="majorEastAsia" w:hAnsiTheme="majorHAnsi" w:cstheme="majorBidi"/>
      <w:b/>
      <w:bCs/>
      <w:caps/>
      <w:color w:val="0E2841" w:themeColor="text2"/>
      <w:spacing w:val="-1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434A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748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748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748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748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748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748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748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7748"/>
    <w:pPr>
      <w:spacing w:line="240" w:lineRule="auto"/>
    </w:pPr>
    <w:rPr>
      <w:b/>
      <w:bCs/>
      <w:smallCap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9774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97748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74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748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97748"/>
    <w:rPr>
      <w:b/>
      <w:bCs/>
    </w:rPr>
  </w:style>
  <w:style w:type="character" w:styleId="Emphasis">
    <w:name w:val="Emphasis"/>
    <w:basedOn w:val="DefaultParagraphFont"/>
    <w:uiPriority w:val="20"/>
    <w:qFormat/>
    <w:rsid w:val="00497748"/>
    <w:rPr>
      <w:i/>
      <w:iCs/>
    </w:rPr>
  </w:style>
  <w:style w:type="paragraph" w:styleId="NoSpacing">
    <w:name w:val="No Spacing"/>
    <w:uiPriority w:val="1"/>
    <w:qFormat/>
    <w:rsid w:val="004977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74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97748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97748"/>
    <w:rPr>
      <w:color w:val="0E284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74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748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9774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9774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9774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97748"/>
    <w:rPr>
      <w:b/>
      <w:bCs/>
      <w:smallCaps/>
      <w:color w:val="0E284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9774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774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C2D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D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31E0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2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427"/>
  </w:style>
  <w:style w:type="paragraph" w:styleId="Footer">
    <w:name w:val="footer"/>
    <w:basedOn w:val="Normal"/>
    <w:link w:val="FooterChar"/>
    <w:uiPriority w:val="99"/>
    <w:unhideWhenUsed/>
    <w:rsid w:val="00E02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427"/>
  </w:style>
  <w:style w:type="paragraph" w:styleId="NormalWeb">
    <w:name w:val="Normal (Web)"/>
    <w:basedOn w:val="Normal"/>
    <w:uiPriority w:val="99"/>
    <w:unhideWhenUsed/>
    <w:rsid w:val="0013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ssa.gov/ICON/main.jsp" TargetMode="External"/><Relationship Id="rId13" Type="http://schemas.openxmlformats.org/officeDocument/2006/relationships/hyperlink" Target="https://edd.ca.gov/disability/" TargetMode="External"/><Relationship Id="rId18" Type="http://schemas.openxmlformats.org/officeDocument/2006/relationships/hyperlink" Target="https://calable.ca.gov/" TargetMode="External"/><Relationship Id="rId26" Type="http://schemas.openxmlformats.org/officeDocument/2006/relationships/hyperlink" Target="https://www.dor.ca.gov/Home/WI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isabilityrightsca.org/disability-rights-california-newsletter" TargetMode="External"/><Relationship Id="rId7" Type="http://schemas.openxmlformats.org/officeDocument/2006/relationships/hyperlink" Target="https://www.dor.ca.gov/Home/Ssa" TargetMode="External"/><Relationship Id="rId12" Type="http://schemas.openxmlformats.org/officeDocument/2006/relationships/hyperlink" Target="https://www.ssa.gov" TargetMode="External"/><Relationship Id="rId17" Type="http://schemas.openxmlformats.org/officeDocument/2006/relationships/hyperlink" Target="https://www.getcalfresh.org/" TargetMode="External"/><Relationship Id="rId25" Type="http://schemas.openxmlformats.org/officeDocument/2006/relationships/hyperlink" Target="https://www.dor.ca.gov/Home/SSAnewslett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hcs.ca.gov/services/Pages/TPLRD_MOU_cont.aspx" TargetMode="External"/><Relationship Id="rId20" Type="http://schemas.openxmlformats.org/officeDocument/2006/relationships/hyperlink" Target="https://www.ssa.gov/news/newsletter/" TargetMode="External"/><Relationship Id="rId29" Type="http://schemas.openxmlformats.org/officeDocument/2006/relationships/hyperlink" Target="https://lp.constantcontactpages.com/su/iblyD0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sa.gov/agency/contact/phone" TargetMode="External"/><Relationship Id="rId24" Type="http://schemas.openxmlformats.org/officeDocument/2006/relationships/hyperlink" Target="https://www.easterseals.com/news-and-stori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edicare.gov/" TargetMode="External"/><Relationship Id="rId23" Type="http://schemas.openxmlformats.org/officeDocument/2006/relationships/hyperlink" Target="https://www.aucd.org/newsletters" TargetMode="External"/><Relationship Id="rId28" Type="http://schemas.openxmlformats.org/officeDocument/2006/relationships/hyperlink" Target="http://www.dor.ca.gov" TargetMode="External"/><Relationship Id="rId10" Type="http://schemas.openxmlformats.org/officeDocument/2006/relationships/hyperlink" Target="https://www.aarp.org/retirement/social-security/info-2020/open-your-online-account.html" TargetMode="External"/><Relationship Id="rId19" Type="http://schemas.openxmlformats.org/officeDocument/2006/relationships/hyperlink" Target="https://www.benefitscal.co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sa.gov/onlineservices/" TargetMode="External"/><Relationship Id="rId14" Type="http://schemas.openxmlformats.org/officeDocument/2006/relationships/hyperlink" Target="https://edd.ca.gov/en" TargetMode="External"/><Relationship Id="rId22" Type="http://schemas.openxmlformats.org/officeDocument/2006/relationships/hyperlink" Target="https://www.dgs.ca.gov/CCDA/Resources/Page-Content/California-Commission-on-Disability-Access-Resources-List-Folder/Newsletters" TargetMode="External"/><Relationship Id="rId27" Type="http://schemas.openxmlformats.org/officeDocument/2006/relationships/hyperlink" Target="https://choosework.ssa.gov/findhel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Tina@DOR</dc:creator>
  <cp:keywords/>
  <dc:description/>
  <cp:lastModifiedBy>Simkowski, Morgane@DOR</cp:lastModifiedBy>
  <cp:revision>32</cp:revision>
  <dcterms:created xsi:type="dcterms:W3CDTF">2024-12-18T15:51:00Z</dcterms:created>
  <dcterms:modified xsi:type="dcterms:W3CDTF">2025-01-03T19:33:00Z</dcterms:modified>
</cp:coreProperties>
</file>