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A1D6" w14:textId="77777777" w:rsidR="008B7CD3" w:rsidRDefault="008B7CD3" w:rsidP="008B7CD3">
      <w:pPr>
        <w:pStyle w:val="Heading1"/>
      </w:pPr>
      <w:r>
        <w:rPr>
          <w:noProof/>
        </w:rPr>
        <mc:AlternateContent>
          <mc:Choice Requires="wps">
            <w:drawing>
              <wp:inline distT="0" distB="0" distL="0" distR="0" wp14:anchorId="2B0CAD60" wp14:editId="206414AB">
                <wp:extent cx="5924550" cy="480060"/>
                <wp:effectExtent l="0" t="0" r="19050" b="15240"/>
                <wp:docPr id="2" name="Rectangle 2"/>
                <wp:cNvGraphicFramePr/>
                <a:graphic xmlns:a="http://schemas.openxmlformats.org/drawingml/2006/main">
                  <a:graphicData uri="http://schemas.microsoft.com/office/word/2010/wordprocessingShape">
                    <wps:wsp>
                      <wps:cNvSpPr/>
                      <wps:spPr>
                        <a:xfrm>
                          <a:off x="0" y="0"/>
                          <a:ext cx="5924550" cy="4800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BDD6F" w14:textId="532077DE" w:rsidR="008B7CD3" w:rsidRPr="00BF50D1" w:rsidRDefault="008B7CD3" w:rsidP="008B7CD3">
                            <w:pPr>
                              <w:pStyle w:val="Heading1"/>
                              <w:jc w:val="center"/>
                              <w:rPr>
                                <w:rFonts w:ascii="Arial" w:hAnsi="Arial" w:cs="Arial"/>
                                <w:b/>
                                <w:bCs/>
                                <w:color w:val="FFFFFF" w:themeColor="background1"/>
                              </w:rPr>
                            </w:pPr>
                            <w:r w:rsidRPr="00BF50D1">
                              <w:rPr>
                                <w:rFonts w:ascii="Arial" w:hAnsi="Arial" w:cs="Arial"/>
                                <w:b/>
                                <w:bCs/>
                                <w:color w:val="FFFFFF" w:themeColor="background1"/>
                              </w:rPr>
                              <w:t>CALIFORNIA COMMUNITY LIVING FUND</w:t>
                            </w:r>
                            <w:r>
                              <w:rPr>
                                <w:rFonts w:ascii="Arial" w:hAnsi="Arial" w:cs="Arial"/>
                                <w:b/>
                                <w:bCs/>
                                <w:color w:val="FFFFFF" w:themeColor="background1"/>
                              </w:rPr>
                              <w:t xml:space="preserve"> PROGRAM</w:t>
                            </w:r>
                          </w:p>
                          <w:p w14:paraId="4CDAC11E" w14:textId="77777777" w:rsidR="008B7CD3" w:rsidRDefault="008B7CD3" w:rsidP="008B7C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0CAD60" id="Rectangle 2" o:spid="_x0000_s1026" style="width:466.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" fillcolor="#002060" strokecolor="#002060" strokeweight="1pt">
                <v:textbox>
                  <w:txbxContent>
                    <w:p w14:paraId="2B2BDD6F" w14:textId="532077DE" w:rsidR="008B7CD3" w:rsidRPr="00BF50D1" w:rsidRDefault="008B7CD3" w:rsidP="008B7CD3">
                      <w:pPr>
                        <w:pStyle w:val="Heading1"/>
                        <w:jc w:val="center"/>
                        <w:rPr>
                          <w:rFonts w:ascii="Arial" w:hAnsi="Arial" w:cs="Arial"/>
                          <w:b/>
                          <w:bCs/>
                          <w:color w:val="FFFFFF" w:themeColor="background1"/>
                        </w:rPr>
                      </w:pPr>
                      <w:r w:rsidRPr="00BF50D1">
                        <w:rPr>
                          <w:rFonts w:ascii="Arial" w:hAnsi="Arial" w:cs="Arial"/>
                          <w:b/>
                          <w:bCs/>
                          <w:color w:val="FFFFFF" w:themeColor="background1"/>
                        </w:rPr>
                        <w:t>CALIFORNIA COMMUNITY LIVING FUND</w:t>
                      </w:r>
                      <w:r>
                        <w:rPr>
                          <w:rFonts w:ascii="Arial" w:hAnsi="Arial" w:cs="Arial"/>
                          <w:b/>
                          <w:bCs/>
                          <w:color w:val="FFFFFF" w:themeColor="background1"/>
                        </w:rPr>
                        <w:t xml:space="preserve"> PROGRAM</w:t>
                      </w:r>
                    </w:p>
                    <w:p w14:paraId="4CDAC11E" w14:textId="77777777" w:rsidR="008B7CD3" w:rsidRDefault="008B7CD3" w:rsidP="008B7CD3">
                      <w:pPr>
                        <w:jc w:val="center"/>
                      </w:pPr>
                    </w:p>
                  </w:txbxContent>
                </v:textbox>
                <w10:anchorlock/>
              </v:rect>
            </w:pict>
          </mc:Fallback>
        </mc:AlternateContent>
      </w:r>
    </w:p>
    <w:p w14:paraId="61203135" w14:textId="77777777" w:rsidR="008B7CD3" w:rsidRPr="00FD760A" w:rsidRDefault="008B7CD3" w:rsidP="008B7CD3">
      <w:r>
        <w:rPr>
          <w:noProof/>
        </w:rPr>
        <mc:AlternateContent>
          <mc:Choice Requires="wps">
            <w:drawing>
              <wp:inline distT="0" distB="0" distL="0" distR="0" wp14:anchorId="3A79A0F7" wp14:editId="6720EA16">
                <wp:extent cx="5930900" cy="425450"/>
                <wp:effectExtent l="0" t="0" r="12700" b="12700"/>
                <wp:docPr id="3" name="Rectangle 3"/>
                <wp:cNvGraphicFramePr/>
                <a:graphic xmlns:a="http://schemas.openxmlformats.org/drawingml/2006/main">
                  <a:graphicData uri="http://schemas.microsoft.com/office/word/2010/wordprocessingShape">
                    <wps:wsp>
                      <wps:cNvSpPr/>
                      <wps:spPr>
                        <a:xfrm>
                          <a:off x="0" y="0"/>
                          <a:ext cx="5930900" cy="425450"/>
                        </a:xfrm>
                        <a:prstGeom prst="rect">
                          <a:avLst/>
                        </a:prstGeom>
                        <a:ln>
                          <a:solidFill>
                            <a:schemeClr val="bg2"/>
                          </a:solidFill>
                        </a:ln>
                      </wps:spPr>
                      <wps:style>
                        <a:lnRef idx="2">
                          <a:schemeClr val="accent1">
                            <a:shade val="50000"/>
                          </a:schemeClr>
                        </a:lnRef>
                        <a:fillRef idx="1001">
                          <a:schemeClr val="lt2"/>
                        </a:fillRef>
                        <a:effectRef idx="0">
                          <a:schemeClr val="accent1"/>
                        </a:effectRef>
                        <a:fontRef idx="minor">
                          <a:schemeClr val="lt1"/>
                        </a:fontRef>
                      </wps:style>
                      <wps:txbx>
                        <w:txbxContent>
                          <w:p w14:paraId="0800FA8D" w14:textId="011ED2C7" w:rsidR="008B7CD3" w:rsidRPr="008B7CD3" w:rsidRDefault="001621D3" w:rsidP="008B7CD3">
                            <w:pPr>
                              <w:pStyle w:val="Heading2"/>
                              <w:jc w:val="center"/>
                              <w:rPr>
                                <w:rFonts w:ascii="Arial" w:hAnsi="Arial" w:cs="Arial"/>
                                <w:b/>
                                <w:bCs/>
                                <w:color w:val="002060"/>
                                <w:sz w:val="28"/>
                                <w:szCs w:val="28"/>
                              </w:rPr>
                            </w:pPr>
                            <w:r>
                              <w:rPr>
                                <w:rFonts w:ascii="Arial" w:hAnsi="Arial" w:cs="Arial"/>
                                <w:b/>
                                <w:bCs/>
                                <w:color w:val="002060"/>
                                <w:sz w:val="28"/>
                                <w:szCs w:val="28"/>
                              </w:rPr>
                              <w:t xml:space="preserve">Program </w:t>
                            </w:r>
                            <w:r w:rsidR="008B7CD3" w:rsidRPr="008B7CD3">
                              <w:rPr>
                                <w:rFonts w:ascii="Arial" w:hAnsi="Arial" w:cs="Arial"/>
                                <w:b/>
                                <w:bCs/>
                                <w:color w:val="002060"/>
                                <w:sz w:val="28"/>
                                <w:szCs w:val="28"/>
                              </w:rPr>
                              <w:t>Definitions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79A0F7" id="Rectangle 3" o:spid="_x0000_s1027" style="width:467pt;height: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" fillcolor="#e7e6e6 [3203]" strokecolor="#e7e6e6 [3214]" strokeweight="1pt">
                <v:textbox>
                  <w:txbxContent>
                    <w:p w14:paraId="0800FA8D" w14:textId="011ED2C7" w:rsidR="008B7CD3" w:rsidRPr="008B7CD3" w:rsidRDefault="001621D3" w:rsidP="008B7CD3">
                      <w:pPr>
                        <w:pStyle w:val="Heading2"/>
                        <w:jc w:val="center"/>
                        <w:rPr>
                          <w:rFonts w:ascii="Arial" w:hAnsi="Arial" w:cs="Arial"/>
                          <w:b/>
                          <w:bCs/>
                          <w:color w:val="002060"/>
                          <w:sz w:val="28"/>
                          <w:szCs w:val="28"/>
                        </w:rPr>
                      </w:pPr>
                      <w:r>
                        <w:rPr>
                          <w:rFonts w:ascii="Arial" w:hAnsi="Arial" w:cs="Arial"/>
                          <w:b/>
                          <w:bCs/>
                          <w:color w:val="002060"/>
                          <w:sz w:val="28"/>
                          <w:szCs w:val="28"/>
                        </w:rPr>
                        <w:t xml:space="preserve">Program </w:t>
                      </w:r>
                      <w:r w:rsidR="008B7CD3" w:rsidRPr="008B7CD3">
                        <w:rPr>
                          <w:rFonts w:ascii="Arial" w:hAnsi="Arial" w:cs="Arial"/>
                          <w:b/>
                          <w:bCs/>
                          <w:color w:val="002060"/>
                          <w:sz w:val="28"/>
                          <w:szCs w:val="28"/>
                        </w:rPr>
                        <w:t>Definitions</w:t>
                      </w:r>
                    </w:p>
                  </w:txbxContent>
                </v:textbox>
                <w10:anchorlock/>
              </v:rect>
            </w:pict>
          </mc:Fallback>
        </mc:AlternateContent>
      </w:r>
    </w:p>
    <w:p w14:paraId="5AD0625B" w14:textId="075A1361" w:rsidR="00F62D7C" w:rsidRDefault="00F62D7C">
      <w:pPr>
        <w:rPr>
          <w:rFonts w:cs="Arial"/>
          <w:szCs w:val="28"/>
        </w:rPr>
      </w:pPr>
    </w:p>
    <w:tbl>
      <w:tblPr>
        <w:tblStyle w:val="TableGrid"/>
        <w:tblW w:w="9445" w:type="dxa"/>
        <w:tblLook w:val="04A0" w:firstRow="1" w:lastRow="0" w:firstColumn="1" w:lastColumn="0" w:noHBand="0" w:noVBand="1"/>
      </w:tblPr>
      <w:tblGrid>
        <w:gridCol w:w="3595"/>
        <w:gridCol w:w="5850"/>
      </w:tblGrid>
      <w:tr w:rsidR="00F62D7C" w:rsidRPr="00E06AD5" w14:paraId="45D09917" w14:textId="77777777" w:rsidTr="00224FDD">
        <w:trPr>
          <w:trHeight w:val="3347"/>
        </w:trPr>
        <w:tc>
          <w:tcPr>
            <w:tcW w:w="3595" w:type="dxa"/>
          </w:tcPr>
          <w:p w14:paraId="7324E499" w14:textId="77777777" w:rsidR="00F62D7C" w:rsidRDefault="00F62D7C" w:rsidP="00224FDD">
            <w:pPr>
              <w:rPr>
                <w:rFonts w:cs="Arial"/>
                <w:b/>
                <w:bCs/>
                <w:szCs w:val="28"/>
              </w:rPr>
            </w:pPr>
            <w:r>
              <w:rPr>
                <w:rFonts w:cs="Arial"/>
                <w:b/>
                <w:bCs/>
                <w:szCs w:val="28"/>
              </w:rPr>
              <w:t>Aging &amp; Disability Resource Connection (ADRC)</w:t>
            </w:r>
          </w:p>
        </w:tc>
        <w:tc>
          <w:tcPr>
            <w:tcW w:w="5850" w:type="dxa"/>
          </w:tcPr>
          <w:p w14:paraId="6962A48F" w14:textId="77777777" w:rsidR="00F62D7C" w:rsidRPr="00BF1419" w:rsidRDefault="00F62D7C" w:rsidP="00224FDD">
            <w:pPr>
              <w:pStyle w:val="Default"/>
              <w:rPr>
                <w:color w:val="auto"/>
                <w:sz w:val="28"/>
                <w:szCs w:val="28"/>
              </w:rPr>
            </w:pPr>
            <w:r w:rsidRPr="00BF1419">
              <w:rPr>
                <w:color w:val="auto"/>
                <w:sz w:val="28"/>
                <w:szCs w:val="28"/>
              </w:rPr>
              <w:t xml:space="preserve">ADRCs are intended to act as </w:t>
            </w:r>
            <w:r>
              <w:rPr>
                <w:color w:val="auto"/>
                <w:sz w:val="28"/>
                <w:szCs w:val="28"/>
              </w:rPr>
              <w:t xml:space="preserve">part of </w:t>
            </w:r>
            <w:r w:rsidRPr="00BF1419">
              <w:rPr>
                <w:color w:val="auto"/>
                <w:sz w:val="28"/>
                <w:szCs w:val="28"/>
              </w:rPr>
              <w:t>a "</w:t>
            </w:r>
            <w:hyperlink r:id="rId7" w:tgtFrame="_blank" w:history="1">
              <w:r w:rsidRPr="0049225E">
                <w:rPr>
                  <w:color w:val="auto"/>
                  <w:sz w:val="28"/>
                  <w:szCs w:val="28"/>
                </w:rPr>
                <w:t>No Wrong Door</w:t>
              </w:r>
            </w:hyperlink>
            <w:r w:rsidRPr="00BF1419">
              <w:rPr>
                <w:color w:val="auto"/>
                <w:sz w:val="28"/>
                <w:szCs w:val="28"/>
              </w:rPr>
              <w:t xml:space="preserve">" system which enables people of all ages, incomes, and disabilities to connect with any one ADRC partner organization for accessing a wide array of Long-Term Services and Support </w:t>
            </w:r>
            <w:r>
              <w:rPr>
                <w:color w:val="auto"/>
                <w:sz w:val="28"/>
                <w:szCs w:val="28"/>
              </w:rPr>
              <w:t xml:space="preserve">(LTSS) </w:t>
            </w:r>
            <w:r w:rsidRPr="00BF1419">
              <w:rPr>
                <w:color w:val="auto"/>
                <w:sz w:val="28"/>
                <w:szCs w:val="28"/>
              </w:rPr>
              <w:t xml:space="preserve">options in the community. ADRCs </w:t>
            </w:r>
            <w:r w:rsidRPr="00EA7A3C">
              <w:rPr>
                <w:color w:val="auto"/>
                <w:sz w:val="28"/>
                <w:szCs w:val="28"/>
              </w:rPr>
              <w:t xml:space="preserve">serve older adults, adults with disabilities, family caregivers, </w:t>
            </w:r>
            <w:r>
              <w:rPr>
                <w:color w:val="auto"/>
                <w:sz w:val="28"/>
                <w:szCs w:val="28"/>
              </w:rPr>
              <w:t xml:space="preserve">including individuals living in the community </w:t>
            </w:r>
            <w:r w:rsidRPr="00EA7A3C">
              <w:rPr>
                <w:color w:val="auto"/>
                <w:sz w:val="28"/>
                <w:szCs w:val="28"/>
              </w:rPr>
              <w:t>and residents in long-term care facilities</w:t>
            </w:r>
            <w:r>
              <w:rPr>
                <w:color w:val="auto"/>
                <w:sz w:val="28"/>
                <w:szCs w:val="28"/>
              </w:rPr>
              <w:t xml:space="preserve">, </w:t>
            </w:r>
            <w:r w:rsidRPr="00BF1419">
              <w:rPr>
                <w:color w:val="auto"/>
                <w:sz w:val="28"/>
                <w:szCs w:val="28"/>
              </w:rPr>
              <w:t>and respect the diversity of families and cultures that make up their local communities</w:t>
            </w:r>
            <w:r>
              <w:rPr>
                <w:color w:val="auto"/>
                <w:sz w:val="28"/>
                <w:szCs w:val="28"/>
              </w:rPr>
              <w:t>.</w:t>
            </w:r>
          </w:p>
          <w:p w14:paraId="08500035" w14:textId="77777777" w:rsidR="00F62D7C" w:rsidRDefault="00F62D7C" w:rsidP="00224FDD">
            <w:pPr>
              <w:pStyle w:val="Default"/>
              <w:rPr>
                <w:color w:val="auto"/>
                <w:sz w:val="28"/>
                <w:szCs w:val="28"/>
              </w:rPr>
            </w:pPr>
          </w:p>
          <w:p w14:paraId="0024A735" w14:textId="77777777" w:rsidR="00F62D7C" w:rsidRDefault="00F62D7C" w:rsidP="00224FDD">
            <w:pPr>
              <w:rPr>
                <w:rFonts w:cs="Arial"/>
                <w:szCs w:val="28"/>
              </w:rPr>
            </w:pPr>
            <w:r>
              <w:rPr>
                <w:rFonts w:cs="Arial"/>
                <w:szCs w:val="28"/>
              </w:rPr>
              <w:t xml:space="preserve">In California, ADRCs are a core partnership between Independent Living Centers (ILC) and Area Agencies on Aging (AAA) that work with other disability and aging organizations to streamline access to LTSS. </w:t>
            </w:r>
          </w:p>
          <w:p w14:paraId="192F4757" w14:textId="77777777" w:rsidR="00F62D7C" w:rsidRPr="00E06AD5" w:rsidRDefault="00F62D7C" w:rsidP="00224FDD">
            <w:pPr>
              <w:rPr>
                <w:rFonts w:cs="Arial"/>
                <w:szCs w:val="28"/>
              </w:rPr>
            </w:pPr>
          </w:p>
        </w:tc>
      </w:tr>
      <w:tr w:rsidR="00F62D7C" w:rsidRPr="00E06AD5" w14:paraId="13706A99" w14:textId="77777777" w:rsidTr="00224FDD">
        <w:trPr>
          <w:trHeight w:val="2690"/>
        </w:trPr>
        <w:tc>
          <w:tcPr>
            <w:tcW w:w="3595" w:type="dxa"/>
          </w:tcPr>
          <w:p w14:paraId="6E8DF04F" w14:textId="77777777" w:rsidR="00F62D7C" w:rsidRPr="00AB4D53" w:rsidRDefault="00F62D7C" w:rsidP="00224FDD">
            <w:pPr>
              <w:rPr>
                <w:rFonts w:cs="Arial"/>
                <w:b/>
                <w:bCs/>
                <w:szCs w:val="28"/>
              </w:rPr>
            </w:pPr>
            <w:r w:rsidRPr="00AB4D53">
              <w:rPr>
                <w:rFonts w:cs="Arial"/>
                <w:b/>
                <w:bCs/>
                <w:color w:val="000000"/>
                <w:szCs w:val="28"/>
              </w:rPr>
              <w:t>Braiding Funding</w:t>
            </w:r>
          </w:p>
        </w:tc>
        <w:tc>
          <w:tcPr>
            <w:tcW w:w="5850" w:type="dxa"/>
          </w:tcPr>
          <w:p w14:paraId="5648FAC3" w14:textId="77777777" w:rsidR="00F62D7C" w:rsidRDefault="00F62D7C" w:rsidP="00224FDD">
            <w:pPr>
              <w:pStyle w:val="Default"/>
              <w:rPr>
                <w:sz w:val="28"/>
                <w:szCs w:val="28"/>
              </w:rPr>
            </w:pPr>
            <w:r>
              <w:rPr>
                <w:sz w:val="28"/>
                <w:szCs w:val="28"/>
              </w:rPr>
              <w:t>B</w:t>
            </w:r>
            <w:r w:rsidRPr="006B7A8E">
              <w:rPr>
                <w:sz w:val="28"/>
                <w:szCs w:val="28"/>
              </w:rPr>
              <w:t xml:space="preserve">raiding multiple funding streams is a process for using multiple funding </w:t>
            </w:r>
            <w:r>
              <w:rPr>
                <w:sz w:val="28"/>
                <w:szCs w:val="28"/>
              </w:rPr>
              <w:t>source</w:t>
            </w:r>
            <w:r w:rsidRPr="006B7A8E">
              <w:rPr>
                <w:sz w:val="28"/>
                <w:szCs w:val="28"/>
              </w:rPr>
              <w:t xml:space="preserve">s to support </w:t>
            </w:r>
            <w:r w:rsidRPr="007209C4">
              <w:rPr>
                <w:sz w:val="28"/>
                <w:szCs w:val="28"/>
              </w:rPr>
              <w:t xml:space="preserve">the total costs of a common goal (for example, to expand access to institutional transition and diversion or LTSS). </w:t>
            </w:r>
          </w:p>
          <w:p w14:paraId="48C8F29E" w14:textId="77777777" w:rsidR="00F62D7C" w:rsidRDefault="00F62D7C" w:rsidP="00224FDD">
            <w:pPr>
              <w:pStyle w:val="Default"/>
              <w:rPr>
                <w:sz w:val="28"/>
                <w:szCs w:val="28"/>
              </w:rPr>
            </w:pPr>
          </w:p>
          <w:p w14:paraId="601060D4" w14:textId="77777777" w:rsidR="00F62D7C" w:rsidRDefault="00F62D7C" w:rsidP="00224FDD">
            <w:pPr>
              <w:pStyle w:val="Default"/>
              <w:rPr>
                <w:sz w:val="28"/>
                <w:szCs w:val="28"/>
              </w:rPr>
            </w:pPr>
            <w:r w:rsidRPr="006B7A8E">
              <w:rPr>
                <w:sz w:val="28"/>
                <w:szCs w:val="28"/>
              </w:rPr>
              <w:t>When funds are braided, two or more funding sources are coordinated to support the total cost of a service. Revenues are allocated and expenditures tracked by different categories of funding sources.</w:t>
            </w:r>
          </w:p>
          <w:p w14:paraId="6F5F7F27" w14:textId="77777777" w:rsidR="00F62D7C" w:rsidRDefault="00F62D7C" w:rsidP="00224FDD">
            <w:pPr>
              <w:pStyle w:val="Default"/>
              <w:rPr>
                <w:sz w:val="28"/>
                <w:szCs w:val="28"/>
              </w:rPr>
            </w:pPr>
          </w:p>
          <w:p w14:paraId="3D9DE8B7" w14:textId="77777777" w:rsidR="00F62D7C" w:rsidRDefault="00F62D7C" w:rsidP="00224FDD">
            <w:pPr>
              <w:pStyle w:val="Default"/>
              <w:rPr>
                <w:sz w:val="28"/>
                <w:szCs w:val="28"/>
              </w:rPr>
            </w:pPr>
            <w:r w:rsidRPr="007209C4">
              <w:rPr>
                <w:sz w:val="28"/>
                <w:szCs w:val="28"/>
              </w:rPr>
              <w:lastRenderedPageBreak/>
              <w:t xml:space="preserve">Each individual funding stream maintains its specific program identity, meaning that funds from each specific funding source is tracked separately. This helps to ensure there is no duplicate funding. </w:t>
            </w:r>
          </w:p>
          <w:p w14:paraId="6DF57D88" w14:textId="77777777" w:rsidR="00F62D7C" w:rsidRDefault="00F62D7C" w:rsidP="00224FDD">
            <w:pPr>
              <w:pStyle w:val="Default"/>
              <w:rPr>
                <w:sz w:val="28"/>
                <w:szCs w:val="28"/>
              </w:rPr>
            </w:pPr>
          </w:p>
          <w:p w14:paraId="7DDDCE6D" w14:textId="77777777" w:rsidR="00F62D7C" w:rsidRPr="007209C4" w:rsidRDefault="00F62D7C" w:rsidP="00224FDD">
            <w:pPr>
              <w:pStyle w:val="Default"/>
              <w:rPr>
                <w:sz w:val="28"/>
                <w:szCs w:val="28"/>
              </w:rPr>
            </w:pPr>
            <w:r w:rsidRPr="007209C4">
              <w:rPr>
                <w:sz w:val="28"/>
                <w:szCs w:val="28"/>
              </w:rPr>
              <w:t xml:space="preserve">Braiding for the CLF </w:t>
            </w:r>
            <w:r>
              <w:rPr>
                <w:sz w:val="28"/>
                <w:szCs w:val="28"/>
              </w:rPr>
              <w:t xml:space="preserve">Program </w:t>
            </w:r>
            <w:r w:rsidRPr="007209C4">
              <w:rPr>
                <w:sz w:val="28"/>
                <w:szCs w:val="28"/>
              </w:rPr>
              <w:t>may include:</w:t>
            </w:r>
          </w:p>
          <w:p w14:paraId="41452DE6" w14:textId="41FC235E" w:rsidR="00F62D7C" w:rsidRPr="007209C4" w:rsidRDefault="00F62D7C" w:rsidP="00224FDD">
            <w:pPr>
              <w:pStyle w:val="Default"/>
              <w:numPr>
                <w:ilvl w:val="0"/>
                <w:numId w:val="1"/>
              </w:numPr>
              <w:rPr>
                <w:sz w:val="28"/>
                <w:szCs w:val="28"/>
              </w:rPr>
            </w:pPr>
            <w:r w:rsidRPr="007209C4">
              <w:rPr>
                <w:sz w:val="28"/>
                <w:szCs w:val="28"/>
              </w:rPr>
              <w:t xml:space="preserve">Identifying funding streams. </w:t>
            </w:r>
            <w:r w:rsidR="00BB4B25" w:rsidRPr="007209C4">
              <w:rPr>
                <w:sz w:val="28"/>
                <w:szCs w:val="28"/>
              </w:rPr>
              <w:t>Identif</w:t>
            </w:r>
            <w:r w:rsidR="00BB4B25">
              <w:rPr>
                <w:sz w:val="28"/>
                <w:szCs w:val="28"/>
              </w:rPr>
              <w:t>ying</w:t>
            </w:r>
            <w:r w:rsidRPr="007209C4">
              <w:rPr>
                <w:sz w:val="28"/>
                <w:szCs w:val="28"/>
              </w:rPr>
              <w:t xml:space="preserve"> any local, </w:t>
            </w:r>
            <w:proofErr w:type="gramStart"/>
            <w:r w:rsidRPr="007209C4">
              <w:rPr>
                <w:sz w:val="28"/>
                <w:szCs w:val="28"/>
              </w:rPr>
              <w:t>state</w:t>
            </w:r>
            <w:proofErr w:type="gramEnd"/>
            <w:r w:rsidRPr="007209C4">
              <w:rPr>
                <w:sz w:val="28"/>
                <w:szCs w:val="28"/>
              </w:rPr>
              <w:t xml:space="preserve"> or federal funding streams that support institutional transition and diversion goals and outcomes. Identif</w:t>
            </w:r>
            <w:r>
              <w:rPr>
                <w:sz w:val="28"/>
                <w:szCs w:val="28"/>
              </w:rPr>
              <w:t>y</w:t>
            </w:r>
            <w:r w:rsidRPr="007209C4">
              <w:rPr>
                <w:sz w:val="28"/>
                <w:szCs w:val="28"/>
              </w:rPr>
              <w:t xml:space="preserve"> gaps between existing funding streams and those that can be supported by the CLF</w:t>
            </w:r>
            <w:r>
              <w:rPr>
                <w:sz w:val="28"/>
                <w:szCs w:val="28"/>
              </w:rPr>
              <w:t xml:space="preserve"> Program</w:t>
            </w:r>
            <w:r w:rsidRPr="007209C4">
              <w:rPr>
                <w:sz w:val="28"/>
                <w:szCs w:val="28"/>
              </w:rPr>
              <w:t>.</w:t>
            </w:r>
          </w:p>
          <w:p w14:paraId="15FEA59A" w14:textId="6A028B24" w:rsidR="00F62D7C" w:rsidRPr="007209C4" w:rsidRDefault="00F62D7C" w:rsidP="00224FDD">
            <w:pPr>
              <w:pStyle w:val="Default"/>
              <w:numPr>
                <w:ilvl w:val="0"/>
                <w:numId w:val="1"/>
              </w:numPr>
              <w:rPr>
                <w:sz w:val="28"/>
                <w:szCs w:val="28"/>
              </w:rPr>
            </w:pPr>
            <w:r w:rsidRPr="007209C4">
              <w:rPr>
                <w:sz w:val="28"/>
                <w:szCs w:val="28"/>
              </w:rPr>
              <w:t>Identif</w:t>
            </w:r>
            <w:r>
              <w:rPr>
                <w:sz w:val="28"/>
                <w:szCs w:val="28"/>
              </w:rPr>
              <w:t>ying</w:t>
            </w:r>
            <w:r w:rsidRPr="007209C4">
              <w:rPr>
                <w:sz w:val="28"/>
                <w:szCs w:val="28"/>
              </w:rPr>
              <w:t xml:space="preserve"> eligible populations and compare requirements. Identifying individuals who need institutional transition and diversion services and their eligible for services funded through different funding streams. </w:t>
            </w:r>
          </w:p>
          <w:p w14:paraId="6523BEA3" w14:textId="7461D4A2" w:rsidR="00F62D7C" w:rsidRDefault="00F62D7C" w:rsidP="00224FDD">
            <w:pPr>
              <w:pStyle w:val="Default"/>
              <w:numPr>
                <w:ilvl w:val="0"/>
                <w:numId w:val="1"/>
              </w:numPr>
              <w:rPr>
                <w:sz w:val="28"/>
                <w:szCs w:val="28"/>
              </w:rPr>
            </w:pPr>
            <w:r w:rsidRPr="007209C4">
              <w:rPr>
                <w:sz w:val="28"/>
                <w:szCs w:val="28"/>
              </w:rPr>
              <w:t>Build</w:t>
            </w:r>
            <w:r>
              <w:rPr>
                <w:sz w:val="28"/>
                <w:szCs w:val="28"/>
              </w:rPr>
              <w:t>ing</w:t>
            </w:r>
            <w:r w:rsidRPr="007209C4">
              <w:rPr>
                <w:sz w:val="28"/>
                <w:szCs w:val="28"/>
              </w:rPr>
              <w:t xml:space="preserve"> </w:t>
            </w:r>
            <w:r>
              <w:rPr>
                <w:sz w:val="28"/>
                <w:szCs w:val="28"/>
              </w:rPr>
              <w:t xml:space="preserve">a </w:t>
            </w:r>
            <w:r w:rsidRPr="007209C4">
              <w:rPr>
                <w:sz w:val="28"/>
                <w:szCs w:val="28"/>
              </w:rPr>
              <w:t>system to collaborate and coordinate. Develop methods to coordinate and collaborate with services and programs that can support institutional transition and diversion services or that provide LTSS to support on-going community needs. This might include a method to share confidential consumer information to determine eligibility.</w:t>
            </w:r>
          </w:p>
          <w:p w14:paraId="27556E2D" w14:textId="77777777" w:rsidR="00F62D7C" w:rsidRPr="00E06AD5" w:rsidRDefault="00F62D7C" w:rsidP="00224FDD">
            <w:pPr>
              <w:pStyle w:val="Default"/>
              <w:ind w:left="720"/>
              <w:rPr>
                <w:sz w:val="28"/>
                <w:szCs w:val="28"/>
              </w:rPr>
            </w:pPr>
          </w:p>
        </w:tc>
      </w:tr>
      <w:tr w:rsidR="00F62D7C" w:rsidRPr="0090734C" w14:paraId="1FB63490" w14:textId="77777777" w:rsidTr="00224FDD">
        <w:trPr>
          <w:trHeight w:val="2033"/>
        </w:trPr>
        <w:tc>
          <w:tcPr>
            <w:tcW w:w="3595" w:type="dxa"/>
          </w:tcPr>
          <w:p w14:paraId="5AB6368A" w14:textId="77777777" w:rsidR="00F62D7C" w:rsidRDefault="00F62D7C" w:rsidP="00224FDD">
            <w:pPr>
              <w:rPr>
                <w:rFonts w:cs="Arial"/>
                <w:b/>
                <w:bCs/>
                <w:szCs w:val="28"/>
              </w:rPr>
            </w:pPr>
            <w:r w:rsidRPr="004E567C">
              <w:rPr>
                <w:rFonts w:cs="Arial"/>
                <w:b/>
                <w:bCs/>
                <w:szCs w:val="28"/>
              </w:rPr>
              <w:lastRenderedPageBreak/>
              <w:t>Community Living</w:t>
            </w:r>
          </w:p>
        </w:tc>
        <w:tc>
          <w:tcPr>
            <w:tcW w:w="5850" w:type="dxa"/>
          </w:tcPr>
          <w:p w14:paraId="796CB238" w14:textId="47E5B70B" w:rsidR="00F62D7C" w:rsidRDefault="00F62D7C" w:rsidP="00224FDD">
            <w:pPr>
              <w:autoSpaceDE w:val="0"/>
              <w:autoSpaceDN w:val="0"/>
              <w:adjustRightInd w:val="0"/>
              <w:rPr>
                <w:rFonts w:cs="Arial"/>
                <w:color w:val="000000"/>
                <w:szCs w:val="28"/>
              </w:rPr>
            </w:pPr>
            <w:r w:rsidRPr="006C2525">
              <w:rPr>
                <w:rFonts w:cs="Arial"/>
                <w:color w:val="000000"/>
                <w:szCs w:val="28"/>
              </w:rPr>
              <w:t>Community living provides</w:t>
            </w:r>
            <w:r>
              <w:rPr>
                <w:rFonts w:cs="Arial"/>
                <w:color w:val="000000"/>
                <w:szCs w:val="28"/>
              </w:rPr>
              <w:t xml:space="preserve"> individuals</w:t>
            </w:r>
            <w:r w:rsidRPr="006C2525">
              <w:rPr>
                <w:rFonts w:cs="Arial"/>
                <w:color w:val="000000"/>
                <w:szCs w:val="28"/>
              </w:rPr>
              <w:t xml:space="preserve"> full access</w:t>
            </w:r>
            <w:r>
              <w:rPr>
                <w:rFonts w:cs="Arial"/>
                <w:color w:val="000000"/>
                <w:szCs w:val="28"/>
              </w:rPr>
              <w:t xml:space="preserve"> </w:t>
            </w:r>
            <w:r w:rsidRPr="006C2525">
              <w:rPr>
                <w:rFonts w:cs="Arial"/>
                <w:color w:val="000000"/>
                <w:szCs w:val="28"/>
              </w:rPr>
              <w:t xml:space="preserve">to the greater community, including opportunities to seek employment and work in competitive integrated settings, engage in community life, control personal resources, and receive services in the community. </w:t>
            </w:r>
          </w:p>
          <w:p w14:paraId="59FE179C" w14:textId="77777777" w:rsidR="00F62D7C" w:rsidRDefault="00F62D7C" w:rsidP="00224FDD">
            <w:pPr>
              <w:autoSpaceDE w:val="0"/>
              <w:autoSpaceDN w:val="0"/>
              <w:adjustRightInd w:val="0"/>
              <w:rPr>
                <w:rFonts w:cs="Arial"/>
                <w:color w:val="000000"/>
                <w:szCs w:val="28"/>
              </w:rPr>
            </w:pPr>
          </w:p>
          <w:p w14:paraId="03DCB2E3" w14:textId="77777777" w:rsidR="00F62D7C" w:rsidRDefault="00F62D7C" w:rsidP="00224FDD">
            <w:pPr>
              <w:autoSpaceDE w:val="0"/>
              <w:autoSpaceDN w:val="0"/>
              <w:adjustRightInd w:val="0"/>
              <w:rPr>
                <w:rFonts w:cs="Arial"/>
                <w:color w:val="000000"/>
                <w:szCs w:val="28"/>
              </w:rPr>
            </w:pPr>
            <w:r w:rsidRPr="006B7A8E">
              <w:rPr>
                <w:rFonts w:cs="Arial"/>
                <w:color w:val="000000"/>
                <w:szCs w:val="28"/>
              </w:rPr>
              <w:lastRenderedPageBreak/>
              <w:t>All people, regardless of age or disability, should have the right to make choices and to control the decisions in and about their lives. This right to self-determination includes decisions about their homes and work, as well as all daily choices</w:t>
            </w:r>
            <w:r>
              <w:rPr>
                <w:rFonts w:cs="Arial"/>
                <w:color w:val="000000"/>
                <w:szCs w:val="28"/>
              </w:rPr>
              <w:t>.</w:t>
            </w:r>
          </w:p>
          <w:p w14:paraId="2FF6CCDF" w14:textId="77777777" w:rsidR="00F62D7C" w:rsidRPr="006C2525" w:rsidRDefault="00F62D7C" w:rsidP="00224FDD">
            <w:pPr>
              <w:pageBreakBefore/>
              <w:autoSpaceDE w:val="0"/>
              <w:autoSpaceDN w:val="0"/>
              <w:adjustRightInd w:val="0"/>
              <w:rPr>
                <w:rFonts w:cs="Arial"/>
                <w:color w:val="000000"/>
                <w:szCs w:val="28"/>
              </w:rPr>
            </w:pPr>
          </w:p>
          <w:p w14:paraId="2A1E4EA5" w14:textId="1CF7221B" w:rsidR="00F62D7C" w:rsidRDefault="00F62D7C" w:rsidP="00224FDD">
            <w:pPr>
              <w:autoSpaceDE w:val="0"/>
              <w:autoSpaceDN w:val="0"/>
              <w:adjustRightInd w:val="0"/>
              <w:spacing w:after="158"/>
              <w:rPr>
                <w:rFonts w:cs="Arial"/>
                <w:color w:val="000000"/>
                <w:szCs w:val="28"/>
              </w:rPr>
            </w:pPr>
            <w:r w:rsidRPr="006C2525">
              <w:rPr>
                <w:rFonts w:cs="Arial"/>
                <w:color w:val="000000"/>
                <w:szCs w:val="28"/>
              </w:rPr>
              <w:t>A community living setting is selected by the individual from among various setting options, including non-disability-specific settings and an option for a private unit in a residential setting</w:t>
            </w:r>
            <w:r>
              <w:rPr>
                <w:rFonts w:cs="Arial"/>
                <w:color w:val="000000"/>
                <w:szCs w:val="28"/>
              </w:rPr>
              <w:t xml:space="preserve"> that also:</w:t>
            </w:r>
          </w:p>
          <w:p w14:paraId="67BBDC4B" w14:textId="77777777" w:rsidR="00F62D7C" w:rsidRDefault="00F62D7C" w:rsidP="00224FDD">
            <w:pPr>
              <w:pStyle w:val="ListParagraph"/>
              <w:numPr>
                <w:ilvl w:val="0"/>
                <w:numId w:val="1"/>
              </w:numPr>
              <w:autoSpaceDE w:val="0"/>
              <w:autoSpaceDN w:val="0"/>
              <w:adjustRightInd w:val="0"/>
              <w:spacing w:after="158"/>
              <w:rPr>
                <w:rFonts w:cs="Arial"/>
                <w:color w:val="000000"/>
                <w:szCs w:val="28"/>
              </w:rPr>
            </w:pPr>
            <w:r>
              <w:rPr>
                <w:rFonts w:cs="Arial"/>
                <w:color w:val="000000"/>
                <w:szCs w:val="28"/>
              </w:rPr>
              <w:t>I</w:t>
            </w:r>
            <w:r w:rsidRPr="00F239BE">
              <w:rPr>
                <w:rFonts w:cs="Arial"/>
                <w:color w:val="000000"/>
                <w:szCs w:val="28"/>
              </w:rPr>
              <w:t xml:space="preserve">s based on the individual’s needs, preferences, and, for residential settings, ensures an individual’s rights of privacy, dignity, respect, and freedom from coercion and restraint. </w:t>
            </w:r>
          </w:p>
          <w:p w14:paraId="2CFF069C" w14:textId="77777777" w:rsidR="00F62D7C" w:rsidRDefault="00F62D7C" w:rsidP="00224FDD">
            <w:pPr>
              <w:pStyle w:val="ListParagraph"/>
              <w:numPr>
                <w:ilvl w:val="0"/>
                <w:numId w:val="1"/>
              </w:numPr>
              <w:autoSpaceDE w:val="0"/>
              <w:autoSpaceDN w:val="0"/>
              <w:adjustRightInd w:val="0"/>
              <w:spacing w:after="158"/>
              <w:rPr>
                <w:rFonts w:cs="Arial"/>
                <w:color w:val="000000"/>
                <w:szCs w:val="28"/>
              </w:rPr>
            </w:pPr>
            <w:r w:rsidRPr="00F239BE">
              <w:rPr>
                <w:rFonts w:cs="Arial"/>
                <w:color w:val="000000"/>
                <w:szCs w:val="28"/>
              </w:rPr>
              <w:t xml:space="preserve">Optimizes, but does regiment, individual initiative, autonomy, and independence in making life choices, including, but not limited to, daily activities, the physical environment, and with whom to interact. </w:t>
            </w:r>
          </w:p>
          <w:p w14:paraId="69ACA802" w14:textId="4D5A2E45" w:rsidR="00F62D7C" w:rsidRPr="0090734C" w:rsidRDefault="00F62D7C" w:rsidP="00224FDD">
            <w:pPr>
              <w:rPr>
                <w:rFonts w:cs="Arial"/>
                <w:szCs w:val="28"/>
              </w:rPr>
            </w:pPr>
            <w:r w:rsidRPr="0090734C">
              <w:rPr>
                <w:rFonts w:cs="Arial"/>
                <w:color w:val="000000"/>
                <w:szCs w:val="28"/>
              </w:rPr>
              <w:t xml:space="preserve">Facilitates individual choice regarding services and supports, and who provides them. </w:t>
            </w:r>
          </w:p>
        </w:tc>
      </w:tr>
      <w:tr w:rsidR="00F62D7C" w:rsidRPr="00143149" w14:paraId="15AFF799" w14:textId="77777777" w:rsidTr="00224FDD">
        <w:trPr>
          <w:trHeight w:val="3347"/>
        </w:trPr>
        <w:tc>
          <w:tcPr>
            <w:tcW w:w="3595" w:type="dxa"/>
          </w:tcPr>
          <w:p w14:paraId="2C0B3801" w14:textId="77777777" w:rsidR="00F62D7C" w:rsidRDefault="00F62D7C" w:rsidP="00224FDD">
            <w:pPr>
              <w:rPr>
                <w:rFonts w:cs="Arial"/>
                <w:b/>
                <w:bCs/>
                <w:szCs w:val="28"/>
              </w:rPr>
            </w:pPr>
            <w:r>
              <w:rPr>
                <w:rFonts w:cs="Arial"/>
                <w:b/>
                <w:bCs/>
                <w:szCs w:val="28"/>
              </w:rPr>
              <w:lastRenderedPageBreak/>
              <w:t>Community Living Funds</w:t>
            </w:r>
          </w:p>
        </w:tc>
        <w:tc>
          <w:tcPr>
            <w:tcW w:w="5850" w:type="dxa"/>
          </w:tcPr>
          <w:p w14:paraId="457040F9" w14:textId="553C06DC" w:rsidR="00F62D7C" w:rsidRDefault="00F62D7C" w:rsidP="00224FDD">
            <w:pPr>
              <w:rPr>
                <w:rFonts w:cs="Arial"/>
                <w:szCs w:val="28"/>
              </w:rPr>
            </w:pPr>
            <w:r w:rsidRPr="00E06AD5">
              <w:rPr>
                <w:rFonts w:cs="Arial"/>
                <w:szCs w:val="28"/>
              </w:rPr>
              <w:t xml:space="preserve">The Community Living Fund </w:t>
            </w:r>
            <w:r>
              <w:rPr>
                <w:rFonts w:cs="Arial"/>
                <w:szCs w:val="28"/>
              </w:rPr>
              <w:t>P</w:t>
            </w:r>
            <w:r w:rsidRPr="00E06AD5">
              <w:rPr>
                <w:rFonts w:cs="Arial"/>
                <w:szCs w:val="28"/>
              </w:rPr>
              <w:t>rogram advances the governor’s Master Plan for Aging (MPA) and the ADRC No Wrong Door</w:t>
            </w:r>
            <w:r>
              <w:rPr>
                <w:rFonts w:cs="Arial"/>
                <w:szCs w:val="28"/>
              </w:rPr>
              <w:t xml:space="preserve"> </w:t>
            </w:r>
            <w:r w:rsidRPr="00E06AD5">
              <w:rPr>
                <w:rFonts w:cs="Arial"/>
                <w:szCs w:val="28"/>
              </w:rPr>
              <w:t>model by expanding the capacity of disability and aging services and programs to provide person-centered transition and diversion services for people of all ages and with any type of disability who do not qualify for existing services.</w:t>
            </w:r>
            <w:r>
              <w:rPr>
                <w:rFonts w:cs="Arial"/>
                <w:szCs w:val="28"/>
              </w:rPr>
              <w:t xml:space="preserve"> It is a </w:t>
            </w:r>
            <w:r w:rsidRPr="00936430">
              <w:rPr>
                <w:rFonts w:cs="Arial"/>
                <w:szCs w:val="28"/>
              </w:rPr>
              <w:t>$10 million</w:t>
            </w:r>
            <w:r>
              <w:rPr>
                <w:rFonts w:cs="Arial"/>
                <w:szCs w:val="28"/>
              </w:rPr>
              <w:t xml:space="preserve"> State</w:t>
            </w:r>
            <w:r w:rsidRPr="00936430">
              <w:rPr>
                <w:rFonts w:cs="Arial"/>
                <w:szCs w:val="28"/>
              </w:rPr>
              <w:t xml:space="preserve"> General Fund for </w:t>
            </w:r>
            <w:r>
              <w:rPr>
                <w:rFonts w:cs="Arial"/>
                <w:szCs w:val="28"/>
              </w:rPr>
              <w:t>DOR</w:t>
            </w:r>
            <w:r w:rsidRPr="00936430">
              <w:rPr>
                <w:rFonts w:cs="Arial"/>
                <w:szCs w:val="28"/>
              </w:rPr>
              <w:t xml:space="preserve"> to expand related services over three years</w:t>
            </w:r>
            <w:r>
              <w:rPr>
                <w:rFonts w:cs="Arial"/>
                <w:szCs w:val="28"/>
              </w:rPr>
              <w:t>.</w:t>
            </w:r>
          </w:p>
          <w:p w14:paraId="7E797CA6" w14:textId="77777777" w:rsidR="00F62D7C" w:rsidRPr="00143149" w:rsidRDefault="00F62D7C" w:rsidP="00224FDD">
            <w:pPr>
              <w:rPr>
                <w:rFonts w:cs="Arial"/>
                <w:szCs w:val="28"/>
              </w:rPr>
            </w:pPr>
          </w:p>
        </w:tc>
      </w:tr>
      <w:tr w:rsidR="00F62D7C" w:rsidRPr="00E06AD5" w14:paraId="76A585B7" w14:textId="77777777" w:rsidTr="00224FDD">
        <w:trPr>
          <w:trHeight w:val="2123"/>
        </w:trPr>
        <w:tc>
          <w:tcPr>
            <w:tcW w:w="3595" w:type="dxa"/>
          </w:tcPr>
          <w:p w14:paraId="1ABA75D6" w14:textId="77777777" w:rsidR="00F62D7C" w:rsidRDefault="00F62D7C" w:rsidP="00224FDD">
            <w:pPr>
              <w:rPr>
                <w:rFonts w:cs="Arial"/>
                <w:b/>
                <w:bCs/>
                <w:szCs w:val="28"/>
              </w:rPr>
            </w:pPr>
            <w:r>
              <w:rPr>
                <w:rFonts w:cs="Arial"/>
                <w:b/>
                <w:bCs/>
                <w:szCs w:val="28"/>
              </w:rPr>
              <w:lastRenderedPageBreak/>
              <w:t>Diversion</w:t>
            </w:r>
          </w:p>
        </w:tc>
        <w:tc>
          <w:tcPr>
            <w:tcW w:w="5850" w:type="dxa"/>
          </w:tcPr>
          <w:p w14:paraId="7E4750A1" w14:textId="17ADE2CA" w:rsidR="00F62D7C" w:rsidRDefault="00F62D7C" w:rsidP="00224FDD">
            <w:pPr>
              <w:rPr>
                <w:rFonts w:eastAsia="Calibri"/>
              </w:rPr>
            </w:pPr>
            <w:r>
              <w:rPr>
                <w:rFonts w:cs="Arial"/>
                <w:szCs w:val="28"/>
              </w:rPr>
              <w:t>Assisting i</w:t>
            </w:r>
            <w:r w:rsidRPr="00C138F5">
              <w:rPr>
                <w:rFonts w:cs="Arial"/>
                <w:szCs w:val="28"/>
              </w:rPr>
              <w:t>ndividuals who are at risk of being institutionalized or entering an institutional setting</w:t>
            </w:r>
            <w:r>
              <w:rPr>
                <w:rFonts w:cs="Arial"/>
                <w:szCs w:val="28"/>
              </w:rPr>
              <w:t xml:space="preserve"> </w:t>
            </w:r>
            <w:r w:rsidRPr="00143149">
              <w:rPr>
                <w:rFonts w:cs="Arial"/>
                <w:szCs w:val="28"/>
              </w:rPr>
              <w:t>by providing services, supports, and/or equipment that prevents them from going into a higher level of care</w:t>
            </w:r>
            <w:r>
              <w:rPr>
                <w:rFonts w:cs="Arial"/>
                <w:szCs w:val="28"/>
              </w:rPr>
              <w:t>,</w:t>
            </w:r>
            <w:r w:rsidRPr="00143149">
              <w:rPr>
                <w:rFonts w:cs="Arial"/>
                <w:szCs w:val="28"/>
              </w:rPr>
              <w:t xml:space="preserve"> losing their housing</w:t>
            </w:r>
            <w:r>
              <w:rPr>
                <w:rFonts w:cs="Arial"/>
                <w:szCs w:val="28"/>
              </w:rPr>
              <w:t>,</w:t>
            </w:r>
            <w:r w:rsidRPr="00143149">
              <w:rPr>
                <w:rFonts w:cs="Arial"/>
                <w:szCs w:val="28"/>
              </w:rPr>
              <w:t xml:space="preserve"> and</w:t>
            </w:r>
            <w:r>
              <w:rPr>
                <w:rFonts w:cs="Arial"/>
                <w:szCs w:val="28"/>
              </w:rPr>
              <w:t>/or</w:t>
            </w:r>
            <w:r w:rsidRPr="00143149">
              <w:rPr>
                <w:rFonts w:cs="Arial"/>
                <w:szCs w:val="28"/>
              </w:rPr>
              <w:t xml:space="preserve"> formal or informal support systems.</w:t>
            </w:r>
            <w:r>
              <w:rPr>
                <w:rFonts w:eastAsia="Calibri"/>
              </w:rPr>
              <w:t xml:space="preserve"> </w:t>
            </w:r>
          </w:p>
          <w:p w14:paraId="10ED320B" w14:textId="77777777" w:rsidR="00F62D7C" w:rsidRPr="00E06AD5" w:rsidRDefault="00F62D7C" w:rsidP="00224FDD">
            <w:pPr>
              <w:rPr>
                <w:rFonts w:cs="Arial"/>
                <w:szCs w:val="28"/>
              </w:rPr>
            </w:pPr>
          </w:p>
        </w:tc>
      </w:tr>
      <w:tr w:rsidR="00F62D7C" w14:paraId="5FD3908D" w14:textId="77777777" w:rsidTr="00224FDD">
        <w:trPr>
          <w:trHeight w:val="1601"/>
        </w:trPr>
        <w:tc>
          <w:tcPr>
            <w:tcW w:w="3595" w:type="dxa"/>
          </w:tcPr>
          <w:p w14:paraId="4707C6C0" w14:textId="77777777" w:rsidR="00F62D7C" w:rsidRDefault="00F62D7C" w:rsidP="00224FDD">
            <w:pPr>
              <w:rPr>
                <w:rFonts w:cs="Arial"/>
                <w:b/>
                <w:bCs/>
                <w:szCs w:val="28"/>
              </w:rPr>
            </w:pPr>
            <w:r>
              <w:rPr>
                <w:rFonts w:cs="Arial"/>
                <w:b/>
                <w:bCs/>
                <w:szCs w:val="28"/>
              </w:rPr>
              <w:t>Full Time Equivalent (FTE)</w:t>
            </w:r>
          </w:p>
        </w:tc>
        <w:tc>
          <w:tcPr>
            <w:tcW w:w="5850" w:type="dxa"/>
          </w:tcPr>
          <w:p w14:paraId="1060849A" w14:textId="77777777" w:rsidR="00F62D7C" w:rsidRDefault="00F62D7C" w:rsidP="00224FDD">
            <w:pPr>
              <w:rPr>
                <w:rFonts w:cs="Arial"/>
                <w:szCs w:val="28"/>
              </w:rPr>
            </w:pPr>
            <w:r w:rsidRPr="00DE3543">
              <w:rPr>
                <w:rFonts w:cs="Arial"/>
                <w:szCs w:val="28"/>
              </w:rPr>
              <w:t xml:space="preserve">Full time </w:t>
            </w:r>
            <w:r>
              <w:rPr>
                <w:rFonts w:cs="Arial"/>
                <w:szCs w:val="28"/>
              </w:rPr>
              <w:t xml:space="preserve">equivalent (FTE) employee </w:t>
            </w:r>
            <w:r w:rsidRPr="00DE3543">
              <w:rPr>
                <w:rFonts w:cs="Arial"/>
                <w:szCs w:val="28"/>
              </w:rPr>
              <w:t>allocated to</w:t>
            </w:r>
            <w:r>
              <w:rPr>
                <w:rFonts w:cs="Arial"/>
                <w:szCs w:val="28"/>
              </w:rPr>
              <w:t xml:space="preserve"> </w:t>
            </w:r>
            <w:r w:rsidRPr="00DE3543">
              <w:rPr>
                <w:rFonts w:cs="Arial"/>
                <w:szCs w:val="28"/>
              </w:rPr>
              <w:t xml:space="preserve">this program </w:t>
            </w:r>
            <w:r>
              <w:rPr>
                <w:rFonts w:cs="Arial"/>
                <w:szCs w:val="28"/>
              </w:rPr>
              <w:t xml:space="preserve">for institutional </w:t>
            </w:r>
            <w:r w:rsidRPr="00DE3543">
              <w:rPr>
                <w:rFonts w:cs="Arial"/>
                <w:szCs w:val="28"/>
              </w:rPr>
              <w:t>transition diversion services</w:t>
            </w:r>
            <w:r>
              <w:rPr>
                <w:rFonts w:cs="Arial"/>
                <w:szCs w:val="28"/>
              </w:rPr>
              <w:t xml:space="preserve">. One FTE is equivalent to 40 hours a week. </w:t>
            </w:r>
          </w:p>
          <w:p w14:paraId="61CBBB0B" w14:textId="77777777" w:rsidR="00F62D7C" w:rsidRDefault="00F62D7C" w:rsidP="00224FDD">
            <w:pPr>
              <w:rPr>
                <w:rFonts w:cs="Arial"/>
                <w:szCs w:val="28"/>
              </w:rPr>
            </w:pPr>
          </w:p>
        </w:tc>
      </w:tr>
      <w:tr w:rsidR="00F62D7C" w:rsidRPr="00DE3543" w14:paraId="6A047974" w14:textId="77777777" w:rsidTr="00224FDD">
        <w:trPr>
          <w:trHeight w:val="1012"/>
        </w:trPr>
        <w:tc>
          <w:tcPr>
            <w:tcW w:w="3595" w:type="dxa"/>
          </w:tcPr>
          <w:p w14:paraId="525D5F37" w14:textId="77777777" w:rsidR="00F62D7C" w:rsidRDefault="00F62D7C" w:rsidP="00224FDD">
            <w:pPr>
              <w:rPr>
                <w:rFonts w:cs="Arial"/>
                <w:b/>
                <w:bCs/>
                <w:szCs w:val="28"/>
              </w:rPr>
            </w:pPr>
            <w:r>
              <w:rPr>
                <w:rFonts w:cs="Arial"/>
                <w:b/>
                <w:bCs/>
                <w:szCs w:val="28"/>
              </w:rPr>
              <w:t>Long-Term Services and Supports (LTSS)</w:t>
            </w:r>
          </w:p>
        </w:tc>
        <w:tc>
          <w:tcPr>
            <w:tcW w:w="5850" w:type="dxa"/>
          </w:tcPr>
          <w:p w14:paraId="631AB3B2" w14:textId="77777777" w:rsidR="00F62D7C" w:rsidRDefault="00F62D7C" w:rsidP="00224FDD">
            <w:pPr>
              <w:rPr>
                <w:rFonts w:cs="Arial"/>
                <w:color w:val="202124"/>
                <w:szCs w:val="28"/>
                <w:shd w:val="clear" w:color="auto" w:fill="FFFFFF"/>
              </w:rPr>
            </w:pPr>
            <w:r w:rsidRPr="00B82AF5">
              <w:rPr>
                <w:rFonts w:cs="Arial"/>
                <w:color w:val="202124"/>
                <w:szCs w:val="28"/>
                <w:shd w:val="clear" w:color="auto" w:fill="FFFFFF"/>
              </w:rPr>
              <w:t>Long-term services and supports (LTSS)</w:t>
            </w:r>
            <w:r>
              <w:rPr>
                <w:rFonts w:cs="Arial"/>
                <w:color w:val="202124"/>
                <w:szCs w:val="28"/>
                <w:shd w:val="clear" w:color="auto" w:fill="FFFFFF"/>
              </w:rPr>
              <w:t xml:space="preserve"> </w:t>
            </w:r>
            <w:r w:rsidRPr="00D04909">
              <w:rPr>
                <w:rFonts w:cs="Arial"/>
                <w:color w:val="202124"/>
                <w:szCs w:val="28"/>
                <w:shd w:val="clear" w:color="auto" w:fill="FFFFFF"/>
              </w:rPr>
              <w:t xml:space="preserve">includes a broad range of services and supports delivered by paid providers and unpaid caregivers to people who have limitations in their ability to care for themselves. These limitations </w:t>
            </w:r>
            <w:r>
              <w:rPr>
                <w:rFonts w:cs="Arial"/>
                <w:color w:val="202124"/>
                <w:szCs w:val="28"/>
                <w:shd w:val="clear" w:color="auto" w:fill="FFFFFF"/>
              </w:rPr>
              <w:t>may be</w:t>
            </w:r>
            <w:r w:rsidRPr="00D04909">
              <w:rPr>
                <w:rFonts w:cs="Arial"/>
                <w:color w:val="202124"/>
                <w:szCs w:val="28"/>
                <w:shd w:val="clear" w:color="auto" w:fill="FFFFFF"/>
              </w:rPr>
              <w:t xml:space="preserve"> due to a physical, mental, cognitive, or chronic health condition that is expected to continue for an extended period. LTSS services can be provided in a variety of settings including at home, in the community, in residential care, or in institutional settings.</w:t>
            </w:r>
          </w:p>
          <w:p w14:paraId="126C9107" w14:textId="77777777" w:rsidR="00F62D7C" w:rsidRPr="00DE3543" w:rsidRDefault="00F62D7C" w:rsidP="00224FDD">
            <w:pPr>
              <w:rPr>
                <w:rFonts w:cs="Arial"/>
                <w:szCs w:val="28"/>
              </w:rPr>
            </w:pPr>
          </w:p>
        </w:tc>
      </w:tr>
      <w:tr w:rsidR="00F62D7C" w:rsidRPr="008C72D8" w14:paraId="0DE35761" w14:textId="77777777" w:rsidTr="00224FDD">
        <w:trPr>
          <w:trHeight w:val="1670"/>
        </w:trPr>
        <w:tc>
          <w:tcPr>
            <w:tcW w:w="3595" w:type="dxa"/>
          </w:tcPr>
          <w:p w14:paraId="48B45505" w14:textId="77777777" w:rsidR="00F62D7C" w:rsidRDefault="00F62D7C" w:rsidP="00224FDD">
            <w:pPr>
              <w:rPr>
                <w:rFonts w:cs="Arial"/>
                <w:b/>
                <w:bCs/>
                <w:szCs w:val="28"/>
              </w:rPr>
            </w:pPr>
            <w:r>
              <w:rPr>
                <w:rFonts w:cs="Arial"/>
                <w:b/>
                <w:bCs/>
                <w:szCs w:val="28"/>
              </w:rPr>
              <w:t>No Wrong Door Model</w:t>
            </w:r>
          </w:p>
        </w:tc>
        <w:tc>
          <w:tcPr>
            <w:tcW w:w="5850" w:type="dxa"/>
          </w:tcPr>
          <w:p w14:paraId="492E80A6" w14:textId="10AD402B" w:rsidR="00F62D7C" w:rsidRDefault="00F62D7C" w:rsidP="00224FDD">
            <w:pPr>
              <w:rPr>
                <w:rFonts w:cs="Arial"/>
                <w:szCs w:val="28"/>
              </w:rPr>
            </w:pPr>
            <w:r w:rsidRPr="00AD55C9">
              <w:rPr>
                <w:rFonts w:cs="Arial"/>
                <w:szCs w:val="28"/>
              </w:rPr>
              <w:t>A No Wrong Door (NWD) System empower</w:t>
            </w:r>
            <w:r>
              <w:rPr>
                <w:rFonts w:cs="Arial"/>
                <w:szCs w:val="28"/>
              </w:rPr>
              <w:t>s</w:t>
            </w:r>
            <w:r w:rsidRPr="00AD55C9">
              <w:rPr>
                <w:rFonts w:cs="Arial"/>
                <w:szCs w:val="28"/>
              </w:rPr>
              <w:t xml:space="preserve"> individuals to make informed decisions, exercise control over their long-term care needs, and achieve their personal goals and preferences</w:t>
            </w:r>
            <w:r>
              <w:rPr>
                <w:rFonts w:cs="Arial"/>
                <w:szCs w:val="28"/>
              </w:rPr>
              <w:t>.</w:t>
            </w:r>
          </w:p>
          <w:p w14:paraId="180A465C" w14:textId="77777777" w:rsidR="00F62D7C" w:rsidRPr="00AD55C9" w:rsidRDefault="00F62D7C" w:rsidP="00224FDD">
            <w:pPr>
              <w:rPr>
                <w:rFonts w:cs="Arial"/>
                <w:szCs w:val="28"/>
              </w:rPr>
            </w:pPr>
          </w:p>
          <w:p w14:paraId="5D39FA08" w14:textId="77777777" w:rsidR="00F62D7C" w:rsidRDefault="00F62D7C" w:rsidP="00224FDD">
            <w:pPr>
              <w:rPr>
                <w:rFonts w:cs="Arial"/>
                <w:szCs w:val="28"/>
              </w:rPr>
            </w:pPr>
            <w:r w:rsidRPr="00AD55C9">
              <w:rPr>
                <w:rFonts w:cs="Arial"/>
                <w:szCs w:val="28"/>
              </w:rPr>
              <w:t>A NWD System expands access to services and supports, helping individuals and their caregivers navigate resources they need with a person-centered approach.</w:t>
            </w:r>
            <w:r>
              <w:rPr>
                <w:rFonts w:cs="Arial"/>
                <w:szCs w:val="28"/>
              </w:rPr>
              <w:t xml:space="preserve"> This System streamlines access to LTSS options for older adults and individuals with disabilities and provides information and assistance to </w:t>
            </w:r>
            <w:r>
              <w:rPr>
                <w:rFonts w:cs="Arial"/>
                <w:szCs w:val="28"/>
              </w:rPr>
              <w:lastRenderedPageBreak/>
              <w:t>individuals needing public or private resources.</w:t>
            </w:r>
          </w:p>
          <w:p w14:paraId="1439F11B" w14:textId="77777777" w:rsidR="00F62D7C" w:rsidRPr="008C72D8" w:rsidRDefault="00F62D7C" w:rsidP="00224FDD">
            <w:pPr>
              <w:rPr>
                <w:rFonts w:cs="Arial"/>
                <w:szCs w:val="28"/>
              </w:rPr>
            </w:pPr>
          </w:p>
        </w:tc>
      </w:tr>
      <w:tr w:rsidR="00F62D7C" w14:paraId="2AECE23C" w14:textId="77777777" w:rsidTr="00224FDD">
        <w:trPr>
          <w:trHeight w:val="334"/>
        </w:trPr>
        <w:tc>
          <w:tcPr>
            <w:tcW w:w="3595" w:type="dxa"/>
          </w:tcPr>
          <w:p w14:paraId="659BCB0D" w14:textId="77777777" w:rsidR="00F62D7C" w:rsidRDefault="00F62D7C" w:rsidP="00224FDD">
            <w:pPr>
              <w:rPr>
                <w:rFonts w:cs="Arial"/>
                <w:b/>
                <w:bCs/>
                <w:szCs w:val="28"/>
              </w:rPr>
            </w:pPr>
            <w:r w:rsidRPr="004E567C">
              <w:rPr>
                <w:rFonts w:cs="Arial"/>
                <w:b/>
                <w:bCs/>
                <w:color w:val="000000"/>
                <w:szCs w:val="28"/>
              </w:rPr>
              <w:lastRenderedPageBreak/>
              <w:t>Person</w:t>
            </w:r>
            <w:r>
              <w:rPr>
                <w:rFonts w:cs="Arial"/>
                <w:b/>
                <w:bCs/>
                <w:color w:val="000000"/>
                <w:szCs w:val="28"/>
              </w:rPr>
              <w:t>-</w:t>
            </w:r>
            <w:r w:rsidRPr="004E567C">
              <w:rPr>
                <w:rFonts w:cs="Arial"/>
                <w:b/>
                <w:bCs/>
                <w:color w:val="000000"/>
                <w:szCs w:val="28"/>
              </w:rPr>
              <w:t>Centered Counseling</w:t>
            </w:r>
            <w:r>
              <w:rPr>
                <w:rFonts w:cs="Arial"/>
                <w:b/>
                <w:bCs/>
                <w:color w:val="000000"/>
                <w:szCs w:val="28"/>
              </w:rPr>
              <w:t xml:space="preserve"> (PCC)</w:t>
            </w:r>
          </w:p>
        </w:tc>
        <w:tc>
          <w:tcPr>
            <w:tcW w:w="5850" w:type="dxa"/>
          </w:tcPr>
          <w:p w14:paraId="24C98F03" w14:textId="77777777" w:rsidR="00F62D7C" w:rsidRPr="0049225E" w:rsidRDefault="00F62D7C" w:rsidP="00224FDD">
            <w:pPr>
              <w:autoSpaceDE w:val="0"/>
              <w:autoSpaceDN w:val="0"/>
              <w:adjustRightInd w:val="0"/>
              <w:spacing w:after="158"/>
              <w:rPr>
                <w:rFonts w:cs="Arial"/>
                <w:color w:val="000000"/>
                <w:szCs w:val="28"/>
              </w:rPr>
            </w:pPr>
            <w:r w:rsidRPr="0049225E">
              <w:rPr>
                <w:rFonts w:cs="Arial"/>
                <w:color w:val="000000"/>
                <w:szCs w:val="28"/>
              </w:rPr>
              <w:t xml:space="preserve">Person-centered counseling (PCC) allows individuals to be engaged in the decision-making process about their options, preferences, values, and financial resources. Individuals in need of services or who are planning </w:t>
            </w:r>
            <w:r>
              <w:rPr>
                <w:rFonts w:cs="Arial"/>
                <w:color w:val="000000"/>
                <w:szCs w:val="28"/>
              </w:rPr>
              <w:t xml:space="preserve">to </w:t>
            </w:r>
            <w:r w:rsidRPr="0049225E">
              <w:rPr>
                <w:rFonts w:cs="Arial"/>
                <w:color w:val="000000"/>
                <w:szCs w:val="28"/>
              </w:rPr>
              <w:t>have access to one-on-one counseling in a variety of settings, including within the home, community residence, acute care hospital, school settings, or several other settings based on the individual's needs.</w:t>
            </w:r>
          </w:p>
          <w:p w14:paraId="63801F09" w14:textId="77777777" w:rsidR="00F62D7C" w:rsidRPr="0049225E" w:rsidRDefault="00F62D7C" w:rsidP="00224FDD">
            <w:pPr>
              <w:autoSpaceDE w:val="0"/>
              <w:autoSpaceDN w:val="0"/>
              <w:adjustRightInd w:val="0"/>
              <w:spacing w:after="158"/>
              <w:rPr>
                <w:rFonts w:cs="Arial"/>
                <w:b/>
                <w:bCs/>
                <w:color w:val="000000"/>
                <w:szCs w:val="28"/>
              </w:rPr>
            </w:pPr>
            <w:r w:rsidRPr="0049225E">
              <w:rPr>
                <w:rFonts w:cs="Arial"/>
                <w:color w:val="000000"/>
                <w:szCs w:val="28"/>
              </w:rPr>
              <w:t>PCC is a valuable tool for the aging and disability networks that can improve access to care through streamlined partnerships, technology, and resources that put the focus on the needs of people and their caregivers.</w:t>
            </w:r>
          </w:p>
          <w:p w14:paraId="453377E8" w14:textId="77777777" w:rsidR="00F62D7C" w:rsidRDefault="00F62D7C" w:rsidP="00224FDD">
            <w:pPr>
              <w:pStyle w:val="Default"/>
              <w:rPr>
                <w:sz w:val="28"/>
                <w:szCs w:val="32"/>
              </w:rPr>
            </w:pPr>
            <w:r w:rsidRPr="00CA1D54">
              <w:rPr>
                <w:sz w:val="28"/>
                <w:szCs w:val="32"/>
              </w:rPr>
              <w:t>A person-centered system recognizes that every individual is unique, and the system must be able to respond flexibly to each individual's situation, strengths, needs and preferences. PCC is centered on the individual and their personal goals and desires and is much broader in scope than any formal assessment or eligibility determination process tied to a public or private program.</w:t>
            </w:r>
          </w:p>
          <w:p w14:paraId="628BDEBD" w14:textId="77777777" w:rsidR="00F62D7C" w:rsidRDefault="00F62D7C" w:rsidP="00224FDD">
            <w:pPr>
              <w:pStyle w:val="Default"/>
              <w:rPr>
                <w:szCs w:val="28"/>
              </w:rPr>
            </w:pPr>
          </w:p>
        </w:tc>
      </w:tr>
      <w:tr w:rsidR="00F62D7C" w14:paraId="7C13B7DB" w14:textId="77777777" w:rsidTr="00224FDD">
        <w:trPr>
          <w:trHeight w:val="334"/>
        </w:trPr>
        <w:tc>
          <w:tcPr>
            <w:tcW w:w="3595" w:type="dxa"/>
          </w:tcPr>
          <w:p w14:paraId="5CAFEF03" w14:textId="77777777" w:rsidR="00F62D7C" w:rsidRDefault="00F62D7C" w:rsidP="00224FDD">
            <w:pPr>
              <w:rPr>
                <w:rFonts w:cs="Arial"/>
                <w:b/>
                <w:bCs/>
                <w:szCs w:val="28"/>
              </w:rPr>
            </w:pPr>
            <w:r w:rsidRPr="000A5D7A">
              <w:rPr>
                <w:rFonts w:cs="Arial"/>
                <w:b/>
                <w:bCs/>
                <w:color w:val="000000"/>
                <w:szCs w:val="28"/>
              </w:rPr>
              <w:t>Person</w:t>
            </w:r>
            <w:r>
              <w:rPr>
                <w:rFonts w:cs="Arial"/>
                <w:b/>
                <w:bCs/>
                <w:color w:val="000000"/>
                <w:szCs w:val="28"/>
              </w:rPr>
              <w:t>-</w:t>
            </w:r>
            <w:r w:rsidRPr="000A5D7A">
              <w:rPr>
                <w:rFonts w:cs="Arial"/>
                <w:b/>
                <w:bCs/>
                <w:color w:val="000000"/>
                <w:szCs w:val="28"/>
              </w:rPr>
              <w:t>Centered Services</w:t>
            </w:r>
          </w:p>
        </w:tc>
        <w:tc>
          <w:tcPr>
            <w:tcW w:w="5850" w:type="dxa"/>
          </w:tcPr>
          <w:p w14:paraId="64713069" w14:textId="77777777" w:rsidR="00F62D7C" w:rsidRPr="00235A01" w:rsidRDefault="00F62D7C" w:rsidP="00224FDD">
            <w:pPr>
              <w:autoSpaceDE w:val="0"/>
              <w:autoSpaceDN w:val="0"/>
              <w:adjustRightInd w:val="0"/>
              <w:spacing w:after="158"/>
              <w:rPr>
                <w:rFonts w:cs="Arial"/>
                <w:color w:val="000000"/>
                <w:szCs w:val="28"/>
              </w:rPr>
            </w:pPr>
            <w:r w:rsidRPr="00235A01">
              <w:rPr>
                <w:szCs w:val="28"/>
              </w:rPr>
              <w:t xml:space="preserve">Person-centered services allow individuals to be engaged in the decision-making process about their options, preferences, values, and financial resources. </w:t>
            </w:r>
          </w:p>
          <w:p w14:paraId="655B22AE" w14:textId="77777777" w:rsidR="00F62D7C" w:rsidRDefault="00F62D7C" w:rsidP="00224FDD">
            <w:pPr>
              <w:pStyle w:val="Default"/>
              <w:rPr>
                <w:sz w:val="28"/>
                <w:szCs w:val="32"/>
              </w:rPr>
            </w:pPr>
            <w:r w:rsidRPr="00CA1D54">
              <w:rPr>
                <w:sz w:val="28"/>
                <w:szCs w:val="32"/>
              </w:rPr>
              <w:t xml:space="preserve">Person-centered services require person-centered planning, a process for selecting </w:t>
            </w:r>
            <w:r w:rsidRPr="00CA1D54">
              <w:rPr>
                <w:sz w:val="28"/>
                <w:szCs w:val="32"/>
              </w:rPr>
              <w:lastRenderedPageBreak/>
              <w:t>and organizing the services and supports that an older adult or person with a disability may need to live in the community. Most important, it is a process that is directed by the person who receives the support.</w:t>
            </w:r>
            <w:r w:rsidRPr="00CA1D54" w:rsidDel="00235A01">
              <w:rPr>
                <w:sz w:val="28"/>
                <w:szCs w:val="32"/>
              </w:rPr>
              <w:t xml:space="preserve"> </w:t>
            </w:r>
          </w:p>
          <w:p w14:paraId="744E54AF" w14:textId="77777777" w:rsidR="00F62D7C" w:rsidRDefault="00F62D7C" w:rsidP="00224FDD">
            <w:pPr>
              <w:pStyle w:val="Default"/>
              <w:rPr>
                <w:sz w:val="28"/>
                <w:szCs w:val="28"/>
              </w:rPr>
            </w:pPr>
          </w:p>
        </w:tc>
      </w:tr>
      <w:tr w:rsidR="00F62D7C" w:rsidRPr="00B34829" w14:paraId="2830BC93" w14:textId="77777777" w:rsidTr="00224FDD">
        <w:trPr>
          <w:trHeight w:val="334"/>
        </w:trPr>
        <w:tc>
          <w:tcPr>
            <w:tcW w:w="3595" w:type="dxa"/>
          </w:tcPr>
          <w:p w14:paraId="1B81372F" w14:textId="77777777" w:rsidR="00F62D7C" w:rsidRDefault="00F62D7C" w:rsidP="00224FDD">
            <w:pPr>
              <w:rPr>
                <w:rFonts w:cs="Arial"/>
                <w:b/>
                <w:bCs/>
                <w:szCs w:val="28"/>
              </w:rPr>
            </w:pPr>
            <w:r>
              <w:rPr>
                <w:rFonts w:cs="Arial"/>
                <w:b/>
                <w:bCs/>
                <w:szCs w:val="28"/>
              </w:rPr>
              <w:lastRenderedPageBreak/>
              <w:t>Person with a Disability</w:t>
            </w:r>
          </w:p>
        </w:tc>
        <w:tc>
          <w:tcPr>
            <w:tcW w:w="5850" w:type="dxa"/>
          </w:tcPr>
          <w:p w14:paraId="0B8ECBD9" w14:textId="2CE3A18D" w:rsidR="00F62D7C" w:rsidRDefault="00F62D7C" w:rsidP="00224FDD">
            <w:pPr>
              <w:pStyle w:val="Default"/>
              <w:rPr>
                <w:sz w:val="28"/>
                <w:szCs w:val="28"/>
              </w:rPr>
            </w:pPr>
            <w:r w:rsidRPr="00AC2A36">
              <w:rPr>
                <w:sz w:val="28"/>
                <w:szCs w:val="28"/>
              </w:rPr>
              <w:t>A person with a disability refers to an individual who has a physical, mental health, intellectual or developmental, hearing, vision, cognitive, chronic health condition, or other disabilit</w:t>
            </w:r>
            <w:r>
              <w:rPr>
                <w:sz w:val="28"/>
                <w:szCs w:val="28"/>
              </w:rPr>
              <w:t>y or impairment</w:t>
            </w:r>
            <w:r w:rsidRPr="00AC2A36">
              <w:rPr>
                <w:sz w:val="28"/>
                <w:szCs w:val="28"/>
              </w:rPr>
              <w:t xml:space="preserve"> that limits one or more major life activity such as self-care, capacity for independent living and self-direction, and/or c</w:t>
            </w:r>
            <w:r w:rsidRPr="00CC4C92">
              <w:rPr>
                <w:sz w:val="28"/>
                <w:szCs w:val="28"/>
              </w:rPr>
              <w:t>ognitive functioning and emotional adjustment</w:t>
            </w:r>
            <w:r>
              <w:rPr>
                <w:sz w:val="28"/>
                <w:szCs w:val="28"/>
              </w:rPr>
              <w:t xml:space="preserve">. </w:t>
            </w:r>
          </w:p>
          <w:p w14:paraId="33B9693A" w14:textId="6B06A917" w:rsidR="00F62D7C" w:rsidRDefault="00F62D7C" w:rsidP="00224FDD">
            <w:pPr>
              <w:pStyle w:val="Default"/>
              <w:rPr>
                <w:sz w:val="28"/>
                <w:szCs w:val="28"/>
              </w:rPr>
            </w:pPr>
          </w:p>
          <w:p w14:paraId="66C30BD6" w14:textId="77777777" w:rsidR="00F62D7C" w:rsidRDefault="00F62D7C" w:rsidP="00F62D7C">
            <w:pPr>
              <w:pStyle w:val="Default"/>
              <w:rPr>
                <w:sz w:val="28"/>
                <w:szCs w:val="28"/>
              </w:rPr>
            </w:pPr>
            <w:r>
              <w:rPr>
                <w:sz w:val="28"/>
                <w:szCs w:val="28"/>
              </w:rPr>
              <w:t>People with disabilities can be of any age and have any type of disability. Disabilities can be apparent or hidden.</w:t>
            </w:r>
          </w:p>
          <w:p w14:paraId="63AA10A5" w14:textId="77777777" w:rsidR="00F62D7C" w:rsidRDefault="00F62D7C" w:rsidP="00F62D7C">
            <w:pPr>
              <w:pStyle w:val="Default"/>
              <w:rPr>
                <w:sz w:val="28"/>
                <w:szCs w:val="28"/>
              </w:rPr>
            </w:pPr>
          </w:p>
          <w:p w14:paraId="0E4D661B" w14:textId="77777777" w:rsidR="00F62D7C" w:rsidRDefault="00F62D7C" w:rsidP="00F62D7C">
            <w:pPr>
              <w:pStyle w:val="Default"/>
              <w:rPr>
                <w:sz w:val="28"/>
                <w:szCs w:val="28"/>
              </w:rPr>
            </w:pPr>
            <w:r w:rsidRPr="00AC2A36">
              <w:rPr>
                <w:sz w:val="28"/>
                <w:szCs w:val="28"/>
              </w:rPr>
              <w:t xml:space="preserve">Individuals may be born with a disability or acquire the disability at some point in their life including </w:t>
            </w:r>
            <w:r>
              <w:rPr>
                <w:sz w:val="28"/>
                <w:szCs w:val="28"/>
              </w:rPr>
              <w:t>as they age</w:t>
            </w:r>
            <w:r w:rsidRPr="00AC2A36">
              <w:rPr>
                <w:sz w:val="28"/>
                <w:szCs w:val="28"/>
              </w:rPr>
              <w:t xml:space="preserve">. </w:t>
            </w:r>
          </w:p>
          <w:p w14:paraId="002F0DCA" w14:textId="77777777" w:rsidR="00F62D7C" w:rsidRPr="00B34829" w:rsidRDefault="00F62D7C" w:rsidP="00224FDD">
            <w:pPr>
              <w:pStyle w:val="Default"/>
              <w:rPr>
                <w:sz w:val="28"/>
                <w:szCs w:val="28"/>
              </w:rPr>
            </w:pPr>
          </w:p>
        </w:tc>
      </w:tr>
      <w:tr w:rsidR="00F62D7C" w:rsidRPr="00CC4C92" w14:paraId="4F0837E8" w14:textId="77777777" w:rsidTr="00224FDD">
        <w:trPr>
          <w:trHeight w:val="334"/>
        </w:trPr>
        <w:tc>
          <w:tcPr>
            <w:tcW w:w="3595" w:type="dxa"/>
          </w:tcPr>
          <w:p w14:paraId="70BF2419" w14:textId="77777777" w:rsidR="00F62D7C" w:rsidRPr="00CC4C92" w:rsidRDefault="00F62D7C" w:rsidP="00224FDD">
            <w:pPr>
              <w:rPr>
                <w:rFonts w:cs="Arial"/>
                <w:b/>
                <w:bCs/>
                <w:szCs w:val="28"/>
              </w:rPr>
            </w:pPr>
            <w:r w:rsidRPr="00CC4C92">
              <w:rPr>
                <w:rFonts w:cs="Arial"/>
                <w:b/>
                <w:bCs/>
                <w:szCs w:val="28"/>
              </w:rPr>
              <w:t xml:space="preserve">Risk of Institutionalization </w:t>
            </w:r>
          </w:p>
        </w:tc>
        <w:tc>
          <w:tcPr>
            <w:tcW w:w="5850" w:type="dxa"/>
          </w:tcPr>
          <w:p w14:paraId="6FD8D35B" w14:textId="77777777" w:rsidR="00F62D7C" w:rsidRDefault="00F62D7C" w:rsidP="00224FDD">
            <w:pPr>
              <w:pStyle w:val="Default"/>
              <w:rPr>
                <w:sz w:val="28"/>
                <w:szCs w:val="28"/>
              </w:rPr>
            </w:pPr>
            <w:r>
              <w:rPr>
                <w:sz w:val="28"/>
                <w:szCs w:val="28"/>
              </w:rPr>
              <w:t xml:space="preserve">Institutionalization is when a </w:t>
            </w:r>
            <w:r w:rsidRPr="009F0871">
              <w:rPr>
                <w:sz w:val="28"/>
                <w:szCs w:val="28"/>
              </w:rPr>
              <w:t xml:space="preserve">person is </w:t>
            </w:r>
            <w:r>
              <w:rPr>
                <w:sz w:val="28"/>
                <w:szCs w:val="28"/>
              </w:rPr>
              <w:t>placed</w:t>
            </w:r>
            <w:r w:rsidRPr="009F0871">
              <w:rPr>
                <w:sz w:val="28"/>
                <w:szCs w:val="28"/>
              </w:rPr>
              <w:t xml:space="preserve"> voluntarily or involuntarily in a hospital, medical treatment facility, nursing home, acute care facility, or mental</w:t>
            </w:r>
            <w:r>
              <w:rPr>
                <w:sz w:val="28"/>
                <w:szCs w:val="28"/>
              </w:rPr>
              <w:t xml:space="preserve"> health</w:t>
            </w:r>
            <w:r w:rsidRPr="009F0871">
              <w:rPr>
                <w:sz w:val="28"/>
                <w:szCs w:val="28"/>
              </w:rPr>
              <w:t xml:space="preserve"> hospital</w:t>
            </w:r>
            <w:r>
              <w:rPr>
                <w:sz w:val="28"/>
                <w:szCs w:val="28"/>
              </w:rPr>
              <w:t xml:space="preserve">, or when an individual is in a residential facility for an extended period, develops excessive dependency on the institution and its routines, and has a diminishing will or ability to function independently. </w:t>
            </w:r>
          </w:p>
          <w:p w14:paraId="6C31490F" w14:textId="77777777" w:rsidR="00F62D7C" w:rsidRDefault="00F62D7C" w:rsidP="00224FDD">
            <w:pPr>
              <w:pStyle w:val="Default"/>
              <w:rPr>
                <w:sz w:val="28"/>
                <w:szCs w:val="28"/>
              </w:rPr>
            </w:pPr>
          </w:p>
          <w:p w14:paraId="39CCC028" w14:textId="04E20B12" w:rsidR="00F62D7C" w:rsidRDefault="00F62D7C" w:rsidP="00224FDD">
            <w:pPr>
              <w:pStyle w:val="Default"/>
              <w:rPr>
                <w:sz w:val="28"/>
                <w:szCs w:val="28"/>
              </w:rPr>
            </w:pPr>
            <w:r w:rsidRPr="009F0871">
              <w:rPr>
                <w:sz w:val="28"/>
                <w:szCs w:val="28"/>
              </w:rPr>
              <w:t xml:space="preserve">Risk of institutionalization means that the individual is in danger of </w:t>
            </w:r>
            <w:r>
              <w:rPr>
                <w:sz w:val="28"/>
                <w:szCs w:val="28"/>
              </w:rPr>
              <w:t>residential</w:t>
            </w:r>
            <w:r w:rsidRPr="009F0871">
              <w:rPr>
                <w:sz w:val="28"/>
                <w:szCs w:val="28"/>
              </w:rPr>
              <w:t xml:space="preserve"> facility placement due to </w:t>
            </w:r>
            <w:r>
              <w:rPr>
                <w:sz w:val="28"/>
                <w:szCs w:val="28"/>
              </w:rPr>
              <w:t>their</w:t>
            </w:r>
            <w:r w:rsidRPr="009F0871">
              <w:rPr>
                <w:sz w:val="28"/>
                <w:szCs w:val="28"/>
              </w:rPr>
              <w:t xml:space="preserve"> medical, functional</w:t>
            </w:r>
            <w:r>
              <w:rPr>
                <w:sz w:val="28"/>
                <w:szCs w:val="28"/>
              </w:rPr>
              <w:t>,</w:t>
            </w:r>
            <w:r w:rsidRPr="009F0871">
              <w:rPr>
                <w:sz w:val="28"/>
                <w:szCs w:val="28"/>
              </w:rPr>
              <w:t xml:space="preserve"> or cognitive status</w:t>
            </w:r>
            <w:r>
              <w:rPr>
                <w:sz w:val="28"/>
                <w:szCs w:val="28"/>
              </w:rPr>
              <w:t>,</w:t>
            </w:r>
            <w:r w:rsidRPr="009F0871">
              <w:rPr>
                <w:sz w:val="28"/>
                <w:szCs w:val="28"/>
              </w:rPr>
              <w:t xml:space="preserve"> but would be able to remain </w:t>
            </w:r>
            <w:r w:rsidRPr="009F0871">
              <w:rPr>
                <w:sz w:val="28"/>
                <w:szCs w:val="28"/>
              </w:rPr>
              <w:lastRenderedPageBreak/>
              <w:t xml:space="preserve">at home if </w:t>
            </w:r>
            <w:r>
              <w:rPr>
                <w:sz w:val="28"/>
                <w:szCs w:val="28"/>
              </w:rPr>
              <w:t>community services and supports</w:t>
            </w:r>
            <w:r w:rsidRPr="009F0871">
              <w:rPr>
                <w:sz w:val="28"/>
                <w:szCs w:val="28"/>
              </w:rPr>
              <w:t xml:space="preserve"> were provided. </w:t>
            </w:r>
          </w:p>
          <w:p w14:paraId="7EF4942C" w14:textId="77777777" w:rsidR="00F62D7C" w:rsidRDefault="00F62D7C" w:rsidP="00224FDD">
            <w:pPr>
              <w:pStyle w:val="Default"/>
              <w:rPr>
                <w:sz w:val="28"/>
                <w:szCs w:val="28"/>
              </w:rPr>
            </w:pPr>
          </w:p>
          <w:p w14:paraId="07E54D6E" w14:textId="77777777" w:rsidR="00F62D7C" w:rsidRPr="00CC4C92" w:rsidRDefault="00F62D7C" w:rsidP="00224FDD">
            <w:pPr>
              <w:pStyle w:val="Default"/>
              <w:rPr>
                <w:sz w:val="28"/>
                <w:szCs w:val="28"/>
              </w:rPr>
            </w:pPr>
            <w:r w:rsidRPr="00CC4C92">
              <w:rPr>
                <w:sz w:val="28"/>
                <w:szCs w:val="28"/>
              </w:rPr>
              <w:t xml:space="preserve">The circumstances in which an individual is </w:t>
            </w:r>
            <w:r>
              <w:rPr>
                <w:sz w:val="28"/>
                <w:szCs w:val="28"/>
              </w:rPr>
              <w:t xml:space="preserve">at-risk of </w:t>
            </w:r>
            <w:r w:rsidRPr="00CC4C92">
              <w:rPr>
                <w:sz w:val="28"/>
                <w:szCs w:val="28"/>
              </w:rPr>
              <w:t xml:space="preserve">no longer </w:t>
            </w:r>
            <w:r>
              <w:rPr>
                <w:sz w:val="28"/>
                <w:szCs w:val="28"/>
              </w:rPr>
              <w:t xml:space="preserve">being </w:t>
            </w:r>
            <w:r w:rsidRPr="00CC4C92">
              <w:rPr>
                <w:sz w:val="28"/>
                <w:szCs w:val="28"/>
              </w:rPr>
              <w:t>able to live on their own</w:t>
            </w:r>
            <w:r>
              <w:rPr>
                <w:sz w:val="28"/>
                <w:szCs w:val="28"/>
              </w:rPr>
              <w:t xml:space="preserve"> </w:t>
            </w:r>
            <w:r w:rsidRPr="00CC4C92">
              <w:rPr>
                <w:sz w:val="28"/>
                <w:szCs w:val="28"/>
              </w:rPr>
              <w:t xml:space="preserve">and </w:t>
            </w:r>
            <w:r>
              <w:rPr>
                <w:sz w:val="28"/>
                <w:szCs w:val="28"/>
              </w:rPr>
              <w:t>is eligible for</w:t>
            </w:r>
            <w:r w:rsidRPr="00CC4C92">
              <w:rPr>
                <w:sz w:val="28"/>
                <w:szCs w:val="28"/>
              </w:rPr>
              <w:t xml:space="preserve"> placement in a licensed residential care facility. </w:t>
            </w:r>
            <w:r>
              <w:rPr>
                <w:sz w:val="28"/>
                <w:szCs w:val="28"/>
              </w:rPr>
              <w:t>To be eligible for institutional level of care, an</w:t>
            </w:r>
            <w:r w:rsidRPr="00CC4C92">
              <w:rPr>
                <w:sz w:val="28"/>
                <w:szCs w:val="28"/>
              </w:rPr>
              <w:t xml:space="preserve"> individual must have, at a minimum, one of the following: </w:t>
            </w:r>
          </w:p>
          <w:p w14:paraId="02D828BE" w14:textId="68015F83" w:rsidR="00F62D7C" w:rsidRPr="00CC4C92" w:rsidRDefault="00F62D7C" w:rsidP="00224FDD">
            <w:pPr>
              <w:pStyle w:val="Default"/>
              <w:numPr>
                <w:ilvl w:val="0"/>
                <w:numId w:val="2"/>
              </w:numPr>
              <w:ind w:left="702"/>
              <w:rPr>
                <w:sz w:val="28"/>
                <w:szCs w:val="28"/>
              </w:rPr>
            </w:pPr>
            <w:r>
              <w:rPr>
                <w:sz w:val="28"/>
                <w:szCs w:val="28"/>
              </w:rPr>
              <w:t>F</w:t>
            </w:r>
            <w:r w:rsidRPr="00CC4C92">
              <w:rPr>
                <w:sz w:val="28"/>
                <w:szCs w:val="28"/>
              </w:rPr>
              <w:t xml:space="preserve">unctional impairment in a minimum of two Activities of Daily Living (ADL): eating, dressing, transfer, bathing, toileting, and grooming; or </w:t>
            </w:r>
          </w:p>
          <w:p w14:paraId="399FA1D8" w14:textId="5B22516B" w:rsidR="00F62D7C" w:rsidRPr="00CC4C92" w:rsidRDefault="00F62D7C" w:rsidP="00224FDD">
            <w:pPr>
              <w:pStyle w:val="Default"/>
              <w:numPr>
                <w:ilvl w:val="0"/>
                <w:numId w:val="2"/>
              </w:numPr>
              <w:ind w:left="702"/>
              <w:rPr>
                <w:sz w:val="28"/>
                <w:szCs w:val="28"/>
              </w:rPr>
            </w:pPr>
            <w:r>
              <w:rPr>
                <w:sz w:val="28"/>
                <w:szCs w:val="28"/>
              </w:rPr>
              <w:t>A</w:t>
            </w:r>
            <w:r w:rsidRPr="00CC4C92">
              <w:rPr>
                <w:sz w:val="28"/>
                <w:szCs w:val="28"/>
              </w:rPr>
              <w:t xml:space="preserve"> medical condition to the extent requiring the level of care that would be provided in a nursing facility; or </w:t>
            </w:r>
          </w:p>
          <w:p w14:paraId="3C10A460" w14:textId="10DF8B91" w:rsidR="00F62D7C" w:rsidRDefault="00F62D7C" w:rsidP="00224FDD">
            <w:pPr>
              <w:pStyle w:val="Default"/>
              <w:numPr>
                <w:ilvl w:val="0"/>
                <w:numId w:val="2"/>
              </w:numPr>
              <w:ind w:left="702"/>
              <w:rPr>
                <w:sz w:val="28"/>
                <w:szCs w:val="28"/>
              </w:rPr>
            </w:pPr>
            <w:r>
              <w:rPr>
                <w:sz w:val="28"/>
                <w:szCs w:val="28"/>
              </w:rPr>
              <w:t>B</w:t>
            </w:r>
            <w:r w:rsidRPr="00CC4C92">
              <w:rPr>
                <w:sz w:val="28"/>
                <w:szCs w:val="28"/>
              </w:rPr>
              <w:t xml:space="preserve">e unable to manage his/her own affairs due to emotional and/or cognitive impairment. </w:t>
            </w:r>
          </w:p>
          <w:p w14:paraId="657EDD9A" w14:textId="77777777" w:rsidR="00F62D7C" w:rsidRPr="00CC4C92" w:rsidRDefault="00F62D7C" w:rsidP="00224FDD">
            <w:pPr>
              <w:pStyle w:val="Default"/>
              <w:ind w:left="702"/>
              <w:rPr>
                <w:sz w:val="28"/>
                <w:szCs w:val="28"/>
              </w:rPr>
            </w:pPr>
          </w:p>
        </w:tc>
      </w:tr>
      <w:tr w:rsidR="00F62D7C" w:rsidRPr="00DE17FE" w14:paraId="6D208654" w14:textId="77777777" w:rsidTr="00224FDD">
        <w:trPr>
          <w:trHeight w:val="334"/>
        </w:trPr>
        <w:tc>
          <w:tcPr>
            <w:tcW w:w="3595" w:type="dxa"/>
          </w:tcPr>
          <w:p w14:paraId="0955ACC1" w14:textId="77777777" w:rsidR="00F62D7C" w:rsidRPr="00CC4C92" w:rsidRDefault="00F62D7C" w:rsidP="00224FDD">
            <w:pPr>
              <w:rPr>
                <w:rFonts w:cs="Arial"/>
                <w:b/>
                <w:bCs/>
                <w:szCs w:val="28"/>
              </w:rPr>
            </w:pPr>
            <w:r w:rsidRPr="00D846B3">
              <w:rPr>
                <w:rFonts w:cs="Arial"/>
                <w:b/>
                <w:bCs/>
                <w:color w:val="000000"/>
                <w:szCs w:val="28"/>
              </w:rPr>
              <w:lastRenderedPageBreak/>
              <w:t>Service Coordination</w:t>
            </w:r>
          </w:p>
        </w:tc>
        <w:tc>
          <w:tcPr>
            <w:tcW w:w="5850" w:type="dxa"/>
          </w:tcPr>
          <w:p w14:paraId="14AF18F1" w14:textId="77777777" w:rsidR="00F62D7C" w:rsidRDefault="00F62D7C" w:rsidP="00224FDD">
            <w:pPr>
              <w:pStyle w:val="Default"/>
              <w:rPr>
                <w:sz w:val="28"/>
                <w:szCs w:val="28"/>
              </w:rPr>
            </w:pPr>
            <w:r w:rsidRPr="004A53CF">
              <w:rPr>
                <w:sz w:val="28"/>
                <w:szCs w:val="28"/>
              </w:rPr>
              <w:t xml:space="preserve">Service </w:t>
            </w:r>
            <w:r>
              <w:rPr>
                <w:sz w:val="28"/>
                <w:szCs w:val="28"/>
              </w:rPr>
              <w:t>c</w:t>
            </w:r>
            <w:r w:rsidRPr="004A53CF">
              <w:rPr>
                <w:sz w:val="28"/>
                <w:szCs w:val="28"/>
              </w:rPr>
              <w:t>oordination includes coordinating and facilitating access to a variety of services in a timely manner for people who need assistance in organizing and managing their care and/or supportive services. It include</w:t>
            </w:r>
            <w:r>
              <w:rPr>
                <w:sz w:val="28"/>
                <w:szCs w:val="28"/>
              </w:rPr>
              <w:t>s</w:t>
            </w:r>
            <w:r w:rsidRPr="004A53CF">
              <w:rPr>
                <w:sz w:val="28"/>
                <w:szCs w:val="28"/>
              </w:rPr>
              <w:t xml:space="preserve"> consumer intake, assessment, person-centered plan</w:t>
            </w:r>
            <w:r>
              <w:rPr>
                <w:sz w:val="28"/>
                <w:szCs w:val="28"/>
              </w:rPr>
              <w:t>ning and</w:t>
            </w:r>
            <w:r w:rsidRPr="004A53CF">
              <w:rPr>
                <w:sz w:val="28"/>
                <w:szCs w:val="28"/>
              </w:rPr>
              <w:t xml:space="preserve"> implementation, monitoring, reassessment</w:t>
            </w:r>
            <w:r>
              <w:rPr>
                <w:sz w:val="28"/>
                <w:szCs w:val="28"/>
              </w:rPr>
              <w:t xml:space="preserve">, </w:t>
            </w:r>
            <w:r w:rsidRPr="004A53CF">
              <w:rPr>
                <w:sz w:val="28"/>
                <w:szCs w:val="28"/>
              </w:rPr>
              <w:t>discharge services</w:t>
            </w:r>
            <w:r>
              <w:rPr>
                <w:sz w:val="28"/>
                <w:szCs w:val="28"/>
              </w:rPr>
              <w:t>, and connecting individuals to find the supports and services to help with community living</w:t>
            </w:r>
            <w:r w:rsidRPr="004A53CF">
              <w:rPr>
                <w:sz w:val="28"/>
                <w:szCs w:val="28"/>
              </w:rPr>
              <w:t xml:space="preserve">. It may require frequent visits and follow up depending on individual needs. </w:t>
            </w:r>
          </w:p>
          <w:p w14:paraId="261596CD" w14:textId="77777777" w:rsidR="00F62D7C" w:rsidRDefault="00F62D7C" w:rsidP="00224FDD">
            <w:pPr>
              <w:pStyle w:val="Default"/>
              <w:rPr>
                <w:sz w:val="28"/>
                <w:szCs w:val="28"/>
              </w:rPr>
            </w:pPr>
          </w:p>
          <w:p w14:paraId="36D12A0D" w14:textId="1C5C9039" w:rsidR="00F62D7C" w:rsidRDefault="00F62D7C" w:rsidP="00224FDD">
            <w:pPr>
              <w:pStyle w:val="Default"/>
              <w:rPr>
                <w:sz w:val="28"/>
                <w:szCs w:val="28"/>
              </w:rPr>
            </w:pPr>
            <w:r w:rsidRPr="004A53CF">
              <w:rPr>
                <w:sz w:val="28"/>
                <w:szCs w:val="28"/>
              </w:rPr>
              <w:t xml:space="preserve">Service </w:t>
            </w:r>
            <w:r>
              <w:rPr>
                <w:sz w:val="28"/>
                <w:szCs w:val="28"/>
              </w:rPr>
              <w:t>c</w:t>
            </w:r>
            <w:r w:rsidRPr="004A53CF">
              <w:rPr>
                <w:sz w:val="28"/>
                <w:szCs w:val="28"/>
              </w:rPr>
              <w:t xml:space="preserve">oordination is an integral component of long-term care service delivery and is central to accessing CLF </w:t>
            </w:r>
            <w:r>
              <w:rPr>
                <w:sz w:val="28"/>
                <w:szCs w:val="28"/>
              </w:rPr>
              <w:t xml:space="preserve">Program </w:t>
            </w:r>
            <w:r w:rsidRPr="004A53CF">
              <w:rPr>
                <w:sz w:val="28"/>
                <w:szCs w:val="28"/>
              </w:rPr>
              <w:t xml:space="preserve">services. </w:t>
            </w:r>
          </w:p>
          <w:p w14:paraId="11470892" w14:textId="77777777" w:rsidR="00F62D7C" w:rsidRPr="00DE17FE" w:rsidRDefault="00F62D7C" w:rsidP="00224FDD">
            <w:pPr>
              <w:pStyle w:val="Default"/>
              <w:rPr>
                <w:color w:val="202124"/>
                <w:sz w:val="28"/>
                <w:szCs w:val="28"/>
                <w:shd w:val="clear" w:color="auto" w:fill="FFFFFF"/>
              </w:rPr>
            </w:pPr>
          </w:p>
        </w:tc>
      </w:tr>
      <w:tr w:rsidR="00F62D7C" w:rsidRPr="0090734C" w14:paraId="4F07B1B1" w14:textId="77777777" w:rsidTr="00224FDD">
        <w:trPr>
          <w:trHeight w:val="3761"/>
        </w:trPr>
        <w:tc>
          <w:tcPr>
            <w:tcW w:w="3595" w:type="dxa"/>
          </w:tcPr>
          <w:p w14:paraId="13CE34B0" w14:textId="77777777" w:rsidR="00F62D7C" w:rsidRPr="004E567C" w:rsidRDefault="00F62D7C" w:rsidP="00224FDD">
            <w:pPr>
              <w:rPr>
                <w:rFonts w:cs="Arial"/>
                <w:b/>
                <w:bCs/>
                <w:szCs w:val="28"/>
              </w:rPr>
            </w:pPr>
            <w:r>
              <w:rPr>
                <w:rFonts w:cs="Arial"/>
                <w:b/>
                <w:bCs/>
                <w:szCs w:val="28"/>
              </w:rPr>
              <w:lastRenderedPageBreak/>
              <w:t>Transition</w:t>
            </w:r>
          </w:p>
        </w:tc>
        <w:tc>
          <w:tcPr>
            <w:tcW w:w="5850" w:type="dxa"/>
          </w:tcPr>
          <w:p w14:paraId="59F2B49C" w14:textId="11A6E4E3" w:rsidR="00F62D7C" w:rsidRPr="0090734C" w:rsidRDefault="00F62D7C" w:rsidP="00224FDD">
            <w:pPr>
              <w:autoSpaceDE w:val="0"/>
              <w:autoSpaceDN w:val="0"/>
              <w:adjustRightInd w:val="0"/>
              <w:spacing w:after="158"/>
              <w:rPr>
                <w:rFonts w:cs="Arial"/>
                <w:color w:val="000000"/>
                <w:szCs w:val="28"/>
              </w:rPr>
            </w:pPr>
            <w:r w:rsidRPr="0090734C">
              <w:rPr>
                <w:rFonts w:cs="Arial"/>
                <w:szCs w:val="28"/>
              </w:rPr>
              <w:t xml:space="preserve">Assisting individuals to transition into the community from one of the following types of institutional facilities: licensed skilled nursing facility, intermediate care facility for the developmentally disabled, state hospital for the mentally ill, developmental center, rehabilitation hospital, and California Veterans home. Individuals in Acute Care Hospitals would be eligible when they are at risk of going into an institutional setting listed above. </w:t>
            </w:r>
          </w:p>
        </w:tc>
      </w:tr>
    </w:tbl>
    <w:p w14:paraId="25A62D4F" w14:textId="77777777" w:rsidR="00F62D7C" w:rsidRPr="00F62D7C" w:rsidRDefault="00F62D7C">
      <w:pPr>
        <w:rPr>
          <w:rFonts w:cs="Arial"/>
          <w:szCs w:val="28"/>
        </w:rPr>
      </w:pPr>
    </w:p>
    <w:sectPr w:rsidR="00F62D7C" w:rsidRPr="00F62D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7F30" w14:textId="77777777" w:rsidR="004E2D55" w:rsidRDefault="004E2D55" w:rsidP="00E5584B">
      <w:r>
        <w:separator/>
      </w:r>
    </w:p>
  </w:endnote>
  <w:endnote w:type="continuationSeparator" w:id="0">
    <w:p w14:paraId="130F465E" w14:textId="77777777" w:rsidR="004E2D55" w:rsidRDefault="004E2D55" w:rsidP="00E5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2EC7" w14:textId="77777777" w:rsidR="004E2D55" w:rsidRDefault="004E2D55" w:rsidP="00E5584B">
      <w:r>
        <w:separator/>
      </w:r>
    </w:p>
  </w:footnote>
  <w:footnote w:type="continuationSeparator" w:id="0">
    <w:p w14:paraId="2557FE56" w14:textId="77777777" w:rsidR="004E2D55" w:rsidRDefault="004E2D55" w:rsidP="00E5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95F3" w14:textId="1B253B1C" w:rsidR="00E5584B" w:rsidRDefault="00E5584B">
    <w:pPr>
      <w:pStyle w:val="Header"/>
    </w:pPr>
    <w:r>
      <w:rPr>
        <w:noProof/>
      </w:rPr>
      <w:drawing>
        <wp:inline distT="0" distB="0" distL="0" distR="0" wp14:anchorId="7E5959E4" wp14:editId="3B55401B">
          <wp:extent cx="2004060" cy="511810"/>
          <wp:effectExtent l="0" t="0" r="0" b="2540"/>
          <wp:docPr id="5" name="Picture 5" descr="Dept of Rehabilitation Logo, 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pt of Rehabilitation Logo, Employment, Independence &amp; E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32" cy="520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65D6"/>
    <w:multiLevelType w:val="hybridMultilevel"/>
    <w:tmpl w:val="40349012"/>
    <w:lvl w:ilvl="0" w:tplc="CBEA5EB6">
      <w:start w:val="3"/>
      <w:numFmt w:val="bullet"/>
      <w:lvlText w:val="-"/>
      <w:lvlJc w:val="left"/>
      <w:pPr>
        <w:ind w:left="1422" w:hanging="360"/>
      </w:pPr>
      <w:rPr>
        <w:rFonts w:ascii="Arial" w:eastAsia="Times New Roman" w:hAnsi="Arial" w:cs="Arial"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5A6C2FBA"/>
    <w:multiLevelType w:val="hybridMultilevel"/>
    <w:tmpl w:val="36364828"/>
    <w:lvl w:ilvl="0" w:tplc="1CA8C6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612219">
    <w:abstractNumId w:val="1"/>
  </w:num>
  <w:num w:numId="2" w16cid:durableId="2273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C"/>
    <w:rsid w:val="001621D3"/>
    <w:rsid w:val="00255E92"/>
    <w:rsid w:val="00400BDD"/>
    <w:rsid w:val="004E2D55"/>
    <w:rsid w:val="00684B30"/>
    <w:rsid w:val="008B7CD3"/>
    <w:rsid w:val="00A9348A"/>
    <w:rsid w:val="00BB4B25"/>
    <w:rsid w:val="00CA1D54"/>
    <w:rsid w:val="00E5584B"/>
    <w:rsid w:val="00F62D7C"/>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EDAD5"/>
  <w15:chartTrackingRefBased/>
  <w15:docId w15:val="{5A497B2C-18FF-490F-B8D6-94D2823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7C"/>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uiPriority w:val="9"/>
    <w:qFormat/>
    <w:rsid w:val="008B7CD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CD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2D7C"/>
    <w:pPr>
      <w:ind w:left="720"/>
      <w:contextualSpacing/>
    </w:pPr>
  </w:style>
  <w:style w:type="character" w:styleId="CommentReference">
    <w:name w:val="annotation reference"/>
    <w:basedOn w:val="DefaultParagraphFont"/>
    <w:semiHidden/>
    <w:unhideWhenUsed/>
    <w:rsid w:val="00F62D7C"/>
    <w:rPr>
      <w:sz w:val="16"/>
      <w:szCs w:val="16"/>
    </w:rPr>
  </w:style>
  <w:style w:type="paragraph" w:styleId="CommentText">
    <w:name w:val="annotation text"/>
    <w:basedOn w:val="Normal"/>
    <w:link w:val="CommentTextChar"/>
    <w:uiPriority w:val="99"/>
    <w:unhideWhenUsed/>
    <w:rsid w:val="00F62D7C"/>
    <w:rPr>
      <w:sz w:val="20"/>
    </w:rPr>
  </w:style>
  <w:style w:type="character" w:customStyle="1" w:styleId="CommentTextChar">
    <w:name w:val="Comment Text Char"/>
    <w:basedOn w:val="DefaultParagraphFont"/>
    <w:link w:val="CommentText"/>
    <w:uiPriority w:val="99"/>
    <w:rsid w:val="00F62D7C"/>
    <w:rPr>
      <w:rFonts w:ascii="Arial" w:eastAsia="Times New Roman" w:hAnsi="Arial" w:cs="Times New Roman"/>
      <w:sz w:val="20"/>
      <w:szCs w:val="20"/>
    </w:rPr>
  </w:style>
  <w:style w:type="paragraph" w:customStyle="1" w:styleId="Default">
    <w:name w:val="Default"/>
    <w:rsid w:val="00F62D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F62D7C"/>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8B7C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7C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584B"/>
    <w:pPr>
      <w:tabs>
        <w:tab w:val="center" w:pos="4680"/>
        <w:tab w:val="right" w:pos="9360"/>
      </w:tabs>
    </w:pPr>
  </w:style>
  <w:style w:type="character" w:customStyle="1" w:styleId="HeaderChar">
    <w:name w:val="Header Char"/>
    <w:basedOn w:val="DefaultParagraphFont"/>
    <w:link w:val="Header"/>
    <w:uiPriority w:val="99"/>
    <w:rsid w:val="00E5584B"/>
    <w:rPr>
      <w:rFonts w:ascii="Arial" w:eastAsia="Times New Roman" w:hAnsi="Arial" w:cs="Times New Roman"/>
      <w:sz w:val="28"/>
      <w:szCs w:val="20"/>
    </w:rPr>
  </w:style>
  <w:style w:type="paragraph" w:styleId="Footer">
    <w:name w:val="footer"/>
    <w:basedOn w:val="Normal"/>
    <w:link w:val="FooterChar"/>
    <w:uiPriority w:val="99"/>
    <w:unhideWhenUsed/>
    <w:rsid w:val="00E5584B"/>
    <w:pPr>
      <w:tabs>
        <w:tab w:val="center" w:pos="4680"/>
        <w:tab w:val="right" w:pos="9360"/>
      </w:tabs>
    </w:pPr>
  </w:style>
  <w:style w:type="character" w:customStyle="1" w:styleId="FooterChar">
    <w:name w:val="Footer Char"/>
    <w:basedOn w:val="DefaultParagraphFont"/>
    <w:link w:val="Footer"/>
    <w:uiPriority w:val="99"/>
    <w:rsid w:val="00E5584B"/>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wd.acl.g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Cademarti, Regina@DOR</dc:creator>
  <cp:keywords/>
  <dc:description/>
  <cp:lastModifiedBy>Huynh, Duy@DOR</cp:lastModifiedBy>
  <cp:revision>2</cp:revision>
  <dcterms:created xsi:type="dcterms:W3CDTF">2022-12-02T19:48:00Z</dcterms:created>
  <dcterms:modified xsi:type="dcterms:W3CDTF">2022-12-02T19:48:00Z</dcterms:modified>
</cp:coreProperties>
</file>