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b w:val="1"/>
          <w:sz w:val="36"/>
          <w:szCs w:val="36"/>
        </w:rPr>
      </w:pPr>
      <w:bookmarkStart w:colFirst="0" w:colLast="0" w:name="_heading=h.gjdgxs" w:id="0"/>
      <w:bookmarkEnd w:id="0"/>
      <w:r w:rsidDel="00000000" w:rsidR="00000000" w:rsidRPr="00000000">
        <w:rPr>
          <w:b w:val="1"/>
          <w:sz w:val="36"/>
          <w:szCs w:val="36"/>
          <w:rtl w:val="0"/>
        </w:rPr>
        <w:t xml:space="preserve">Data Analytics Committee</w:t>
      </w:r>
    </w:p>
    <w:p w:rsidR="00000000" w:rsidDel="00000000" w:rsidP="00000000" w:rsidRDefault="00000000" w:rsidRPr="00000000" w14:paraId="00000002">
      <w:pPr>
        <w:ind w:left="0" w:firstLine="0"/>
        <w:jc w:val="center"/>
        <w:rPr>
          <w:b w:val="1"/>
          <w:sz w:val="36"/>
          <w:szCs w:val="36"/>
        </w:rPr>
      </w:pPr>
      <w:bookmarkStart w:colFirst="0" w:colLast="0" w:name="_heading=h.30j0zll" w:id="1"/>
      <w:bookmarkEnd w:id="1"/>
      <w:r w:rsidDel="00000000" w:rsidR="00000000" w:rsidRPr="00000000">
        <w:rPr>
          <w:b w:val="1"/>
          <w:sz w:val="36"/>
          <w:szCs w:val="36"/>
          <w:rtl w:val="0"/>
        </w:rPr>
        <w:t xml:space="preserve">2025 Needs Assessment Planning </w:t>
      </w:r>
    </w:p>
    <w:p w:rsidR="00000000" w:rsidDel="00000000" w:rsidP="00000000" w:rsidRDefault="00000000" w:rsidRPr="00000000" w14:paraId="00000003">
      <w:pPr>
        <w:ind w:left="0" w:firstLine="0"/>
        <w:jc w:val="center"/>
        <w:rPr/>
      </w:pPr>
      <w:bookmarkStart w:colFirst="0" w:colLast="0" w:name="_heading=h.kzkgegpyqhu7" w:id="2"/>
      <w:bookmarkEnd w:id="2"/>
      <w:r w:rsidDel="00000000" w:rsidR="00000000" w:rsidRPr="00000000">
        <w:rPr>
          <w:sz w:val="36"/>
          <w:szCs w:val="36"/>
          <w:rtl w:val="0"/>
        </w:rPr>
        <w:t xml:space="preserve">Analysis and Recommendation 1/17/25</w:t>
      </w:r>
      <w:r w:rsidDel="00000000" w:rsidR="00000000" w:rsidRPr="00000000">
        <w:rPr>
          <w:sz w:val="28"/>
          <w:szCs w:val="28"/>
          <w:u w:val="single"/>
          <w:rtl w:val="0"/>
        </w:rPr>
        <w:t xml:space="preserve"> </w:t>
      </w:r>
      <w:r w:rsidDel="00000000" w:rsidR="00000000" w:rsidRPr="00000000">
        <w:rPr>
          <w:rtl w:val="0"/>
        </w:rPr>
      </w:r>
    </w:p>
    <w:p w:rsidR="00000000" w:rsidDel="00000000" w:rsidP="00000000" w:rsidRDefault="00000000" w:rsidRPr="00000000" w14:paraId="00000004">
      <w:pPr>
        <w:pStyle w:val="Heading1"/>
        <w:rPr/>
      </w:pPr>
      <w:bookmarkStart w:colFirst="0" w:colLast="0" w:name="_heading=h.l2z9a0os533j" w:id="3"/>
      <w:bookmarkEnd w:id="3"/>
      <w:r w:rsidDel="00000000" w:rsidR="00000000" w:rsidRPr="00000000">
        <w:rPr>
          <w:rtl w:val="0"/>
        </w:rPr>
        <w:t xml:space="preserve">Situation</w:t>
      </w:r>
    </w:p>
    <w:p w:rsidR="00000000" w:rsidDel="00000000" w:rsidP="00000000" w:rsidRDefault="00000000" w:rsidRPr="00000000" w14:paraId="00000005">
      <w:pPr>
        <w:ind w:left="0" w:firstLine="0"/>
        <w:rPr>
          <w:sz w:val="28"/>
          <w:szCs w:val="28"/>
        </w:rPr>
      </w:pPr>
      <w:r w:rsidDel="00000000" w:rsidR="00000000" w:rsidRPr="00000000">
        <w:rPr>
          <w:sz w:val="28"/>
          <w:szCs w:val="28"/>
          <w:rtl w:val="0"/>
        </w:rPr>
        <w:t xml:space="preserve">The DOR is requesting a Needs Assessment for TBI at the request of the TBI Advisory Board, and with the guidance of the Data Analytics Committee. We have approximately $160,000 available for this project.</w:t>
      </w:r>
    </w:p>
    <w:p w:rsidR="00000000" w:rsidDel="00000000" w:rsidP="00000000" w:rsidRDefault="00000000" w:rsidRPr="00000000" w14:paraId="00000006">
      <w:pPr>
        <w:pStyle w:val="Heading1"/>
        <w:rPr/>
      </w:pPr>
      <w:bookmarkStart w:colFirst="0" w:colLast="0" w:name="_heading=h.3znysh7" w:id="4"/>
      <w:bookmarkEnd w:id="4"/>
      <w:r w:rsidDel="00000000" w:rsidR="00000000" w:rsidRPr="00000000">
        <w:rPr>
          <w:rtl w:val="0"/>
        </w:rPr>
        <w:t xml:space="preserve">Background</w:t>
      </w:r>
    </w:p>
    <w:p w:rsidR="00000000" w:rsidDel="00000000" w:rsidP="00000000" w:rsidRDefault="00000000" w:rsidRPr="00000000" w14:paraId="00000007">
      <w:pPr>
        <w:ind w:left="0" w:firstLine="0"/>
        <w:rPr>
          <w:sz w:val="28"/>
          <w:szCs w:val="28"/>
        </w:rPr>
      </w:pPr>
      <w:r w:rsidDel="00000000" w:rsidR="00000000" w:rsidRPr="00000000">
        <w:rPr>
          <w:sz w:val="28"/>
          <w:szCs w:val="28"/>
          <w:rtl w:val="0"/>
        </w:rPr>
        <w:t xml:space="preserve">The TBI Advisory Board authorized and funded a TBI Needs Assessment in 2022, which was completed by HARC. There were some limitations to that report and some recommendations. </w:t>
      </w:r>
    </w:p>
    <w:p w:rsidR="00000000" w:rsidDel="00000000" w:rsidP="00000000" w:rsidRDefault="00000000" w:rsidRPr="00000000" w14:paraId="00000008">
      <w:pPr>
        <w:ind w:left="0" w:firstLine="0"/>
        <w:rPr>
          <w:sz w:val="28"/>
          <w:szCs w:val="28"/>
        </w:rPr>
      </w:pPr>
      <w:r w:rsidDel="00000000" w:rsidR="00000000" w:rsidRPr="00000000">
        <w:rPr>
          <w:rtl w:val="0"/>
        </w:rPr>
      </w:r>
    </w:p>
    <w:p w:rsidR="00000000" w:rsidDel="00000000" w:rsidP="00000000" w:rsidRDefault="00000000" w:rsidRPr="00000000" w14:paraId="00000009">
      <w:pPr>
        <w:ind w:left="0" w:firstLine="0"/>
        <w:rPr>
          <w:sz w:val="28"/>
          <w:szCs w:val="28"/>
        </w:rPr>
      </w:pPr>
      <w:r w:rsidDel="00000000" w:rsidR="00000000" w:rsidRPr="00000000">
        <w:rPr>
          <w:sz w:val="28"/>
          <w:szCs w:val="28"/>
          <w:rtl w:val="0"/>
        </w:rPr>
        <w:t xml:space="preserve">Limitations of the 2022 HARC TBI Needs Assessment</w:t>
      </w:r>
    </w:p>
    <w:p w:rsidR="00000000" w:rsidDel="00000000" w:rsidP="00000000" w:rsidRDefault="00000000" w:rsidRPr="00000000" w14:paraId="0000000A">
      <w:pPr>
        <w:numPr>
          <w:ilvl w:val="0"/>
          <w:numId w:val="7"/>
        </w:numPr>
        <w:ind w:left="720" w:hanging="360"/>
        <w:rPr>
          <w:sz w:val="28"/>
          <w:szCs w:val="28"/>
          <w:u w:val="none"/>
        </w:rPr>
      </w:pPr>
      <w:r w:rsidDel="00000000" w:rsidR="00000000" w:rsidRPr="00000000">
        <w:rPr>
          <w:sz w:val="28"/>
          <w:szCs w:val="28"/>
          <w:rtl w:val="0"/>
        </w:rPr>
        <w:t xml:space="preserve">Limited sample size (TBI survivors, caregivers, professionals)</w:t>
      </w:r>
    </w:p>
    <w:p w:rsidR="00000000" w:rsidDel="00000000" w:rsidP="00000000" w:rsidRDefault="00000000" w:rsidRPr="00000000" w14:paraId="0000000B">
      <w:pPr>
        <w:numPr>
          <w:ilvl w:val="0"/>
          <w:numId w:val="7"/>
        </w:numPr>
        <w:ind w:left="720" w:hanging="360"/>
        <w:rPr>
          <w:sz w:val="28"/>
          <w:szCs w:val="28"/>
          <w:u w:val="none"/>
        </w:rPr>
      </w:pPr>
      <w:r w:rsidDel="00000000" w:rsidR="00000000" w:rsidRPr="00000000">
        <w:rPr>
          <w:sz w:val="28"/>
          <w:szCs w:val="28"/>
          <w:rtl w:val="0"/>
        </w:rPr>
        <w:t xml:space="preserve">It was not a representative sample </w:t>
      </w:r>
    </w:p>
    <w:p w:rsidR="00000000" w:rsidDel="00000000" w:rsidP="00000000" w:rsidRDefault="00000000" w:rsidRPr="00000000" w14:paraId="0000000C">
      <w:pPr>
        <w:numPr>
          <w:ilvl w:val="1"/>
          <w:numId w:val="7"/>
        </w:numPr>
        <w:ind w:left="1440" w:hanging="360"/>
        <w:rPr>
          <w:sz w:val="28"/>
          <w:szCs w:val="28"/>
          <w:u w:val="none"/>
        </w:rPr>
      </w:pPr>
      <w:r w:rsidDel="00000000" w:rsidR="00000000" w:rsidRPr="00000000">
        <w:rPr>
          <w:sz w:val="28"/>
          <w:szCs w:val="28"/>
          <w:rtl w:val="0"/>
        </w:rPr>
        <w:t xml:space="preserve">Overrepresented geographic areas: San Diego, Sacramento, and Orange Counties, participants who are educated</w:t>
      </w:r>
    </w:p>
    <w:p w:rsidR="00000000" w:rsidDel="00000000" w:rsidP="00000000" w:rsidRDefault="00000000" w:rsidRPr="00000000" w14:paraId="0000000D">
      <w:pPr>
        <w:numPr>
          <w:ilvl w:val="1"/>
          <w:numId w:val="7"/>
        </w:numPr>
        <w:ind w:left="1440" w:hanging="360"/>
        <w:rPr>
          <w:sz w:val="28"/>
          <w:szCs w:val="28"/>
          <w:u w:val="none"/>
        </w:rPr>
      </w:pPr>
      <w:r w:rsidDel="00000000" w:rsidR="00000000" w:rsidRPr="00000000">
        <w:rPr>
          <w:sz w:val="28"/>
          <w:szCs w:val="28"/>
          <w:rtl w:val="0"/>
        </w:rPr>
        <w:t xml:space="preserve">Underrepresented: ethnic minorities, rural communities, lower socioeconomic status</w:t>
      </w:r>
    </w:p>
    <w:p w:rsidR="00000000" w:rsidDel="00000000" w:rsidP="00000000" w:rsidRDefault="00000000" w:rsidRPr="00000000" w14:paraId="0000000E">
      <w:pPr>
        <w:ind w:left="0" w:firstLine="0"/>
        <w:rPr>
          <w:sz w:val="28"/>
          <w:szCs w:val="28"/>
        </w:rPr>
      </w:pPr>
      <w:r w:rsidDel="00000000" w:rsidR="00000000" w:rsidRPr="00000000">
        <w:rPr>
          <w:rtl w:val="0"/>
        </w:rPr>
      </w:r>
    </w:p>
    <w:p w:rsidR="00000000" w:rsidDel="00000000" w:rsidP="00000000" w:rsidRDefault="00000000" w:rsidRPr="00000000" w14:paraId="0000000F">
      <w:pPr>
        <w:pStyle w:val="Heading2"/>
        <w:rPr/>
      </w:pPr>
      <w:bookmarkStart w:colFirst="0" w:colLast="0" w:name="_heading=h.9zvt2o83d526" w:id="5"/>
      <w:bookmarkEnd w:id="5"/>
      <w:r w:rsidDel="00000000" w:rsidR="00000000" w:rsidRPr="00000000">
        <w:rPr>
          <w:rtl w:val="0"/>
        </w:rPr>
        <w:t xml:space="preserve">What we learned from the 2022 Needs Assessment</w:t>
      </w:r>
    </w:p>
    <w:p w:rsidR="00000000" w:rsidDel="00000000" w:rsidP="00000000" w:rsidRDefault="00000000" w:rsidRPr="00000000" w14:paraId="00000010">
      <w:pPr>
        <w:ind w:left="0" w:firstLine="0"/>
        <w:rPr>
          <w:b w:val="1"/>
          <w:sz w:val="28"/>
          <w:szCs w:val="28"/>
        </w:rPr>
      </w:pPr>
      <w:r w:rsidDel="00000000" w:rsidR="00000000" w:rsidRPr="00000000">
        <w:rPr>
          <w:sz w:val="28"/>
          <w:szCs w:val="28"/>
          <w:rtl w:val="0"/>
        </w:rPr>
        <w:t xml:space="preserve">Top unmet needs of </w:t>
      </w:r>
      <w:r w:rsidDel="00000000" w:rsidR="00000000" w:rsidRPr="00000000">
        <w:rPr>
          <w:b w:val="1"/>
          <w:sz w:val="28"/>
          <w:szCs w:val="28"/>
          <w:rtl w:val="0"/>
        </w:rPr>
        <w:t xml:space="preserve">People with TBI</w:t>
      </w:r>
    </w:p>
    <w:p w:rsidR="00000000" w:rsidDel="00000000" w:rsidP="00000000" w:rsidRDefault="00000000" w:rsidRPr="00000000" w14:paraId="00000011">
      <w:pPr>
        <w:numPr>
          <w:ilvl w:val="0"/>
          <w:numId w:val="6"/>
        </w:numPr>
        <w:ind w:left="720" w:hanging="360"/>
        <w:rPr>
          <w:sz w:val="28"/>
          <w:szCs w:val="28"/>
          <w:u w:val="none"/>
        </w:rPr>
      </w:pPr>
      <w:r w:rsidDel="00000000" w:rsidR="00000000" w:rsidRPr="00000000">
        <w:rPr>
          <w:sz w:val="28"/>
          <w:szCs w:val="28"/>
          <w:rtl w:val="0"/>
        </w:rPr>
        <w:t xml:space="preserve">62% Finding TBI resources</w:t>
      </w:r>
    </w:p>
    <w:p w:rsidR="00000000" w:rsidDel="00000000" w:rsidP="00000000" w:rsidRDefault="00000000" w:rsidRPr="00000000" w14:paraId="00000012">
      <w:pPr>
        <w:numPr>
          <w:ilvl w:val="0"/>
          <w:numId w:val="6"/>
        </w:numPr>
        <w:ind w:left="720" w:hanging="360"/>
        <w:rPr>
          <w:sz w:val="28"/>
          <w:szCs w:val="28"/>
          <w:u w:val="none"/>
        </w:rPr>
      </w:pPr>
      <w:r w:rsidDel="00000000" w:rsidR="00000000" w:rsidRPr="00000000">
        <w:rPr>
          <w:sz w:val="28"/>
          <w:szCs w:val="28"/>
          <w:rtl w:val="0"/>
        </w:rPr>
        <w:t xml:space="preserve">52% Finding Jobs</w:t>
      </w:r>
    </w:p>
    <w:p w:rsidR="00000000" w:rsidDel="00000000" w:rsidP="00000000" w:rsidRDefault="00000000" w:rsidRPr="00000000" w14:paraId="00000013">
      <w:pPr>
        <w:numPr>
          <w:ilvl w:val="0"/>
          <w:numId w:val="6"/>
        </w:numPr>
        <w:ind w:left="720" w:hanging="360"/>
        <w:rPr>
          <w:sz w:val="28"/>
          <w:szCs w:val="28"/>
          <w:u w:val="none"/>
        </w:rPr>
      </w:pPr>
      <w:r w:rsidDel="00000000" w:rsidR="00000000" w:rsidRPr="00000000">
        <w:rPr>
          <w:sz w:val="28"/>
          <w:szCs w:val="28"/>
          <w:rtl w:val="0"/>
        </w:rPr>
        <w:t xml:space="preserve">85% Need more income</w:t>
      </w:r>
    </w:p>
    <w:p w:rsidR="00000000" w:rsidDel="00000000" w:rsidP="00000000" w:rsidRDefault="00000000" w:rsidRPr="00000000" w14:paraId="00000014">
      <w:pPr>
        <w:numPr>
          <w:ilvl w:val="0"/>
          <w:numId w:val="6"/>
        </w:numPr>
        <w:ind w:left="720" w:hanging="360"/>
        <w:rPr>
          <w:sz w:val="28"/>
          <w:szCs w:val="28"/>
          <w:u w:val="none"/>
        </w:rPr>
      </w:pPr>
      <w:r w:rsidDel="00000000" w:rsidR="00000000" w:rsidRPr="00000000">
        <w:rPr>
          <w:sz w:val="28"/>
          <w:szCs w:val="28"/>
          <w:rtl w:val="0"/>
        </w:rPr>
        <w:t xml:space="preserve">43% Health Insurance only covers some of their care</w:t>
      </w:r>
    </w:p>
    <w:p w:rsidR="00000000" w:rsidDel="00000000" w:rsidP="00000000" w:rsidRDefault="00000000" w:rsidRPr="00000000" w14:paraId="00000015">
      <w:pPr>
        <w:numPr>
          <w:ilvl w:val="0"/>
          <w:numId w:val="6"/>
        </w:numPr>
        <w:ind w:left="720" w:hanging="360"/>
        <w:rPr>
          <w:sz w:val="28"/>
          <w:szCs w:val="28"/>
          <w:u w:val="none"/>
        </w:rPr>
      </w:pPr>
      <w:r w:rsidDel="00000000" w:rsidR="00000000" w:rsidRPr="00000000">
        <w:rPr>
          <w:sz w:val="28"/>
          <w:szCs w:val="28"/>
          <w:rtl w:val="0"/>
        </w:rPr>
        <w:t xml:space="preserve">95% say mental healthcare is either somewhat or very important for their recovery</w:t>
      </w:r>
    </w:p>
    <w:p w:rsidR="00000000" w:rsidDel="00000000" w:rsidP="00000000" w:rsidRDefault="00000000" w:rsidRPr="00000000" w14:paraId="00000016">
      <w:pPr>
        <w:numPr>
          <w:ilvl w:val="0"/>
          <w:numId w:val="6"/>
        </w:numPr>
        <w:ind w:left="720" w:hanging="360"/>
        <w:rPr>
          <w:sz w:val="28"/>
          <w:szCs w:val="28"/>
          <w:u w:val="none"/>
        </w:rPr>
      </w:pPr>
      <w:r w:rsidDel="00000000" w:rsidR="00000000" w:rsidRPr="00000000">
        <w:rPr>
          <w:sz w:val="28"/>
          <w:szCs w:val="28"/>
          <w:rtl w:val="0"/>
        </w:rPr>
        <w:t xml:space="preserve">50% say a support group is needed</w:t>
      </w:r>
    </w:p>
    <w:p w:rsidR="00000000" w:rsidDel="00000000" w:rsidP="00000000" w:rsidRDefault="00000000" w:rsidRPr="00000000" w14:paraId="00000017">
      <w:pPr>
        <w:numPr>
          <w:ilvl w:val="0"/>
          <w:numId w:val="6"/>
        </w:numPr>
        <w:ind w:left="720" w:hanging="360"/>
        <w:rPr>
          <w:sz w:val="28"/>
          <w:szCs w:val="28"/>
          <w:u w:val="none"/>
        </w:rPr>
      </w:pPr>
      <w:r w:rsidDel="00000000" w:rsidR="00000000" w:rsidRPr="00000000">
        <w:rPr>
          <w:sz w:val="28"/>
          <w:szCs w:val="28"/>
          <w:rtl w:val="0"/>
        </w:rPr>
        <w:t xml:space="preserve">42% chose “help with developing and maintaining friendships” is an unmet need</w:t>
      </w:r>
    </w:p>
    <w:p w:rsidR="00000000" w:rsidDel="00000000" w:rsidP="00000000" w:rsidRDefault="00000000" w:rsidRPr="00000000" w14:paraId="00000018">
      <w:pPr>
        <w:numPr>
          <w:ilvl w:val="0"/>
          <w:numId w:val="6"/>
        </w:numPr>
        <w:ind w:left="720" w:hanging="360"/>
        <w:rPr>
          <w:sz w:val="28"/>
          <w:szCs w:val="28"/>
          <w:u w:val="none"/>
        </w:rPr>
      </w:pPr>
      <w:r w:rsidDel="00000000" w:rsidR="00000000" w:rsidRPr="00000000">
        <w:rPr>
          <w:sz w:val="28"/>
          <w:szCs w:val="28"/>
          <w:rtl w:val="0"/>
        </w:rPr>
        <w:t xml:space="preserve">Identified reasons for need not being met:</w:t>
      </w:r>
    </w:p>
    <w:p w:rsidR="00000000" w:rsidDel="00000000" w:rsidP="00000000" w:rsidRDefault="00000000" w:rsidRPr="00000000" w14:paraId="00000019">
      <w:pPr>
        <w:numPr>
          <w:ilvl w:val="0"/>
          <w:numId w:val="6"/>
        </w:numPr>
        <w:ind w:left="720" w:hanging="360"/>
        <w:rPr>
          <w:sz w:val="28"/>
          <w:szCs w:val="28"/>
          <w:u w:val="none"/>
        </w:rPr>
      </w:pPr>
      <w:r w:rsidDel="00000000" w:rsidR="00000000" w:rsidRPr="00000000">
        <w:rPr>
          <w:sz w:val="28"/>
          <w:szCs w:val="28"/>
          <w:rtl w:val="0"/>
        </w:rPr>
        <w:t xml:space="preserve">Limited personal finances</w:t>
      </w:r>
    </w:p>
    <w:p w:rsidR="00000000" w:rsidDel="00000000" w:rsidP="00000000" w:rsidRDefault="00000000" w:rsidRPr="00000000" w14:paraId="0000001A">
      <w:pPr>
        <w:numPr>
          <w:ilvl w:val="0"/>
          <w:numId w:val="6"/>
        </w:numPr>
        <w:ind w:left="720" w:hanging="360"/>
        <w:rPr>
          <w:sz w:val="28"/>
          <w:szCs w:val="28"/>
          <w:u w:val="none"/>
        </w:rPr>
      </w:pPr>
      <w:r w:rsidDel="00000000" w:rsidR="00000000" w:rsidRPr="00000000">
        <w:rPr>
          <w:sz w:val="28"/>
          <w:szCs w:val="28"/>
          <w:rtl w:val="0"/>
        </w:rPr>
        <w:t xml:space="preserve">Didn’t know about the resource</w:t>
      </w:r>
    </w:p>
    <w:p w:rsidR="00000000" w:rsidDel="00000000" w:rsidP="00000000" w:rsidRDefault="00000000" w:rsidRPr="00000000" w14:paraId="0000001B">
      <w:pPr>
        <w:numPr>
          <w:ilvl w:val="0"/>
          <w:numId w:val="6"/>
        </w:numPr>
        <w:ind w:left="720" w:hanging="360"/>
        <w:rPr>
          <w:sz w:val="28"/>
          <w:szCs w:val="28"/>
          <w:u w:val="none"/>
        </w:rPr>
      </w:pPr>
      <w:r w:rsidDel="00000000" w:rsidR="00000000" w:rsidRPr="00000000">
        <w:rPr>
          <w:sz w:val="28"/>
          <w:szCs w:val="28"/>
          <w:rtl w:val="0"/>
        </w:rPr>
        <w:t xml:space="preserve">Limited health insurance</w:t>
      </w:r>
    </w:p>
    <w:p w:rsidR="00000000" w:rsidDel="00000000" w:rsidP="00000000" w:rsidRDefault="00000000" w:rsidRPr="00000000" w14:paraId="0000001C">
      <w:pPr>
        <w:numPr>
          <w:ilvl w:val="0"/>
          <w:numId w:val="6"/>
        </w:numPr>
        <w:ind w:left="720" w:hanging="360"/>
        <w:rPr>
          <w:sz w:val="28"/>
          <w:szCs w:val="28"/>
          <w:u w:val="none"/>
        </w:rPr>
      </w:pPr>
      <w:r w:rsidDel="00000000" w:rsidR="00000000" w:rsidRPr="00000000">
        <w:rPr>
          <w:sz w:val="28"/>
          <w:szCs w:val="28"/>
          <w:rtl w:val="0"/>
        </w:rPr>
        <w:t xml:space="preserve">Resource was not available</w:t>
      </w:r>
    </w:p>
    <w:p w:rsidR="00000000" w:rsidDel="00000000" w:rsidP="00000000" w:rsidRDefault="00000000" w:rsidRPr="00000000" w14:paraId="0000001D">
      <w:pPr>
        <w:numPr>
          <w:ilvl w:val="0"/>
          <w:numId w:val="6"/>
        </w:numPr>
        <w:ind w:left="720" w:hanging="360"/>
        <w:rPr>
          <w:sz w:val="28"/>
          <w:szCs w:val="28"/>
          <w:u w:val="none"/>
        </w:rPr>
      </w:pPr>
      <w:r w:rsidDel="00000000" w:rsidR="00000000" w:rsidRPr="00000000">
        <w:rPr>
          <w:sz w:val="28"/>
          <w:szCs w:val="28"/>
          <w:rtl w:val="0"/>
        </w:rPr>
        <w:t xml:space="preserve">Lack of family/social support</w:t>
      </w:r>
    </w:p>
    <w:p w:rsidR="00000000" w:rsidDel="00000000" w:rsidP="00000000" w:rsidRDefault="00000000" w:rsidRPr="00000000" w14:paraId="0000001E">
      <w:pPr>
        <w:numPr>
          <w:ilvl w:val="0"/>
          <w:numId w:val="6"/>
        </w:numPr>
        <w:ind w:left="720" w:hanging="360"/>
        <w:rPr>
          <w:sz w:val="28"/>
          <w:szCs w:val="28"/>
          <w:u w:val="none"/>
        </w:rPr>
      </w:pPr>
      <w:r w:rsidDel="00000000" w:rsidR="00000000" w:rsidRPr="00000000">
        <w:rPr>
          <w:sz w:val="28"/>
          <w:szCs w:val="28"/>
          <w:rtl w:val="0"/>
        </w:rPr>
        <w:t xml:space="preserve">Lack of transportation</w:t>
      </w:r>
    </w:p>
    <w:p w:rsidR="00000000" w:rsidDel="00000000" w:rsidP="00000000" w:rsidRDefault="00000000" w:rsidRPr="00000000" w14:paraId="0000001F">
      <w:pPr>
        <w:ind w:left="0" w:firstLine="0"/>
        <w:rPr>
          <w:sz w:val="28"/>
          <w:szCs w:val="28"/>
        </w:rPr>
      </w:pPr>
      <w:r w:rsidDel="00000000" w:rsidR="00000000" w:rsidRPr="00000000">
        <w:rPr>
          <w:rtl w:val="0"/>
        </w:rPr>
      </w:r>
    </w:p>
    <w:p w:rsidR="00000000" w:rsidDel="00000000" w:rsidP="00000000" w:rsidRDefault="00000000" w:rsidRPr="00000000" w14:paraId="00000020">
      <w:pPr>
        <w:ind w:left="0" w:firstLine="0"/>
        <w:rPr>
          <w:b w:val="1"/>
          <w:sz w:val="28"/>
          <w:szCs w:val="28"/>
        </w:rPr>
      </w:pPr>
      <w:r w:rsidDel="00000000" w:rsidR="00000000" w:rsidRPr="00000000">
        <w:rPr>
          <w:sz w:val="28"/>
          <w:szCs w:val="28"/>
          <w:rtl w:val="0"/>
        </w:rPr>
        <w:t xml:space="preserve">Unmet Needs of </w:t>
      </w:r>
      <w:r w:rsidDel="00000000" w:rsidR="00000000" w:rsidRPr="00000000">
        <w:rPr>
          <w:b w:val="1"/>
          <w:sz w:val="28"/>
          <w:szCs w:val="28"/>
          <w:rtl w:val="0"/>
        </w:rPr>
        <w:t xml:space="preserve">Caregivers</w:t>
      </w:r>
    </w:p>
    <w:p w:rsidR="00000000" w:rsidDel="00000000" w:rsidP="00000000" w:rsidRDefault="00000000" w:rsidRPr="00000000" w14:paraId="00000021">
      <w:pPr>
        <w:numPr>
          <w:ilvl w:val="0"/>
          <w:numId w:val="4"/>
        </w:numPr>
        <w:ind w:left="720" w:hanging="360"/>
        <w:rPr>
          <w:sz w:val="28"/>
          <w:szCs w:val="28"/>
          <w:u w:val="none"/>
        </w:rPr>
      </w:pPr>
      <w:r w:rsidDel="00000000" w:rsidR="00000000" w:rsidRPr="00000000">
        <w:rPr>
          <w:sz w:val="28"/>
          <w:szCs w:val="28"/>
          <w:rtl w:val="0"/>
        </w:rPr>
        <w:t xml:space="preserve">71% needs help finding resources</w:t>
      </w:r>
    </w:p>
    <w:p w:rsidR="00000000" w:rsidDel="00000000" w:rsidP="00000000" w:rsidRDefault="00000000" w:rsidRPr="00000000" w14:paraId="00000022">
      <w:pPr>
        <w:numPr>
          <w:ilvl w:val="0"/>
          <w:numId w:val="4"/>
        </w:numPr>
        <w:ind w:left="720" w:hanging="360"/>
        <w:rPr>
          <w:sz w:val="28"/>
          <w:szCs w:val="28"/>
          <w:u w:val="none"/>
        </w:rPr>
      </w:pPr>
      <w:r w:rsidDel="00000000" w:rsidR="00000000" w:rsidRPr="00000000">
        <w:rPr>
          <w:sz w:val="28"/>
          <w:szCs w:val="28"/>
          <w:rtl w:val="0"/>
        </w:rPr>
        <w:t xml:space="preserve">51% need mental health counseling</w:t>
      </w:r>
    </w:p>
    <w:p w:rsidR="00000000" w:rsidDel="00000000" w:rsidP="00000000" w:rsidRDefault="00000000" w:rsidRPr="00000000" w14:paraId="00000023">
      <w:pPr>
        <w:numPr>
          <w:ilvl w:val="0"/>
          <w:numId w:val="4"/>
        </w:numPr>
        <w:ind w:left="720" w:hanging="360"/>
        <w:rPr>
          <w:sz w:val="28"/>
          <w:szCs w:val="28"/>
          <w:u w:val="none"/>
        </w:rPr>
      </w:pPr>
      <w:r w:rsidDel="00000000" w:rsidR="00000000" w:rsidRPr="00000000">
        <w:rPr>
          <w:sz w:val="28"/>
          <w:szCs w:val="28"/>
          <w:rtl w:val="0"/>
        </w:rPr>
        <w:t xml:space="preserve">47% need support groups</w:t>
      </w:r>
    </w:p>
    <w:p w:rsidR="00000000" w:rsidDel="00000000" w:rsidP="00000000" w:rsidRDefault="00000000" w:rsidRPr="00000000" w14:paraId="00000024">
      <w:pPr>
        <w:numPr>
          <w:ilvl w:val="0"/>
          <w:numId w:val="4"/>
        </w:numPr>
        <w:ind w:left="720" w:hanging="360"/>
        <w:rPr>
          <w:sz w:val="28"/>
          <w:szCs w:val="28"/>
          <w:u w:val="none"/>
        </w:rPr>
      </w:pPr>
      <w:r w:rsidDel="00000000" w:rsidR="00000000" w:rsidRPr="00000000">
        <w:rPr>
          <w:sz w:val="28"/>
          <w:szCs w:val="28"/>
          <w:rtl w:val="0"/>
        </w:rPr>
        <w:t xml:space="preserve">44% need respite care</w:t>
      </w:r>
    </w:p>
    <w:p w:rsidR="00000000" w:rsidDel="00000000" w:rsidP="00000000" w:rsidRDefault="00000000" w:rsidRPr="00000000" w14:paraId="00000025">
      <w:pPr>
        <w:rPr>
          <w:sz w:val="28"/>
          <w:szCs w:val="28"/>
        </w:rPr>
      </w:pPr>
      <w:r w:rsidDel="00000000" w:rsidR="00000000" w:rsidRPr="00000000">
        <w:rPr>
          <w:rtl w:val="0"/>
        </w:rPr>
      </w:r>
    </w:p>
    <w:p w:rsidR="00000000" w:rsidDel="00000000" w:rsidP="00000000" w:rsidRDefault="00000000" w:rsidRPr="00000000" w14:paraId="00000026">
      <w:pPr>
        <w:rPr>
          <w:b w:val="1"/>
          <w:sz w:val="28"/>
          <w:szCs w:val="28"/>
        </w:rPr>
      </w:pPr>
      <w:r w:rsidDel="00000000" w:rsidR="00000000" w:rsidRPr="00000000">
        <w:rPr>
          <w:sz w:val="28"/>
          <w:szCs w:val="28"/>
          <w:rtl w:val="0"/>
        </w:rPr>
        <w:t xml:space="preserve">Unmet Needs of </w:t>
      </w:r>
      <w:r w:rsidDel="00000000" w:rsidR="00000000" w:rsidRPr="00000000">
        <w:rPr>
          <w:b w:val="1"/>
          <w:sz w:val="28"/>
          <w:szCs w:val="28"/>
          <w:rtl w:val="0"/>
        </w:rPr>
        <w:t xml:space="preserve">Professionals</w:t>
      </w:r>
    </w:p>
    <w:p w:rsidR="00000000" w:rsidDel="00000000" w:rsidP="00000000" w:rsidRDefault="00000000" w:rsidRPr="00000000" w14:paraId="00000027">
      <w:pPr>
        <w:numPr>
          <w:ilvl w:val="0"/>
          <w:numId w:val="4"/>
        </w:numPr>
        <w:ind w:left="720" w:hanging="360"/>
        <w:rPr>
          <w:sz w:val="28"/>
          <w:szCs w:val="28"/>
          <w:u w:val="none"/>
        </w:rPr>
      </w:pPr>
      <w:r w:rsidDel="00000000" w:rsidR="00000000" w:rsidRPr="00000000">
        <w:rPr>
          <w:sz w:val="28"/>
          <w:szCs w:val="28"/>
          <w:rtl w:val="0"/>
        </w:rPr>
        <w:t xml:space="preserve">83% general TBI education</w:t>
      </w:r>
    </w:p>
    <w:p w:rsidR="00000000" w:rsidDel="00000000" w:rsidP="00000000" w:rsidRDefault="00000000" w:rsidRPr="00000000" w14:paraId="00000028">
      <w:pPr>
        <w:numPr>
          <w:ilvl w:val="0"/>
          <w:numId w:val="4"/>
        </w:numPr>
        <w:ind w:left="720" w:hanging="360"/>
        <w:rPr>
          <w:sz w:val="28"/>
          <w:szCs w:val="28"/>
          <w:u w:val="none"/>
        </w:rPr>
      </w:pPr>
      <w:r w:rsidDel="00000000" w:rsidR="00000000" w:rsidRPr="00000000">
        <w:rPr>
          <w:sz w:val="28"/>
          <w:szCs w:val="28"/>
          <w:rtl w:val="0"/>
        </w:rPr>
        <w:t xml:space="preserve">78% centralized list of TBI resources</w:t>
      </w:r>
    </w:p>
    <w:p w:rsidR="00000000" w:rsidDel="00000000" w:rsidP="00000000" w:rsidRDefault="00000000" w:rsidRPr="00000000" w14:paraId="00000029">
      <w:pPr>
        <w:numPr>
          <w:ilvl w:val="0"/>
          <w:numId w:val="4"/>
        </w:numPr>
        <w:ind w:left="720" w:hanging="360"/>
        <w:rPr>
          <w:sz w:val="28"/>
          <w:szCs w:val="28"/>
          <w:u w:val="none"/>
        </w:rPr>
      </w:pPr>
      <w:r w:rsidDel="00000000" w:rsidR="00000000" w:rsidRPr="00000000">
        <w:rPr>
          <w:sz w:val="28"/>
          <w:szCs w:val="28"/>
          <w:rtl w:val="0"/>
        </w:rPr>
        <w:t xml:space="preserve">78% funding for programs available for persons with TBI</w:t>
      </w:r>
    </w:p>
    <w:p w:rsidR="00000000" w:rsidDel="00000000" w:rsidP="00000000" w:rsidRDefault="00000000" w:rsidRPr="00000000" w14:paraId="0000002A">
      <w:pPr>
        <w:numPr>
          <w:ilvl w:val="0"/>
          <w:numId w:val="4"/>
        </w:numPr>
        <w:ind w:left="720" w:hanging="360"/>
        <w:rPr>
          <w:sz w:val="28"/>
          <w:szCs w:val="28"/>
          <w:u w:val="none"/>
        </w:rPr>
      </w:pPr>
      <w:r w:rsidDel="00000000" w:rsidR="00000000" w:rsidRPr="00000000">
        <w:rPr>
          <w:sz w:val="28"/>
          <w:szCs w:val="28"/>
          <w:rtl w:val="0"/>
        </w:rPr>
        <w:t xml:space="preserve">75% community based service options</w:t>
      </w:r>
    </w:p>
    <w:p w:rsidR="00000000" w:rsidDel="00000000" w:rsidP="00000000" w:rsidRDefault="00000000" w:rsidRPr="00000000" w14:paraId="0000002B">
      <w:pPr>
        <w:ind w:left="0" w:firstLine="0"/>
        <w:rPr>
          <w:sz w:val="28"/>
          <w:szCs w:val="28"/>
        </w:rPr>
      </w:pPr>
      <w:r w:rsidDel="00000000" w:rsidR="00000000" w:rsidRPr="00000000">
        <w:rPr>
          <w:rtl w:val="0"/>
        </w:rPr>
      </w:r>
    </w:p>
    <w:p w:rsidR="00000000" w:rsidDel="00000000" w:rsidP="00000000" w:rsidRDefault="00000000" w:rsidRPr="00000000" w14:paraId="0000002C">
      <w:pPr>
        <w:ind w:left="0" w:firstLine="0"/>
        <w:rPr>
          <w:sz w:val="28"/>
          <w:szCs w:val="28"/>
        </w:rPr>
      </w:pPr>
      <w:r w:rsidDel="00000000" w:rsidR="00000000" w:rsidRPr="00000000">
        <w:rPr>
          <w:b w:val="1"/>
          <w:sz w:val="28"/>
          <w:szCs w:val="28"/>
          <w:rtl w:val="0"/>
        </w:rPr>
        <w:t xml:space="preserve">Common Elements identified by Survivors, Caregivers, and Professionals: </w:t>
      </w:r>
      <w:r w:rsidDel="00000000" w:rsidR="00000000" w:rsidRPr="00000000">
        <w:rPr>
          <w:i w:val="1"/>
          <w:sz w:val="28"/>
          <w:szCs w:val="28"/>
          <w:rtl w:val="0"/>
        </w:rPr>
        <w:t xml:space="preserve">Education, Resources, Connections, Finances (income/funding)</w:t>
      </w:r>
      <w:r w:rsidDel="00000000" w:rsidR="00000000" w:rsidRPr="00000000">
        <w:rPr>
          <w:rtl w:val="0"/>
        </w:rPr>
      </w:r>
    </w:p>
    <w:p w:rsidR="00000000" w:rsidDel="00000000" w:rsidP="00000000" w:rsidRDefault="00000000" w:rsidRPr="00000000" w14:paraId="0000002D">
      <w:pPr>
        <w:ind w:left="0" w:firstLine="0"/>
        <w:rPr>
          <w:sz w:val="28"/>
          <w:szCs w:val="28"/>
        </w:rPr>
      </w:pPr>
      <w:r w:rsidDel="00000000" w:rsidR="00000000" w:rsidRPr="00000000">
        <w:rPr>
          <w:rtl w:val="0"/>
        </w:rPr>
      </w:r>
    </w:p>
    <w:p w:rsidR="00000000" w:rsidDel="00000000" w:rsidP="00000000" w:rsidRDefault="00000000" w:rsidRPr="00000000" w14:paraId="0000002E">
      <w:pPr>
        <w:pStyle w:val="Heading2"/>
        <w:rPr/>
      </w:pPr>
      <w:bookmarkStart w:colFirst="0" w:colLast="0" w:name="_heading=h.48buzy1opaqv" w:id="6"/>
      <w:bookmarkEnd w:id="6"/>
      <w:r w:rsidDel="00000000" w:rsidR="00000000" w:rsidRPr="00000000">
        <w:rPr>
          <w:rtl w:val="0"/>
        </w:rPr>
        <w:t xml:space="preserve">Objectives of the TBI Advisory Board from the State Plan</w:t>
      </w:r>
    </w:p>
    <w:p w:rsidR="00000000" w:rsidDel="00000000" w:rsidP="00000000" w:rsidRDefault="00000000" w:rsidRPr="00000000" w14:paraId="0000002F">
      <w:pPr>
        <w:numPr>
          <w:ilvl w:val="0"/>
          <w:numId w:val="5"/>
        </w:numPr>
        <w:ind w:left="720" w:hanging="360"/>
        <w:rPr>
          <w:sz w:val="28"/>
          <w:szCs w:val="28"/>
          <w:u w:val="none"/>
        </w:rPr>
      </w:pPr>
      <w:r w:rsidDel="00000000" w:rsidR="00000000" w:rsidRPr="00000000">
        <w:rPr>
          <w:sz w:val="28"/>
          <w:szCs w:val="28"/>
          <w:rtl w:val="0"/>
        </w:rPr>
        <w:t xml:space="preserve">Brain Injury Survivor Committee</w:t>
      </w:r>
    </w:p>
    <w:p w:rsidR="00000000" w:rsidDel="00000000" w:rsidP="00000000" w:rsidRDefault="00000000" w:rsidRPr="00000000" w14:paraId="00000030">
      <w:pPr>
        <w:numPr>
          <w:ilvl w:val="0"/>
          <w:numId w:val="5"/>
        </w:numPr>
        <w:ind w:left="720" w:hanging="360"/>
        <w:rPr>
          <w:sz w:val="28"/>
          <w:szCs w:val="28"/>
          <w:u w:val="none"/>
        </w:rPr>
      </w:pPr>
      <w:r w:rsidDel="00000000" w:rsidR="00000000" w:rsidRPr="00000000">
        <w:rPr>
          <w:sz w:val="28"/>
          <w:szCs w:val="28"/>
          <w:rtl w:val="0"/>
        </w:rPr>
        <w:t xml:space="preserve">Resources and Education</w:t>
      </w:r>
    </w:p>
    <w:p w:rsidR="00000000" w:rsidDel="00000000" w:rsidP="00000000" w:rsidRDefault="00000000" w:rsidRPr="00000000" w14:paraId="00000031">
      <w:pPr>
        <w:numPr>
          <w:ilvl w:val="0"/>
          <w:numId w:val="5"/>
        </w:numPr>
        <w:ind w:left="720" w:hanging="360"/>
        <w:rPr>
          <w:sz w:val="28"/>
          <w:szCs w:val="28"/>
          <w:u w:val="none"/>
        </w:rPr>
      </w:pPr>
      <w:r w:rsidDel="00000000" w:rsidR="00000000" w:rsidRPr="00000000">
        <w:rPr>
          <w:sz w:val="28"/>
          <w:szCs w:val="28"/>
          <w:rtl w:val="0"/>
        </w:rPr>
        <w:t xml:space="preserve">Sustainable Funding</w:t>
      </w:r>
    </w:p>
    <w:p w:rsidR="00000000" w:rsidDel="00000000" w:rsidP="00000000" w:rsidRDefault="00000000" w:rsidRPr="00000000" w14:paraId="00000032">
      <w:pPr>
        <w:numPr>
          <w:ilvl w:val="0"/>
          <w:numId w:val="5"/>
        </w:numPr>
        <w:ind w:left="720" w:hanging="360"/>
        <w:rPr>
          <w:sz w:val="28"/>
          <w:szCs w:val="28"/>
          <w:u w:val="none"/>
        </w:rPr>
      </w:pPr>
      <w:r w:rsidDel="00000000" w:rsidR="00000000" w:rsidRPr="00000000">
        <w:rPr>
          <w:sz w:val="28"/>
          <w:szCs w:val="28"/>
          <w:rtl w:val="0"/>
        </w:rPr>
        <w:t xml:space="preserve">Statewide Impact</w:t>
      </w:r>
    </w:p>
    <w:p w:rsidR="00000000" w:rsidDel="00000000" w:rsidP="00000000" w:rsidRDefault="00000000" w:rsidRPr="00000000" w14:paraId="00000033">
      <w:pPr>
        <w:numPr>
          <w:ilvl w:val="0"/>
          <w:numId w:val="5"/>
        </w:numPr>
        <w:ind w:left="720" w:hanging="360"/>
        <w:rPr>
          <w:sz w:val="28"/>
          <w:szCs w:val="28"/>
          <w:u w:val="none"/>
        </w:rPr>
      </w:pPr>
      <w:r w:rsidDel="00000000" w:rsidR="00000000" w:rsidRPr="00000000">
        <w:rPr>
          <w:sz w:val="28"/>
          <w:szCs w:val="28"/>
          <w:rtl w:val="0"/>
        </w:rPr>
        <w:t xml:space="preserve">Employment and Vocational Rehabilitation</w:t>
      </w:r>
    </w:p>
    <w:p w:rsidR="00000000" w:rsidDel="00000000" w:rsidP="00000000" w:rsidRDefault="00000000" w:rsidRPr="00000000" w14:paraId="00000034">
      <w:pPr>
        <w:ind w:left="0" w:firstLine="0"/>
        <w:rPr>
          <w:sz w:val="28"/>
          <w:szCs w:val="28"/>
        </w:rPr>
      </w:pPr>
      <w:r w:rsidDel="00000000" w:rsidR="00000000" w:rsidRPr="00000000">
        <w:rPr>
          <w:rtl w:val="0"/>
        </w:rPr>
      </w:r>
    </w:p>
    <w:p w:rsidR="00000000" w:rsidDel="00000000" w:rsidP="00000000" w:rsidRDefault="00000000" w:rsidRPr="00000000" w14:paraId="00000035">
      <w:pPr>
        <w:pStyle w:val="Heading2"/>
        <w:rPr/>
      </w:pPr>
      <w:bookmarkStart w:colFirst="0" w:colLast="0" w:name="_heading=h.nl2dobf96elq" w:id="7"/>
      <w:bookmarkEnd w:id="7"/>
      <w:r w:rsidDel="00000000" w:rsidR="00000000" w:rsidRPr="00000000">
        <w:rPr>
          <w:rtl w:val="0"/>
        </w:rPr>
        <w:t xml:space="preserve">TBI Program Providers</w:t>
      </w:r>
    </w:p>
    <w:p w:rsidR="00000000" w:rsidDel="00000000" w:rsidP="00000000" w:rsidRDefault="00000000" w:rsidRPr="00000000" w14:paraId="00000036">
      <w:pPr>
        <w:numPr>
          <w:ilvl w:val="0"/>
          <w:numId w:val="1"/>
        </w:numPr>
        <w:ind w:left="720" w:hanging="360"/>
        <w:rPr>
          <w:sz w:val="28"/>
          <w:szCs w:val="28"/>
          <w:u w:val="none"/>
        </w:rPr>
      </w:pPr>
      <w:r w:rsidDel="00000000" w:rsidR="00000000" w:rsidRPr="00000000">
        <w:rPr>
          <w:sz w:val="28"/>
          <w:szCs w:val="28"/>
          <w:rtl w:val="0"/>
        </w:rPr>
        <w:t xml:space="preserve">The DOR utilized one-time HCBS funding in 2022 to expand from 6 to 12 TBI Program Providers. </w:t>
      </w:r>
    </w:p>
    <w:p w:rsidR="00000000" w:rsidDel="00000000" w:rsidP="00000000" w:rsidRDefault="00000000" w:rsidRPr="00000000" w14:paraId="00000037">
      <w:pPr>
        <w:numPr>
          <w:ilvl w:val="0"/>
          <w:numId w:val="1"/>
        </w:numPr>
        <w:ind w:left="720" w:hanging="360"/>
        <w:rPr>
          <w:sz w:val="28"/>
          <w:szCs w:val="28"/>
          <w:u w:val="none"/>
        </w:rPr>
      </w:pPr>
      <w:r w:rsidDel="00000000" w:rsidR="00000000" w:rsidRPr="00000000">
        <w:rPr>
          <w:sz w:val="28"/>
          <w:szCs w:val="28"/>
          <w:rtl w:val="0"/>
        </w:rPr>
        <w:t xml:space="preserve">The DOR maintained funding for 12 TBI Grantees in 2024. </w:t>
      </w:r>
    </w:p>
    <w:p w:rsidR="00000000" w:rsidDel="00000000" w:rsidP="00000000" w:rsidRDefault="00000000" w:rsidRPr="00000000" w14:paraId="00000038">
      <w:pPr>
        <w:ind w:left="0" w:firstLine="0"/>
        <w:rPr>
          <w:sz w:val="28"/>
          <w:szCs w:val="28"/>
        </w:rPr>
      </w:pPr>
      <w:r w:rsidDel="00000000" w:rsidR="00000000" w:rsidRPr="00000000">
        <w:rPr>
          <w:rtl w:val="0"/>
        </w:rPr>
      </w:r>
    </w:p>
    <w:p w:rsidR="00000000" w:rsidDel="00000000" w:rsidP="00000000" w:rsidRDefault="00000000" w:rsidRPr="00000000" w14:paraId="00000039">
      <w:pPr>
        <w:pStyle w:val="Heading2"/>
        <w:rPr/>
      </w:pPr>
      <w:bookmarkStart w:colFirst="0" w:colLast="0" w:name="_heading=h.awcd7zb6ygr3" w:id="8"/>
      <w:bookmarkEnd w:id="8"/>
      <w:r w:rsidDel="00000000" w:rsidR="00000000" w:rsidRPr="00000000">
        <w:rPr>
          <w:rtl w:val="0"/>
        </w:rPr>
        <w:t xml:space="preserve">The Current State Legislation</w:t>
      </w:r>
    </w:p>
    <w:p w:rsidR="00000000" w:rsidDel="00000000" w:rsidP="00000000" w:rsidRDefault="00000000" w:rsidRPr="00000000" w14:paraId="0000003A">
      <w:pPr>
        <w:ind w:left="0" w:firstLine="0"/>
        <w:rPr>
          <w:sz w:val="28"/>
          <w:szCs w:val="28"/>
        </w:rPr>
      </w:pPr>
      <w:r w:rsidDel="00000000" w:rsidR="00000000" w:rsidRPr="00000000">
        <w:rPr>
          <w:sz w:val="28"/>
          <w:szCs w:val="28"/>
          <w:rtl w:val="0"/>
        </w:rPr>
        <w:t xml:space="preserve">AB 398 – 2010- is the legislation that identifies the core services the TBI Program Providers are required to provide:</w:t>
      </w:r>
    </w:p>
    <w:p w:rsidR="00000000" w:rsidDel="00000000" w:rsidP="00000000" w:rsidRDefault="00000000" w:rsidRPr="00000000" w14:paraId="0000003B">
      <w:pPr>
        <w:ind w:left="0" w:firstLine="0"/>
        <w:rPr>
          <w:sz w:val="28"/>
          <w:szCs w:val="28"/>
        </w:rPr>
      </w:pPr>
      <w:r w:rsidDel="00000000" w:rsidR="00000000" w:rsidRPr="00000000">
        <w:rPr>
          <w:sz w:val="28"/>
          <w:szCs w:val="28"/>
          <w:rtl w:val="0"/>
        </w:rPr>
        <w:t xml:space="preserve">(d) (1) Service providers shall provide, directly or by arrangement, a coordinated service model to include all of the following:</w:t>
      </w:r>
    </w:p>
    <w:p w:rsidR="00000000" w:rsidDel="00000000" w:rsidP="00000000" w:rsidRDefault="00000000" w:rsidRPr="00000000" w14:paraId="0000003C">
      <w:pPr>
        <w:ind w:left="0" w:firstLine="0"/>
        <w:rPr>
          <w:sz w:val="28"/>
          <w:szCs w:val="28"/>
        </w:rPr>
      </w:pPr>
      <w:r w:rsidDel="00000000" w:rsidR="00000000" w:rsidRPr="00000000">
        <w:rPr>
          <w:sz w:val="28"/>
          <w:szCs w:val="28"/>
          <w:rtl w:val="0"/>
        </w:rPr>
        <w:t xml:space="preserve">(A) Supported living services.</w:t>
      </w:r>
    </w:p>
    <w:p w:rsidR="00000000" w:rsidDel="00000000" w:rsidP="00000000" w:rsidRDefault="00000000" w:rsidRPr="00000000" w14:paraId="0000003D">
      <w:pPr>
        <w:ind w:left="0" w:firstLine="0"/>
        <w:rPr>
          <w:sz w:val="28"/>
          <w:szCs w:val="28"/>
        </w:rPr>
      </w:pPr>
      <w:r w:rsidDel="00000000" w:rsidR="00000000" w:rsidRPr="00000000">
        <w:rPr>
          <w:sz w:val="28"/>
          <w:szCs w:val="28"/>
          <w:rtl w:val="0"/>
        </w:rPr>
        <w:t xml:space="preserve">(B) Community reintegration services.</w:t>
      </w:r>
    </w:p>
    <w:p w:rsidR="00000000" w:rsidDel="00000000" w:rsidP="00000000" w:rsidRDefault="00000000" w:rsidRPr="00000000" w14:paraId="0000003E">
      <w:pPr>
        <w:ind w:left="0" w:firstLine="0"/>
        <w:rPr>
          <w:sz w:val="28"/>
          <w:szCs w:val="28"/>
        </w:rPr>
      </w:pPr>
      <w:r w:rsidDel="00000000" w:rsidR="00000000" w:rsidRPr="00000000">
        <w:rPr>
          <w:sz w:val="28"/>
          <w:szCs w:val="28"/>
          <w:rtl w:val="0"/>
        </w:rPr>
        <w:t xml:space="preserve">(C) Vocational supportive services.</w:t>
      </w:r>
    </w:p>
    <w:p w:rsidR="00000000" w:rsidDel="00000000" w:rsidP="00000000" w:rsidRDefault="00000000" w:rsidRPr="00000000" w14:paraId="0000003F">
      <w:pPr>
        <w:ind w:left="0" w:firstLine="0"/>
        <w:rPr>
          <w:sz w:val="28"/>
          <w:szCs w:val="28"/>
        </w:rPr>
      </w:pPr>
      <w:r w:rsidDel="00000000" w:rsidR="00000000" w:rsidRPr="00000000">
        <w:rPr>
          <w:sz w:val="28"/>
          <w:szCs w:val="28"/>
          <w:rtl w:val="0"/>
        </w:rPr>
        <w:t xml:space="preserve">(D) Information, referral, and, as needed, assistance in identifying, accessing, utilizing, and coordinating all services needed by individuals with traumatic brain injury and their families.</w:t>
      </w:r>
    </w:p>
    <w:p w:rsidR="00000000" w:rsidDel="00000000" w:rsidP="00000000" w:rsidRDefault="00000000" w:rsidRPr="00000000" w14:paraId="00000040">
      <w:pPr>
        <w:ind w:left="0" w:firstLine="0"/>
        <w:rPr>
          <w:sz w:val="28"/>
          <w:szCs w:val="28"/>
        </w:rPr>
      </w:pPr>
      <w:r w:rsidDel="00000000" w:rsidR="00000000" w:rsidRPr="00000000">
        <w:rPr>
          <w:sz w:val="28"/>
          <w:szCs w:val="28"/>
          <w:rtl w:val="0"/>
        </w:rPr>
        <w:t xml:space="preserve">(E) Public and professional education designed to facilitate early identification of persons with brain injury, prompt referral of these persons to appropriate services, and improvement of the system of services available to them.</w:t>
      </w:r>
    </w:p>
    <w:p w:rsidR="00000000" w:rsidDel="00000000" w:rsidP="00000000" w:rsidRDefault="00000000" w:rsidRPr="00000000" w14:paraId="00000041">
      <w:pPr>
        <w:ind w:left="0" w:firstLine="0"/>
        <w:rPr>
          <w:sz w:val="28"/>
          <w:szCs w:val="28"/>
        </w:rPr>
      </w:pPr>
      <w:r w:rsidDel="00000000" w:rsidR="00000000" w:rsidRPr="00000000">
        <w:rPr>
          <w:rtl w:val="0"/>
        </w:rPr>
      </w:r>
    </w:p>
    <w:p w:rsidR="00000000" w:rsidDel="00000000" w:rsidP="00000000" w:rsidRDefault="00000000" w:rsidRPr="00000000" w14:paraId="00000042">
      <w:pPr>
        <w:ind w:left="0" w:firstLine="0"/>
        <w:rPr>
          <w:sz w:val="28"/>
          <w:szCs w:val="28"/>
        </w:rPr>
      </w:pPr>
      <w:r w:rsidDel="00000000" w:rsidR="00000000" w:rsidRPr="00000000">
        <w:rPr>
          <w:rtl w:val="0"/>
        </w:rPr>
      </w:r>
    </w:p>
    <w:p w:rsidR="00000000" w:rsidDel="00000000" w:rsidP="00000000" w:rsidRDefault="00000000" w:rsidRPr="00000000" w14:paraId="00000043">
      <w:pPr>
        <w:ind w:left="0" w:firstLine="0"/>
        <w:rPr>
          <w:sz w:val="28"/>
          <w:szCs w:val="28"/>
        </w:rPr>
      </w:pPr>
      <w:r w:rsidDel="00000000" w:rsidR="00000000" w:rsidRPr="00000000">
        <w:rPr>
          <w:rtl w:val="0"/>
        </w:rPr>
      </w:r>
    </w:p>
    <w:p w:rsidR="00000000" w:rsidDel="00000000" w:rsidP="00000000" w:rsidRDefault="00000000" w:rsidRPr="00000000" w14:paraId="00000044">
      <w:pPr>
        <w:pStyle w:val="Heading1"/>
        <w:rPr/>
      </w:pPr>
      <w:bookmarkStart w:colFirst="0" w:colLast="0" w:name="_heading=h.2et92p0" w:id="9"/>
      <w:bookmarkEnd w:id="9"/>
      <w:r w:rsidDel="00000000" w:rsidR="00000000" w:rsidRPr="00000000">
        <w:rPr>
          <w:rtl w:val="0"/>
        </w:rPr>
        <w:t xml:space="preserve">Assessment</w:t>
      </w:r>
    </w:p>
    <w:p w:rsidR="00000000" w:rsidDel="00000000" w:rsidP="00000000" w:rsidRDefault="00000000" w:rsidRPr="00000000" w14:paraId="00000045">
      <w:pPr>
        <w:ind w:left="0" w:firstLine="0"/>
        <w:rPr>
          <w:sz w:val="28"/>
          <w:szCs w:val="28"/>
        </w:rPr>
      </w:pPr>
      <w:r w:rsidDel="00000000" w:rsidR="00000000" w:rsidRPr="00000000">
        <w:rPr>
          <w:sz w:val="28"/>
          <w:szCs w:val="28"/>
          <w:rtl w:val="0"/>
        </w:rPr>
        <w:t xml:space="preserve">We need to leverage what we learned in 2022, be specific about what we want to learn in 2025, and be realistic with the goals, funding available, and timeframe.</w:t>
      </w:r>
    </w:p>
    <w:p w:rsidR="00000000" w:rsidDel="00000000" w:rsidP="00000000" w:rsidRDefault="00000000" w:rsidRPr="00000000" w14:paraId="00000046">
      <w:pPr>
        <w:ind w:left="0" w:firstLine="0"/>
        <w:rPr>
          <w:sz w:val="28"/>
          <w:szCs w:val="28"/>
        </w:rPr>
      </w:pPr>
      <w:r w:rsidDel="00000000" w:rsidR="00000000" w:rsidRPr="00000000">
        <w:rPr>
          <w:rtl w:val="0"/>
        </w:rPr>
      </w:r>
    </w:p>
    <w:p w:rsidR="00000000" w:rsidDel="00000000" w:rsidP="00000000" w:rsidRDefault="00000000" w:rsidRPr="00000000" w14:paraId="00000047">
      <w:pPr>
        <w:numPr>
          <w:ilvl w:val="0"/>
          <w:numId w:val="3"/>
        </w:numPr>
        <w:ind w:left="720" w:hanging="360"/>
        <w:rPr>
          <w:sz w:val="28"/>
          <w:szCs w:val="28"/>
          <w:u w:val="none"/>
        </w:rPr>
      </w:pPr>
      <w:r w:rsidDel="00000000" w:rsidR="00000000" w:rsidRPr="00000000">
        <w:rPr>
          <w:sz w:val="28"/>
          <w:szCs w:val="28"/>
          <w:rtl w:val="0"/>
        </w:rPr>
        <w:t xml:space="preserve">We need a </w:t>
      </w:r>
      <w:r w:rsidDel="00000000" w:rsidR="00000000" w:rsidRPr="00000000">
        <w:rPr>
          <w:b w:val="1"/>
          <w:sz w:val="28"/>
          <w:szCs w:val="28"/>
          <w:rtl w:val="0"/>
        </w:rPr>
        <w:t xml:space="preserve">larger sample size</w:t>
      </w:r>
      <w:r w:rsidDel="00000000" w:rsidR="00000000" w:rsidRPr="00000000">
        <w:rPr>
          <w:sz w:val="28"/>
          <w:szCs w:val="28"/>
          <w:rtl w:val="0"/>
        </w:rPr>
        <w:t xml:space="preserve"> for this Needs Assessment. We need to increase the amount of time allowed for the project and be more active with the recruitment of participants. </w:t>
      </w:r>
    </w:p>
    <w:p w:rsidR="00000000" w:rsidDel="00000000" w:rsidP="00000000" w:rsidRDefault="00000000" w:rsidRPr="00000000" w14:paraId="00000048">
      <w:pPr>
        <w:numPr>
          <w:ilvl w:val="0"/>
          <w:numId w:val="3"/>
        </w:numPr>
        <w:ind w:left="720" w:hanging="360"/>
        <w:rPr>
          <w:sz w:val="28"/>
          <w:szCs w:val="28"/>
          <w:u w:val="none"/>
        </w:rPr>
      </w:pPr>
      <w:r w:rsidDel="00000000" w:rsidR="00000000" w:rsidRPr="00000000">
        <w:rPr>
          <w:sz w:val="28"/>
          <w:szCs w:val="28"/>
          <w:rtl w:val="0"/>
        </w:rPr>
        <w:t xml:space="preserve">Given that we don’t have a BIA at this time (for larger advocacy efforts), </w:t>
      </w:r>
      <w:r w:rsidDel="00000000" w:rsidR="00000000" w:rsidRPr="00000000">
        <w:rPr>
          <w:b w:val="1"/>
          <w:sz w:val="28"/>
          <w:szCs w:val="28"/>
          <w:rtl w:val="0"/>
        </w:rPr>
        <w:t xml:space="preserve">let’s focus on the 12 funded TBI Providers and how they are meeting what is in the legislation and identify unmet needs of program participant</w:t>
      </w:r>
      <w:r w:rsidDel="00000000" w:rsidR="00000000" w:rsidRPr="00000000">
        <w:rPr>
          <w:sz w:val="28"/>
          <w:szCs w:val="28"/>
          <w:rtl w:val="0"/>
        </w:rPr>
        <w:t xml:space="preserve">s.  </w:t>
      </w:r>
    </w:p>
    <w:p w:rsidR="00000000" w:rsidDel="00000000" w:rsidP="00000000" w:rsidRDefault="00000000" w:rsidRPr="00000000" w14:paraId="00000049">
      <w:pPr>
        <w:numPr>
          <w:ilvl w:val="0"/>
          <w:numId w:val="3"/>
        </w:numPr>
        <w:ind w:left="720" w:hanging="360"/>
        <w:rPr>
          <w:sz w:val="28"/>
          <w:szCs w:val="28"/>
          <w:u w:val="none"/>
        </w:rPr>
      </w:pPr>
      <w:r w:rsidDel="00000000" w:rsidR="00000000" w:rsidRPr="00000000">
        <w:rPr>
          <w:sz w:val="28"/>
          <w:szCs w:val="28"/>
          <w:rtl w:val="0"/>
        </w:rPr>
        <w:t xml:space="preserve">We have increased the number of state TBI grantees from 6 to 12 which brings up follow up questions.</w:t>
      </w:r>
    </w:p>
    <w:p w:rsidR="00000000" w:rsidDel="00000000" w:rsidP="00000000" w:rsidRDefault="00000000" w:rsidRPr="00000000" w14:paraId="0000004A">
      <w:pPr>
        <w:numPr>
          <w:ilvl w:val="1"/>
          <w:numId w:val="3"/>
        </w:numPr>
        <w:ind w:left="1440" w:hanging="360"/>
        <w:rPr>
          <w:sz w:val="28"/>
          <w:szCs w:val="28"/>
          <w:u w:val="none"/>
        </w:rPr>
      </w:pPr>
      <w:r w:rsidDel="00000000" w:rsidR="00000000" w:rsidRPr="00000000">
        <w:rPr>
          <w:sz w:val="28"/>
          <w:szCs w:val="28"/>
          <w:rtl w:val="0"/>
        </w:rPr>
        <w:t xml:space="preserve">How has that affected our statewide impact?</w:t>
      </w:r>
    </w:p>
    <w:p w:rsidR="00000000" w:rsidDel="00000000" w:rsidP="00000000" w:rsidRDefault="00000000" w:rsidRPr="00000000" w14:paraId="0000004B">
      <w:pPr>
        <w:numPr>
          <w:ilvl w:val="1"/>
          <w:numId w:val="3"/>
        </w:numPr>
        <w:ind w:left="1440" w:hanging="360"/>
        <w:rPr>
          <w:sz w:val="28"/>
          <w:szCs w:val="28"/>
          <w:u w:val="none"/>
        </w:rPr>
      </w:pPr>
      <w:r w:rsidDel="00000000" w:rsidR="00000000" w:rsidRPr="00000000">
        <w:rPr>
          <w:sz w:val="28"/>
          <w:szCs w:val="28"/>
          <w:rtl w:val="0"/>
        </w:rPr>
        <w:t xml:space="preserve">What programs/services/outcomes are going well, which need improvement, what are the gaps in service?</w:t>
      </w:r>
    </w:p>
    <w:p w:rsidR="00000000" w:rsidDel="00000000" w:rsidP="00000000" w:rsidRDefault="00000000" w:rsidRPr="00000000" w14:paraId="0000004C">
      <w:pPr>
        <w:ind w:left="0" w:firstLine="0"/>
        <w:rPr>
          <w:sz w:val="28"/>
          <w:szCs w:val="28"/>
        </w:rPr>
      </w:pPr>
      <w:r w:rsidDel="00000000" w:rsidR="00000000" w:rsidRPr="00000000">
        <w:rPr>
          <w:rtl w:val="0"/>
        </w:rPr>
      </w:r>
    </w:p>
    <w:p w:rsidR="00000000" w:rsidDel="00000000" w:rsidP="00000000" w:rsidRDefault="00000000" w:rsidRPr="00000000" w14:paraId="0000004D">
      <w:pPr>
        <w:ind w:left="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4E">
      <w:pPr>
        <w:pStyle w:val="Heading1"/>
        <w:rPr/>
      </w:pPr>
      <w:bookmarkStart w:colFirst="0" w:colLast="0" w:name="_heading=h.tyjcwt" w:id="10"/>
      <w:bookmarkEnd w:id="10"/>
      <w:r w:rsidDel="00000000" w:rsidR="00000000" w:rsidRPr="00000000">
        <w:rPr>
          <w:rtl w:val="0"/>
        </w:rPr>
        <w:t xml:space="preserve">Recommendation</w:t>
      </w:r>
    </w:p>
    <w:p w:rsidR="00000000" w:rsidDel="00000000" w:rsidP="00000000" w:rsidRDefault="00000000" w:rsidRPr="00000000" w14:paraId="0000004F">
      <w:pPr>
        <w:ind w:left="0" w:firstLine="0"/>
        <w:rPr>
          <w:sz w:val="28"/>
          <w:szCs w:val="28"/>
        </w:rPr>
      </w:pPr>
      <w:r w:rsidDel="00000000" w:rsidR="00000000" w:rsidRPr="00000000">
        <w:rPr>
          <w:sz w:val="28"/>
          <w:szCs w:val="28"/>
          <w:rtl w:val="0"/>
        </w:rPr>
        <w:t xml:space="preserve">We need to take the time to focus our study on commonalities in advisory Board goals, the legislation that provides for the TBI Program, and the areas for improvement from the previous needs assessment, and topics that we provide actionable recommendations on. </w:t>
      </w:r>
    </w:p>
    <w:p w:rsidR="00000000" w:rsidDel="00000000" w:rsidP="00000000" w:rsidRDefault="00000000" w:rsidRPr="00000000" w14:paraId="00000050">
      <w:pPr>
        <w:ind w:left="0" w:firstLine="0"/>
        <w:rPr>
          <w:sz w:val="28"/>
          <w:szCs w:val="28"/>
        </w:rPr>
      </w:pPr>
      <w:r w:rsidDel="00000000" w:rsidR="00000000" w:rsidRPr="00000000">
        <w:rPr>
          <w:rtl w:val="0"/>
        </w:rPr>
      </w:r>
    </w:p>
    <w:p w:rsidR="00000000" w:rsidDel="00000000" w:rsidP="00000000" w:rsidRDefault="00000000" w:rsidRPr="00000000" w14:paraId="00000051">
      <w:pPr>
        <w:ind w:left="0" w:firstLine="0"/>
        <w:rPr>
          <w:sz w:val="28"/>
          <w:szCs w:val="28"/>
        </w:rPr>
      </w:pPr>
      <w:r w:rsidDel="00000000" w:rsidR="00000000" w:rsidRPr="00000000">
        <w:rPr>
          <w:sz w:val="28"/>
          <w:szCs w:val="28"/>
          <w:rtl w:val="0"/>
        </w:rPr>
        <w:t xml:space="preserve">The 2025 Needs Assessment Project should be a </w:t>
      </w:r>
      <w:r w:rsidDel="00000000" w:rsidR="00000000" w:rsidRPr="00000000">
        <w:rPr>
          <w:b w:val="1"/>
          <w:sz w:val="28"/>
          <w:szCs w:val="28"/>
          <w:rtl w:val="0"/>
        </w:rPr>
        <w:t xml:space="preserve">focused</w:t>
      </w:r>
      <w:r w:rsidDel="00000000" w:rsidR="00000000" w:rsidRPr="00000000">
        <w:rPr>
          <w:sz w:val="28"/>
          <w:szCs w:val="28"/>
          <w:rtl w:val="0"/>
        </w:rPr>
        <w:t xml:space="preserve"> assessment of the needs of our participants (</w:t>
      </w:r>
      <w:r w:rsidDel="00000000" w:rsidR="00000000" w:rsidRPr="00000000">
        <w:rPr>
          <w:b w:val="1"/>
          <w:sz w:val="28"/>
          <w:szCs w:val="28"/>
          <w:rtl w:val="0"/>
        </w:rPr>
        <w:t xml:space="preserve">survivors being served by the 12 state funded TBI Programs</w:t>
      </w:r>
      <w:r w:rsidDel="00000000" w:rsidR="00000000" w:rsidRPr="00000000">
        <w:rPr>
          <w:sz w:val="28"/>
          <w:szCs w:val="28"/>
          <w:rtl w:val="0"/>
        </w:rPr>
        <w:t xml:space="preserve">) and an indication of the performance of the statewide program as a whole. </w:t>
      </w:r>
    </w:p>
    <w:p w:rsidR="00000000" w:rsidDel="00000000" w:rsidP="00000000" w:rsidRDefault="00000000" w:rsidRPr="00000000" w14:paraId="00000052">
      <w:pPr>
        <w:numPr>
          <w:ilvl w:val="0"/>
          <w:numId w:val="2"/>
        </w:numPr>
        <w:ind w:left="720" w:hanging="360"/>
        <w:rPr>
          <w:sz w:val="28"/>
          <w:szCs w:val="28"/>
          <w:u w:val="none"/>
        </w:rPr>
      </w:pPr>
      <w:r w:rsidDel="00000000" w:rsidR="00000000" w:rsidRPr="00000000">
        <w:rPr>
          <w:sz w:val="28"/>
          <w:szCs w:val="28"/>
          <w:rtl w:val="0"/>
        </w:rPr>
        <w:t xml:space="preserve">We need to actively recruit participants from all 12 CATBI sites. We need a much larger sample size than the previous needs assessment.</w:t>
      </w:r>
    </w:p>
    <w:p w:rsidR="00000000" w:rsidDel="00000000" w:rsidP="00000000" w:rsidRDefault="00000000" w:rsidRPr="00000000" w14:paraId="00000053">
      <w:pPr>
        <w:numPr>
          <w:ilvl w:val="0"/>
          <w:numId w:val="2"/>
        </w:numPr>
        <w:ind w:left="720" w:hanging="360"/>
        <w:rPr>
          <w:sz w:val="28"/>
          <w:szCs w:val="28"/>
          <w:u w:val="none"/>
        </w:rPr>
      </w:pPr>
      <w:r w:rsidDel="00000000" w:rsidR="00000000" w:rsidRPr="00000000">
        <w:rPr>
          <w:sz w:val="28"/>
          <w:szCs w:val="28"/>
          <w:rtl w:val="0"/>
        </w:rPr>
        <w:t xml:space="preserve">What is the consumer experience, successes, challenges, and gaps in service. </w:t>
      </w:r>
    </w:p>
    <w:p w:rsidR="00000000" w:rsidDel="00000000" w:rsidP="00000000" w:rsidRDefault="00000000" w:rsidRPr="00000000" w14:paraId="00000054">
      <w:pPr>
        <w:numPr>
          <w:ilvl w:val="0"/>
          <w:numId w:val="2"/>
        </w:numPr>
        <w:ind w:left="720" w:hanging="360"/>
        <w:rPr>
          <w:sz w:val="28"/>
          <w:szCs w:val="28"/>
          <w:u w:val="none"/>
        </w:rPr>
      </w:pPr>
      <w:r w:rsidDel="00000000" w:rsidR="00000000" w:rsidRPr="00000000">
        <w:rPr>
          <w:sz w:val="28"/>
          <w:szCs w:val="28"/>
          <w:rtl w:val="0"/>
        </w:rPr>
        <w:t xml:space="preserve">Are we addressing what is intended in the current legislation?</w:t>
      </w:r>
    </w:p>
    <w:p w:rsidR="00000000" w:rsidDel="00000000" w:rsidP="00000000" w:rsidRDefault="00000000" w:rsidRPr="00000000" w14:paraId="00000055">
      <w:pPr>
        <w:numPr>
          <w:ilvl w:val="0"/>
          <w:numId w:val="2"/>
        </w:numPr>
        <w:ind w:left="720" w:hanging="360"/>
        <w:rPr>
          <w:sz w:val="28"/>
          <w:szCs w:val="28"/>
          <w:u w:val="none"/>
        </w:rPr>
      </w:pPr>
      <w:r w:rsidDel="00000000" w:rsidR="00000000" w:rsidRPr="00000000">
        <w:rPr>
          <w:sz w:val="28"/>
          <w:szCs w:val="28"/>
          <w:rtl w:val="0"/>
        </w:rPr>
        <w:t xml:space="preserve">Comment on Statewide Coverage and Impact</w:t>
      </w:r>
    </w:p>
    <w:p w:rsidR="00000000" w:rsidDel="00000000" w:rsidP="00000000" w:rsidRDefault="00000000" w:rsidRPr="00000000" w14:paraId="00000056">
      <w:pPr>
        <w:numPr>
          <w:ilvl w:val="0"/>
          <w:numId w:val="2"/>
        </w:numPr>
        <w:ind w:left="720" w:hanging="360"/>
        <w:rPr>
          <w:sz w:val="28"/>
          <w:szCs w:val="28"/>
          <w:u w:val="none"/>
        </w:rPr>
      </w:pPr>
      <w:r w:rsidDel="00000000" w:rsidR="00000000" w:rsidRPr="00000000">
        <w:rPr>
          <w:sz w:val="28"/>
          <w:szCs w:val="28"/>
          <w:rtl w:val="0"/>
        </w:rPr>
        <w:t xml:space="preserve">Focus on Vocational Services</w:t>
      </w:r>
    </w:p>
    <w:p w:rsidR="00000000" w:rsidDel="00000000" w:rsidP="00000000" w:rsidRDefault="00000000" w:rsidRPr="00000000" w14:paraId="00000057">
      <w:pPr>
        <w:numPr>
          <w:ilvl w:val="0"/>
          <w:numId w:val="2"/>
        </w:numPr>
        <w:ind w:left="720" w:hanging="360"/>
        <w:rPr>
          <w:sz w:val="28"/>
          <w:szCs w:val="28"/>
          <w:u w:val="none"/>
        </w:rPr>
      </w:pPr>
      <w:r w:rsidDel="00000000" w:rsidR="00000000" w:rsidRPr="00000000">
        <w:rPr>
          <w:sz w:val="28"/>
          <w:szCs w:val="28"/>
          <w:rtl w:val="0"/>
        </w:rPr>
        <w:t xml:space="preserve">Focus on Community Reintegration</w:t>
      </w:r>
    </w:p>
    <w:p w:rsidR="00000000" w:rsidDel="00000000" w:rsidP="00000000" w:rsidRDefault="00000000" w:rsidRPr="00000000" w14:paraId="00000058">
      <w:pPr>
        <w:numPr>
          <w:ilvl w:val="0"/>
          <w:numId w:val="2"/>
        </w:numPr>
        <w:ind w:left="720" w:hanging="360"/>
        <w:rPr>
          <w:sz w:val="28"/>
          <w:szCs w:val="28"/>
          <w:u w:val="none"/>
        </w:rPr>
      </w:pPr>
      <w:r w:rsidDel="00000000" w:rsidR="00000000" w:rsidRPr="00000000">
        <w:rPr>
          <w:sz w:val="28"/>
          <w:szCs w:val="28"/>
          <w:rtl w:val="0"/>
        </w:rPr>
        <w:t xml:space="preserve">What is the feasibility of including survivors of TBI that are not receiving services from a CATBI Site? (Cost, benefit of including this group, how would we recruit without a BIA?)</w:t>
      </w:r>
      <w:r w:rsidDel="00000000" w:rsidR="00000000" w:rsidRPr="00000000">
        <w:rPr>
          <w:rtl w:val="0"/>
        </w:rPr>
      </w:r>
    </w:p>
    <w:sectPr>
      <w:headerReference r:id="rId7" w:type="default"/>
      <w:headerReference r:id="rId8" w:type="first"/>
      <w:footerReference r:id="rId9"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pStyle w:val="Title"/>
      <w:jc w:val="center"/>
      <w:rPr>
        <w:sz w:val="40"/>
        <w:szCs w:val="40"/>
      </w:rPr>
    </w:pPr>
    <w:bookmarkStart w:colFirst="0" w:colLast="0" w:name="_heading=h.30j0zll" w:id="1"/>
    <w:bookmarkEnd w:id="1"/>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5">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2D58E7"/>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2D58E7"/>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2D58E7"/>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2D58E7"/>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2D58E7"/>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2D58E7"/>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2D58E7"/>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2D58E7"/>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2D58E7"/>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D58E7"/>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2D58E7"/>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2D58E7"/>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2D58E7"/>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2D58E7"/>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2D58E7"/>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2D58E7"/>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2D58E7"/>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2D58E7"/>
    <w:rPr>
      <w:rFonts w:cstheme="majorBidi" w:eastAsiaTheme="majorEastAsia"/>
      <w:color w:val="272727" w:themeColor="text1" w:themeTint="0000D8"/>
    </w:rPr>
  </w:style>
  <w:style w:type="paragraph" w:styleId="Title">
    <w:name w:val="Title"/>
    <w:basedOn w:val="Normal"/>
    <w:next w:val="Normal"/>
    <w:link w:val="TitleChar"/>
    <w:uiPriority w:val="10"/>
    <w:qFormat w:val="1"/>
    <w:rsid w:val="002D58E7"/>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2D58E7"/>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2D58E7"/>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2D58E7"/>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2D58E7"/>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2D58E7"/>
    <w:rPr>
      <w:i w:val="1"/>
      <w:iCs w:val="1"/>
      <w:color w:val="404040" w:themeColor="text1" w:themeTint="0000BF"/>
    </w:rPr>
  </w:style>
  <w:style w:type="paragraph" w:styleId="ListParagraph">
    <w:name w:val="List Paragraph"/>
    <w:basedOn w:val="Normal"/>
    <w:uiPriority w:val="34"/>
    <w:qFormat w:val="1"/>
    <w:rsid w:val="002D58E7"/>
    <w:pPr>
      <w:ind w:left="720"/>
      <w:contextualSpacing w:val="1"/>
    </w:pPr>
  </w:style>
  <w:style w:type="character" w:styleId="IntenseEmphasis">
    <w:name w:val="Intense Emphasis"/>
    <w:basedOn w:val="DefaultParagraphFont"/>
    <w:uiPriority w:val="21"/>
    <w:qFormat w:val="1"/>
    <w:rsid w:val="002D58E7"/>
    <w:rPr>
      <w:i w:val="1"/>
      <w:iCs w:val="1"/>
      <w:color w:val="0f4761" w:themeColor="accent1" w:themeShade="0000BF"/>
    </w:rPr>
  </w:style>
  <w:style w:type="paragraph" w:styleId="IntenseQuote">
    <w:name w:val="Intense Quote"/>
    <w:basedOn w:val="Normal"/>
    <w:next w:val="Normal"/>
    <w:link w:val="IntenseQuoteChar"/>
    <w:uiPriority w:val="30"/>
    <w:qFormat w:val="1"/>
    <w:rsid w:val="002D58E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2D58E7"/>
    <w:rPr>
      <w:i w:val="1"/>
      <w:iCs w:val="1"/>
      <w:color w:val="0f4761" w:themeColor="accent1" w:themeShade="0000BF"/>
    </w:rPr>
  </w:style>
  <w:style w:type="character" w:styleId="IntenseReference">
    <w:name w:val="Intense Reference"/>
    <w:basedOn w:val="DefaultParagraphFont"/>
    <w:uiPriority w:val="32"/>
    <w:qFormat w:val="1"/>
    <w:rsid w:val="002D58E7"/>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FXwBI8VoNg/2E2gOmdqXgKWPWA==">CgMxLjAyCGguZ2pkZ3hzMgloLjMwajB6bGwyDmgua3prZ2VncHlxaHU3Mg5oLmwyejlhMG9zNTMzajIJaC4zem55c2g3Mg5oLjl6dnQybzgzZDUyNjIOaC40OGJ1enkxb3BhcXYyDmgubmwyZG9iZjk2ZWxxMg5oLmF3Y2Q3emI2eWdyMzIJaC4yZXQ5MnAwMghoLnR5amN3dDIJaC4zMGowemxsOAByITFKNm9fTFNZMWZzMVctLVcwOGlPYmtTOHVLSWVNdklBQw==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2025-01-16T16:44:00Z</dcterms:created>
  <dc:creator>Todd Higgins</dc:creator>
</cp:coreProperties>
</file>