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B7CC" w14:textId="77777777" w:rsidR="00390AF8" w:rsidRDefault="003A6FC8">
      <w:pPr>
        <w:pStyle w:val="Heading4"/>
        <w:rPr>
          <w:color w:val="000000"/>
          <w:sz w:val="28"/>
          <w:szCs w:val="28"/>
        </w:rPr>
      </w:pPr>
      <w:bookmarkStart w:id="0" w:name="_heading=h.gjdgxs" w:colFirst="0" w:colLast="0"/>
      <w:bookmarkEnd w:id="0"/>
      <w:r>
        <w:rPr>
          <w:color w:val="000000"/>
          <w:sz w:val="28"/>
          <w:szCs w:val="28"/>
        </w:rPr>
        <w:t>To: Department of Rehabilitation</w:t>
      </w:r>
    </w:p>
    <w:p w14:paraId="0505BA5F" w14:textId="77777777" w:rsidR="00390AF8" w:rsidRDefault="003A6FC8">
      <w:pPr>
        <w:rPr>
          <w:sz w:val="28"/>
          <w:szCs w:val="28"/>
        </w:rPr>
      </w:pPr>
      <w:r>
        <w:rPr>
          <w:sz w:val="28"/>
          <w:szCs w:val="28"/>
        </w:rPr>
        <w:t>From: TBI Advisory Board Public Policy and Funding Committee</w:t>
      </w:r>
    </w:p>
    <w:p w14:paraId="47CB76E6" w14:textId="77777777" w:rsidR="00390AF8" w:rsidRDefault="003A6FC8">
      <w:pPr>
        <w:rPr>
          <w:sz w:val="28"/>
          <w:szCs w:val="28"/>
        </w:rPr>
      </w:pPr>
      <w:r>
        <w:rPr>
          <w:sz w:val="28"/>
          <w:szCs w:val="28"/>
        </w:rPr>
        <w:t>Date:  Oct 16, 2023</w:t>
      </w:r>
    </w:p>
    <w:p w14:paraId="639D2BB8" w14:textId="77777777" w:rsidR="00390AF8" w:rsidRDefault="003A6FC8">
      <w:pPr>
        <w:rPr>
          <w:sz w:val="28"/>
          <w:szCs w:val="28"/>
        </w:rPr>
      </w:pPr>
      <w:r>
        <w:rPr>
          <w:sz w:val="28"/>
          <w:szCs w:val="28"/>
        </w:rPr>
        <w:t>Re: Urgent TBI Program Funding Request</w:t>
      </w:r>
    </w:p>
    <w:p w14:paraId="1FA32DB4" w14:textId="77777777" w:rsidR="00390AF8" w:rsidRDefault="00390AF8">
      <w:pPr>
        <w:rPr>
          <w:sz w:val="28"/>
          <w:szCs w:val="28"/>
        </w:rPr>
      </w:pPr>
    </w:p>
    <w:p w14:paraId="521D0F88" w14:textId="77777777" w:rsidR="00390AF8" w:rsidRDefault="00390AF8">
      <w:pPr>
        <w:rPr>
          <w:sz w:val="28"/>
          <w:szCs w:val="28"/>
        </w:rPr>
      </w:pPr>
    </w:p>
    <w:p w14:paraId="3FE9B6A3" w14:textId="77777777" w:rsidR="00390AF8" w:rsidRDefault="003A6FC8">
      <w:pPr>
        <w:rPr>
          <w:sz w:val="28"/>
          <w:szCs w:val="28"/>
        </w:rPr>
      </w:pPr>
      <w:r>
        <w:rPr>
          <w:sz w:val="28"/>
          <w:szCs w:val="28"/>
        </w:rPr>
        <w:t>With information gathered by the Public Policy and Funding Committee, the TBI Advisory Board recommends that the Department of Rehabilitation (</w:t>
      </w:r>
      <w:proofErr w:type="spellStart"/>
      <w:r>
        <w:rPr>
          <w:sz w:val="28"/>
          <w:szCs w:val="28"/>
        </w:rPr>
        <w:t>DoR</w:t>
      </w:r>
      <w:proofErr w:type="spellEnd"/>
      <w:r>
        <w:rPr>
          <w:sz w:val="28"/>
          <w:szCs w:val="28"/>
        </w:rPr>
        <w:t xml:space="preserve">) requests funding from the state to address an urgent funding need for the TBI Program and works with the state legislature to address issues with the funding model. </w:t>
      </w:r>
    </w:p>
    <w:p w14:paraId="04106A14" w14:textId="77777777" w:rsidR="00390AF8" w:rsidRDefault="00390AF8">
      <w:pPr>
        <w:rPr>
          <w:sz w:val="28"/>
          <w:szCs w:val="28"/>
        </w:rPr>
      </w:pPr>
    </w:p>
    <w:p w14:paraId="04C23319" w14:textId="77777777" w:rsidR="00390AF8" w:rsidRDefault="003A6FC8">
      <w:pPr>
        <w:rPr>
          <w:b/>
          <w:sz w:val="28"/>
          <w:szCs w:val="28"/>
        </w:rPr>
      </w:pPr>
      <w:r>
        <w:rPr>
          <w:b/>
          <w:sz w:val="28"/>
          <w:szCs w:val="28"/>
        </w:rPr>
        <w:t xml:space="preserve">Background </w:t>
      </w:r>
    </w:p>
    <w:p w14:paraId="292EF18B" w14:textId="77777777" w:rsidR="00390AF8" w:rsidRDefault="003A6FC8">
      <w:pPr>
        <w:rPr>
          <w:sz w:val="28"/>
          <w:szCs w:val="28"/>
        </w:rPr>
      </w:pPr>
      <w:r>
        <w:rPr>
          <w:sz w:val="28"/>
          <w:szCs w:val="28"/>
        </w:rPr>
        <w:t xml:space="preserve">In 2021/22, the DOR was able to provide funding for 6 TBI Sites to provide a set of 5 core services to TBI survivors at a total cost of $1,150,000. </w:t>
      </w:r>
    </w:p>
    <w:p w14:paraId="08F52276" w14:textId="77777777" w:rsidR="00390AF8" w:rsidRDefault="00390AF8">
      <w:pPr>
        <w:rPr>
          <w:sz w:val="28"/>
          <w:szCs w:val="28"/>
        </w:rPr>
      </w:pPr>
    </w:p>
    <w:tbl>
      <w:tblPr>
        <w:tblStyle w:val="a1"/>
        <w:tblW w:w="9360" w:type="dxa"/>
        <w:tblLayout w:type="fixed"/>
        <w:tblLook w:val="0420" w:firstRow="1" w:lastRow="0" w:firstColumn="0" w:lastColumn="0" w:noHBand="0" w:noVBand="1"/>
        <w:tblDescription w:val="Funding per TBI Site: $175,000. Number of TBI Sites is 6. DoR Admin and Oversigth cost is $100,000. The Total is $1,150,000."/>
      </w:tblPr>
      <w:tblGrid>
        <w:gridCol w:w="6315"/>
        <w:gridCol w:w="3045"/>
      </w:tblGrid>
      <w:tr w:rsidR="00390AF8" w14:paraId="423C90F6" w14:textId="77777777" w:rsidTr="002770F7">
        <w:trPr>
          <w:tblHeader/>
        </w:trPr>
        <w:tc>
          <w:tcPr>
            <w:tcW w:w="6315" w:type="dxa"/>
          </w:tcPr>
          <w:p w14:paraId="3F37CEDA" w14:textId="77777777" w:rsidR="00390AF8" w:rsidRDefault="00E81623">
            <w:pPr>
              <w:widowControl w:val="0"/>
              <w:pBdr>
                <w:top w:val="nil"/>
                <w:left w:val="nil"/>
                <w:bottom w:val="nil"/>
                <w:right w:val="nil"/>
                <w:between w:val="nil"/>
              </w:pBdr>
              <w:spacing w:line="240" w:lineRule="auto"/>
              <w:rPr>
                <w:sz w:val="28"/>
                <w:szCs w:val="28"/>
              </w:rPr>
            </w:pPr>
            <w:r>
              <w:rPr>
                <w:sz w:val="28"/>
                <w:szCs w:val="28"/>
              </w:rPr>
              <w:t>Annual Funding per TBI Site</w:t>
            </w:r>
          </w:p>
        </w:tc>
        <w:tc>
          <w:tcPr>
            <w:tcW w:w="3045" w:type="dxa"/>
          </w:tcPr>
          <w:p w14:paraId="5B074DB2" w14:textId="77777777" w:rsidR="00390AF8" w:rsidRDefault="003A6FC8">
            <w:pPr>
              <w:widowControl w:val="0"/>
              <w:pBdr>
                <w:top w:val="nil"/>
                <w:left w:val="nil"/>
                <w:bottom w:val="nil"/>
                <w:right w:val="nil"/>
                <w:between w:val="nil"/>
              </w:pBdr>
              <w:spacing w:line="240" w:lineRule="auto"/>
              <w:rPr>
                <w:sz w:val="28"/>
                <w:szCs w:val="28"/>
              </w:rPr>
            </w:pPr>
            <w:r>
              <w:rPr>
                <w:sz w:val="28"/>
                <w:szCs w:val="28"/>
              </w:rPr>
              <w:t>$175,000</w:t>
            </w:r>
          </w:p>
        </w:tc>
      </w:tr>
      <w:tr w:rsidR="00390AF8" w14:paraId="08C0805E" w14:textId="77777777" w:rsidTr="002770F7">
        <w:trPr>
          <w:tblHeader/>
        </w:trPr>
        <w:tc>
          <w:tcPr>
            <w:tcW w:w="6315" w:type="dxa"/>
          </w:tcPr>
          <w:p w14:paraId="28920B67" w14:textId="77777777" w:rsidR="00390AF8" w:rsidRDefault="003A6FC8">
            <w:pPr>
              <w:widowControl w:val="0"/>
              <w:pBdr>
                <w:top w:val="nil"/>
                <w:left w:val="nil"/>
                <w:bottom w:val="nil"/>
                <w:right w:val="nil"/>
                <w:between w:val="nil"/>
              </w:pBdr>
              <w:spacing w:line="240" w:lineRule="auto"/>
              <w:rPr>
                <w:sz w:val="28"/>
                <w:szCs w:val="28"/>
              </w:rPr>
            </w:pPr>
            <w:r>
              <w:rPr>
                <w:sz w:val="28"/>
                <w:szCs w:val="28"/>
              </w:rPr>
              <w:t>Number of TBI Sites in the State</w:t>
            </w:r>
          </w:p>
        </w:tc>
        <w:tc>
          <w:tcPr>
            <w:tcW w:w="3045" w:type="dxa"/>
          </w:tcPr>
          <w:p w14:paraId="05CC46B0" w14:textId="77777777" w:rsidR="00390AF8" w:rsidRDefault="003A6FC8">
            <w:pPr>
              <w:widowControl w:val="0"/>
              <w:pBdr>
                <w:top w:val="nil"/>
                <w:left w:val="nil"/>
                <w:bottom w:val="nil"/>
                <w:right w:val="nil"/>
                <w:between w:val="nil"/>
              </w:pBdr>
              <w:spacing w:line="240" w:lineRule="auto"/>
              <w:rPr>
                <w:sz w:val="28"/>
                <w:szCs w:val="28"/>
              </w:rPr>
            </w:pPr>
            <w:r>
              <w:rPr>
                <w:sz w:val="28"/>
                <w:szCs w:val="28"/>
              </w:rPr>
              <w:t>6</w:t>
            </w:r>
          </w:p>
        </w:tc>
      </w:tr>
      <w:tr w:rsidR="00390AF8" w14:paraId="5B3C2FD5" w14:textId="77777777" w:rsidTr="002770F7">
        <w:trPr>
          <w:tblHeader/>
        </w:trPr>
        <w:tc>
          <w:tcPr>
            <w:tcW w:w="6315" w:type="dxa"/>
          </w:tcPr>
          <w:p w14:paraId="5C0952FD" w14:textId="77777777" w:rsidR="00390AF8" w:rsidRDefault="003A6FC8">
            <w:pPr>
              <w:widowControl w:val="0"/>
              <w:pBdr>
                <w:top w:val="nil"/>
                <w:left w:val="nil"/>
                <w:bottom w:val="nil"/>
                <w:right w:val="nil"/>
                <w:between w:val="nil"/>
              </w:pBdr>
              <w:spacing w:line="240" w:lineRule="auto"/>
              <w:rPr>
                <w:sz w:val="28"/>
                <w:szCs w:val="28"/>
              </w:rPr>
            </w:pPr>
            <w:proofErr w:type="spellStart"/>
            <w:r>
              <w:rPr>
                <w:sz w:val="28"/>
                <w:szCs w:val="28"/>
              </w:rPr>
              <w:t>DoR</w:t>
            </w:r>
            <w:proofErr w:type="spellEnd"/>
            <w:r>
              <w:rPr>
                <w:sz w:val="28"/>
                <w:szCs w:val="28"/>
              </w:rPr>
              <w:t xml:space="preserve"> Admin and Oversight</w:t>
            </w:r>
          </w:p>
        </w:tc>
        <w:tc>
          <w:tcPr>
            <w:tcW w:w="3045" w:type="dxa"/>
            <w:tcBorders>
              <w:bottom w:val="single" w:sz="8" w:space="0" w:color="000000"/>
            </w:tcBorders>
          </w:tcPr>
          <w:p w14:paraId="6CC1A0A1" w14:textId="77777777" w:rsidR="00390AF8" w:rsidRDefault="003A6FC8">
            <w:pPr>
              <w:widowControl w:val="0"/>
              <w:pBdr>
                <w:top w:val="nil"/>
                <w:left w:val="nil"/>
                <w:bottom w:val="nil"/>
                <w:right w:val="nil"/>
                <w:between w:val="nil"/>
              </w:pBdr>
              <w:spacing w:line="240" w:lineRule="auto"/>
              <w:rPr>
                <w:sz w:val="28"/>
                <w:szCs w:val="28"/>
              </w:rPr>
            </w:pPr>
            <w:r>
              <w:rPr>
                <w:sz w:val="28"/>
                <w:szCs w:val="28"/>
              </w:rPr>
              <w:t>$100,000</w:t>
            </w:r>
          </w:p>
        </w:tc>
      </w:tr>
      <w:tr w:rsidR="00390AF8" w14:paraId="45421D37" w14:textId="77777777" w:rsidTr="002770F7">
        <w:trPr>
          <w:tblHeader/>
        </w:trPr>
        <w:tc>
          <w:tcPr>
            <w:tcW w:w="6315" w:type="dxa"/>
          </w:tcPr>
          <w:p w14:paraId="2F03D539" w14:textId="77777777" w:rsidR="00390AF8" w:rsidRDefault="003A6FC8">
            <w:pPr>
              <w:widowControl w:val="0"/>
              <w:pBdr>
                <w:top w:val="nil"/>
                <w:left w:val="nil"/>
                <w:bottom w:val="nil"/>
                <w:right w:val="nil"/>
                <w:between w:val="nil"/>
              </w:pBdr>
              <w:spacing w:line="240" w:lineRule="auto"/>
              <w:rPr>
                <w:sz w:val="28"/>
                <w:szCs w:val="28"/>
              </w:rPr>
            </w:pPr>
            <w:r>
              <w:rPr>
                <w:sz w:val="28"/>
                <w:szCs w:val="28"/>
              </w:rPr>
              <w:t>Total</w:t>
            </w:r>
          </w:p>
        </w:tc>
        <w:tc>
          <w:tcPr>
            <w:tcW w:w="3045" w:type="dxa"/>
            <w:tcBorders>
              <w:top w:val="single" w:sz="8" w:space="0" w:color="000000"/>
            </w:tcBorders>
          </w:tcPr>
          <w:p w14:paraId="4117B330" w14:textId="77777777" w:rsidR="00390AF8" w:rsidRDefault="003A6FC8">
            <w:pPr>
              <w:widowControl w:val="0"/>
              <w:pBdr>
                <w:top w:val="nil"/>
                <w:left w:val="nil"/>
                <w:bottom w:val="nil"/>
                <w:right w:val="nil"/>
                <w:between w:val="nil"/>
              </w:pBdr>
              <w:spacing w:line="240" w:lineRule="auto"/>
              <w:rPr>
                <w:b/>
                <w:sz w:val="28"/>
                <w:szCs w:val="28"/>
              </w:rPr>
            </w:pPr>
            <w:r>
              <w:rPr>
                <w:b/>
                <w:sz w:val="28"/>
                <w:szCs w:val="28"/>
              </w:rPr>
              <w:t>$1,150,000</w:t>
            </w:r>
          </w:p>
        </w:tc>
      </w:tr>
    </w:tbl>
    <w:p w14:paraId="1467AC96" w14:textId="77777777" w:rsidR="00390AF8" w:rsidRDefault="00390AF8">
      <w:pPr>
        <w:rPr>
          <w:sz w:val="28"/>
          <w:szCs w:val="28"/>
        </w:rPr>
      </w:pPr>
    </w:p>
    <w:p w14:paraId="6854B5A8" w14:textId="77777777" w:rsidR="00390AF8" w:rsidRDefault="00390AF8">
      <w:pPr>
        <w:rPr>
          <w:sz w:val="28"/>
          <w:szCs w:val="28"/>
        </w:rPr>
      </w:pPr>
    </w:p>
    <w:p w14:paraId="14C9CC98" w14:textId="77777777" w:rsidR="00390AF8" w:rsidRDefault="003A6FC8">
      <w:pPr>
        <w:rPr>
          <w:sz w:val="28"/>
          <w:szCs w:val="28"/>
        </w:rPr>
      </w:pPr>
      <w:r>
        <w:rPr>
          <w:sz w:val="28"/>
          <w:szCs w:val="28"/>
        </w:rPr>
        <w:t xml:space="preserve">In 2022/23 the </w:t>
      </w:r>
      <w:proofErr w:type="spellStart"/>
      <w:r>
        <w:rPr>
          <w:sz w:val="28"/>
          <w:szCs w:val="28"/>
        </w:rPr>
        <w:t>DoR</w:t>
      </w:r>
      <w:proofErr w:type="spellEnd"/>
      <w:r>
        <w:rPr>
          <w:sz w:val="28"/>
          <w:szCs w:val="28"/>
        </w:rPr>
        <w:t xml:space="preserve"> continued the base funding mentioned above and also took advantage of a </w:t>
      </w:r>
      <w:r w:rsidR="00E81623">
        <w:rPr>
          <w:sz w:val="28"/>
          <w:szCs w:val="28"/>
        </w:rPr>
        <w:t>one-time</w:t>
      </w:r>
      <w:r>
        <w:rPr>
          <w:sz w:val="28"/>
          <w:szCs w:val="28"/>
        </w:rPr>
        <w:t xml:space="preserve"> funding opportunity to use $5,000,000 in HCBS funds to expand the capacity and development of programs that support TBI Survivors throughout the state. This was a targeted development of a Program that has been proven to be effective in supporting TBI Survivors to live their fullest lives in the community with specific supports that are not available in other programs. There was a specific effort to both expand access to services for people in rural areas through virtual programming and directly helping survivors to bridge the </w:t>
      </w:r>
      <w:r>
        <w:rPr>
          <w:sz w:val="28"/>
          <w:szCs w:val="28"/>
        </w:rPr>
        <w:lastRenderedPageBreak/>
        <w:t xml:space="preserve">Digital Divide. At the direction of </w:t>
      </w:r>
      <w:proofErr w:type="spellStart"/>
      <w:r>
        <w:rPr>
          <w:sz w:val="28"/>
          <w:szCs w:val="28"/>
        </w:rPr>
        <w:t>DoR</w:t>
      </w:r>
      <w:proofErr w:type="spellEnd"/>
      <w:r>
        <w:rPr>
          <w:sz w:val="28"/>
          <w:szCs w:val="28"/>
        </w:rPr>
        <w:t xml:space="preserve"> there has also been targeted outreach to unserved or underserved areas and identified at-risk populations within our state including the homeless and people who have sustained a TBI as the result of interpersonal violence</w:t>
      </w:r>
      <w:r w:rsidR="00E81623">
        <w:rPr>
          <w:sz w:val="28"/>
          <w:szCs w:val="28"/>
        </w:rPr>
        <w:t>.</w:t>
      </w:r>
    </w:p>
    <w:p w14:paraId="1CBA9F8A" w14:textId="77777777" w:rsidR="00E81623" w:rsidRDefault="00E81623">
      <w:pPr>
        <w:rPr>
          <w:sz w:val="28"/>
          <w:szCs w:val="28"/>
        </w:rPr>
      </w:pPr>
    </w:p>
    <w:p w14:paraId="3E872D13" w14:textId="77777777" w:rsidR="00390AF8" w:rsidRDefault="003A6FC8">
      <w:pPr>
        <w:rPr>
          <w:sz w:val="28"/>
          <w:szCs w:val="28"/>
        </w:rPr>
      </w:pPr>
      <w:r>
        <w:rPr>
          <w:sz w:val="28"/>
          <w:szCs w:val="28"/>
        </w:rPr>
        <w:t xml:space="preserve">This $5 million investment has enabled the </w:t>
      </w:r>
      <w:proofErr w:type="spellStart"/>
      <w:r>
        <w:rPr>
          <w:sz w:val="28"/>
          <w:szCs w:val="28"/>
        </w:rPr>
        <w:t>DoR</w:t>
      </w:r>
      <w:proofErr w:type="spellEnd"/>
      <w:r>
        <w:rPr>
          <w:sz w:val="28"/>
          <w:szCs w:val="28"/>
        </w:rPr>
        <w:t xml:space="preserve"> and its partners to add an additional 6 TBI Sites to its program, and has added funding to the original 6 Sites which has allowed them to expand their services in capacity and in targeted outreach. </w:t>
      </w:r>
    </w:p>
    <w:p w14:paraId="62D917BA" w14:textId="77777777" w:rsidR="00390AF8" w:rsidRDefault="00390AF8">
      <w:pPr>
        <w:rPr>
          <w:sz w:val="28"/>
          <w:szCs w:val="28"/>
        </w:rPr>
      </w:pPr>
    </w:p>
    <w:p w14:paraId="3D703501" w14:textId="77777777" w:rsidR="00390AF8" w:rsidRDefault="003A6FC8">
      <w:pPr>
        <w:rPr>
          <w:b/>
          <w:sz w:val="28"/>
          <w:szCs w:val="28"/>
        </w:rPr>
      </w:pPr>
      <w:r>
        <w:rPr>
          <w:b/>
          <w:sz w:val="28"/>
          <w:szCs w:val="28"/>
        </w:rPr>
        <w:t>Don’t let this one time investment go to waste.</w:t>
      </w:r>
    </w:p>
    <w:p w14:paraId="14AE3990" w14:textId="77777777" w:rsidR="00390AF8" w:rsidRDefault="00390AF8">
      <w:pPr>
        <w:rPr>
          <w:sz w:val="28"/>
          <w:szCs w:val="28"/>
        </w:rPr>
      </w:pPr>
    </w:p>
    <w:p w14:paraId="7AE306C0" w14:textId="77777777" w:rsidR="00390AF8" w:rsidRDefault="003A6FC8">
      <w:pPr>
        <w:rPr>
          <w:sz w:val="28"/>
          <w:szCs w:val="28"/>
        </w:rPr>
      </w:pPr>
      <w:r>
        <w:rPr>
          <w:sz w:val="28"/>
          <w:szCs w:val="28"/>
        </w:rPr>
        <w:t xml:space="preserve">The expense of starting new TBI Programs and expanding existing TBI Programs is important to the long term goal of the TBI Advisory Board State Plan which includes development of </w:t>
      </w:r>
      <w:r>
        <w:rPr>
          <w:i/>
          <w:sz w:val="28"/>
          <w:szCs w:val="28"/>
        </w:rPr>
        <w:t>statewide</w:t>
      </w:r>
      <w:r>
        <w:rPr>
          <w:sz w:val="28"/>
          <w:szCs w:val="28"/>
        </w:rPr>
        <w:t xml:space="preserve"> services. The </w:t>
      </w:r>
      <w:proofErr w:type="spellStart"/>
      <w:r>
        <w:rPr>
          <w:sz w:val="28"/>
          <w:szCs w:val="28"/>
        </w:rPr>
        <w:t>DoR</w:t>
      </w:r>
      <w:proofErr w:type="spellEnd"/>
      <w:r>
        <w:rPr>
          <w:sz w:val="28"/>
          <w:szCs w:val="28"/>
        </w:rPr>
        <w:t xml:space="preserve"> and the TBI Programs themselves have made an investment in funds, time and training to develop these programs and enroll more TBI survivors. It is critical at this point to continue to support these programs so that they do not disappear. As the TBI program sites can attest, the largest expense in program development is the startup costs that cover program development, purchasing, hiring, staff training, recruitment of participants, etc. We have added 6 TBI Sites that have now accomplished these tasks. At this point we should at least maintain these programs. </w:t>
      </w:r>
    </w:p>
    <w:p w14:paraId="7286F1DA" w14:textId="77777777" w:rsidR="00390AF8" w:rsidRDefault="00390AF8">
      <w:pPr>
        <w:rPr>
          <w:sz w:val="28"/>
          <w:szCs w:val="28"/>
        </w:rPr>
      </w:pPr>
    </w:p>
    <w:p w14:paraId="3DF92D02" w14:textId="77777777" w:rsidR="00390AF8" w:rsidRDefault="003A6FC8">
      <w:pPr>
        <w:rPr>
          <w:sz w:val="28"/>
          <w:szCs w:val="28"/>
        </w:rPr>
      </w:pPr>
      <w:r>
        <w:rPr>
          <w:b/>
          <w:sz w:val="28"/>
          <w:szCs w:val="28"/>
        </w:rPr>
        <w:t>See Attached Table</w:t>
      </w:r>
      <w:r>
        <w:rPr>
          <w:sz w:val="28"/>
          <w:szCs w:val="28"/>
        </w:rPr>
        <w:t xml:space="preserve"> for funding history and recommendation</w:t>
      </w:r>
    </w:p>
    <w:p w14:paraId="1B408676" w14:textId="77777777" w:rsidR="00390AF8" w:rsidRDefault="00390AF8">
      <w:pPr>
        <w:rPr>
          <w:sz w:val="28"/>
          <w:szCs w:val="28"/>
        </w:rPr>
      </w:pPr>
    </w:p>
    <w:p w14:paraId="15732374" w14:textId="77777777" w:rsidR="00390AF8" w:rsidRDefault="003A6FC8">
      <w:pPr>
        <w:rPr>
          <w:sz w:val="28"/>
          <w:szCs w:val="28"/>
        </w:rPr>
      </w:pPr>
      <w:r>
        <w:rPr>
          <w:b/>
          <w:sz w:val="28"/>
          <w:szCs w:val="28"/>
        </w:rPr>
        <w:t xml:space="preserve">Request </w:t>
      </w:r>
    </w:p>
    <w:p w14:paraId="7D23D0A9" w14:textId="77777777" w:rsidR="00390AF8" w:rsidRDefault="003A6FC8">
      <w:pPr>
        <w:rPr>
          <w:sz w:val="28"/>
          <w:szCs w:val="28"/>
        </w:rPr>
      </w:pPr>
      <w:proofErr w:type="spellStart"/>
      <w:r>
        <w:rPr>
          <w:sz w:val="28"/>
          <w:szCs w:val="28"/>
        </w:rPr>
        <w:t>DoR</w:t>
      </w:r>
      <w:proofErr w:type="spellEnd"/>
      <w:r>
        <w:rPr>
          <w:sz w:val="28"/>
          <w:szCs w:val="28"/>
        </w:rPr>
        <w:t xml:space="preserve"> should make a budget request to maintain service provision of 12 TBI Sites that provide much needed services to TBI survivors and caregivers. The timeliness of this request is urgent as 6 TBI Sites will lose all TBI funding after June 30, 2024 if no action is taken. The request should cover continued funding to 12 TBI Sites at $500,000 per year plus 5% per year for </w:t>
      </w:r>
      <w:proofErr w:type="spellStart"/>
      <w:r>
        <w:rPr>
          <w:sz w:val="28"/>
          <w:szCs w:val="28"/>
        </w:rPr>
        <w:t>DoR</w:t>
      </w:r>
      <w:proofErr w:type="spellEnd"/>
      <w:r>
        <w:rPr>
          <w:sz w:val="28"/>
          <w:szCs w:val="28"/>
        </w:rPr>
        <w:t xml:space="preserve"> oversight and support for a total of $6,300,000 annually.</w:t>
      </w:r>
    </w:p>
    <w:tbl>
      <w:tblPr>
        <w:tblStyle w:val="a2"/>
        <w:tblW w:w="9360" w:type="dxa"/>
        <w:tblLayout w:type="fixed"/>
        <w:tblLook w:val="0420" w:firstRow="1" w:lastRow="0" w:firstColumn="0" w:lastColumn="0" w:noHBand="0" w:noVBand="1"/>
        <w:tblDescription w:val="Annual funding for TBI Site is $500,000. Number of TBI Sites in the State= 12. Dor Admin and Oversight, calculated at 5%, is $300,000. Total funding request is $6,300,000."/>
      </w:tblPr>
      <w:tblGrid>
        <w:gridCol w:w="6405"/>
        <w:gridCol w:w="2955"/>
      </w:tblGrid>
      <w:tr w:rsidR="00390AF8" w14:paraId="000E95A4" w14:textId="77777777" w:rsidTr="002770F7">
        <w:trPr>
          <w:tblHeader/>
        </w:trPr>
        <w:tc>
          <w:tcPr>
            <w:tcW w:w="6405" w:type="dxa"/>
          </w:tcPr>
          <w:p w14:paraId="6208D416" w14:textId="77777777" w:rsidR="00390AF8" w:rsidRDefault="00E81623" w:rsidP="00E81623">
            <w:pPr>
              <w:widowControl w:val="0"/>
              <w:spacing w:line="240" w:lineRule="auto"/>
              <w:rPr>
                <w:sz w:val="28"/>
                <w:szCs w:val="28"/>
              </w:rPr>
            </w:pPr>
            <w:r>
              <w:rPr>
                <w:sz w:val="28"/>
                <w:szCs w:val="28"/>
              </w:rPr>
              <w:lastRenderedPageBreak/>
              <w:t xml:space="preserve">Annual </w:t>
            </w:r>
            <w:r w:rsidR="003A6FC8">
              <w:rPr>
                <w:sz w:val="28"/>
                <w:szCs w:val="28"/>
              </w:rPr>
              <w:t xml:space="preserve">Funding per TBI Site </w:t>
            </w:r>
          </w:p>
        </w:tc>
        <w:tc>
          <w:tcPr>
            <w:tcW w:w="2955" w:type="dxa"/>
          </w:tcPr>
          <w:p w14:paraId="07BD3107" w14:textId="77777777" w:rsidR="00390AF8" w:rsidRDefault="003A6FC8">
            <w:pPr>
              <w:widowControl w:val="0"/>
              <w:spacing w:line="240" w:lineRule="auto"/>
              <w:rPr>
                <w:sz w:val="28"/>
                <w:szCs w:val="28"/>
              </w:rPr>
            </w:pPr>
            <w:r>
              <w:rPr>
                <w:sz w:val="28"/>
                <w:szCs w:val="28"/>
              </w:rPr>
              <w:t xml:space="preserve">$500,000 </w:t>
            </w:r>
          </w:p>
        </w:tc>
      </w:tr>
      <w:tr w:rsidR="00390AF8" w14:paraId="2708F9A8" w14:textId="77777777" w:rsidTr="002770F7">
        <w:trPr>
          <w:tblHeader/>
        </w:trPr>
        <w:tc>
          <w:tcPr>
            <w:tcW w:w="6405" w:type="dxa"/>
          </w:tcPr>
          <w:p w14:paraId="4A8F5B9E" w14:textId="77777777" w:rsidR="00390AF8" w:rsidRDefault="003A6FC8">
            <w:pPr>
              <w:widowControl w:val="0"/>
              <w:spacing w:line="240" w:lineRule="auto"/>
              <w:rPr>
                <w:sz w:val="28"/>
                <w:szCs w:val="28"/>
              </w:rPr>
            </w:pPr>
            <w:r>
              <w:rPr>
                <w:sz w:val="28"/>
                <w:szCs w:val="28"/>
              </w:rPr>
              <w:t>Number of TBI Sites in the State</w:t>
            </w:r>
          </w:p>
        </w:tc>
        <w:tc>
          <w:tcPr>
            <w:tcW w:w="2955" w:type="dxa"/>
          </w:tcPr>
          <w:p w14:paraId="78BA8839" w14:textId="77777777" w:rsidR="00390AF8" w:rsidRDefault="003A6FC8">
            <w:pPr>
              <w:widowControl w:val="0"/>
              <w:spacing w:line="240" w:lineRule="auto"/>
              <w:rPr>
                <w:sz w:val="28"/>
                <w:szCs w:val="28"/>
              </w:rPr>
            </w:pPr>
            <w:r>
              <w:rPr>
                <w:sz w:val="28"/>
                <w:szCs w:val="28"/>
              </w:rPr>
              <w:t>12</w:t>
            </w:r>
          </w:p>
        </w:tc>
      </w:tr>
      <w:tr w:rsidR="00390AF8" w14:paraId="50459E4A" w14:textId="77777777" w:rsidTr="002770F7">
        <w:trPr>
          <w:tblHeader/>
        </w:trPr>
        <w:tc>
          <w:tcPr>
            <w:tcW w:w="6405" w:type="dxa"/>
          </w:tcPr>
          <w:p w14:paraId="1E5E5AC1" w14:textId="77777777" w:rsidR="00390AF8" w:rsidRDefault="003A6FC8">
            <w:pPr>
              <w:widowControl w:val="0"/>
              <w:spacing w:line="240" w:lineRule="auto"/>
              <w:rPr>
                <w:sz w:val="28"/>
                <w:szCs w:val="28"/>
              </w:rPr>
            </w:pPr>
            <w:proofErr w:type="spellStart"/>
            <w:r>
              <w:rPr>
                <w:sz w:val="28"/>
                <w:szCs w:val="28"/>
              </w:rPr>
              <w:t>DoR</w:t>
            </w:r>
            <w:proofErr w:type="spellEnd"/>
            <w:r>
              <w:rPr>
                <w:sz w:val="28"/>
                <w:szCs w:val="28"/>
              </w:rPr>
              <w:t xml:space="preserve"> Admin and Oversight (5%)</w:t>
            </w:r>
          </w:p>
        </w:tc>
        <w:tc>
          <w:tcPr>
            <w:tcW w:w="2955" w:type="dxa"/>
            <w:tcBorders>
              <w:bottom w:val="single" w:sz="4" w:space="0" w:color="000000"/>
            </w:tcBorders>
          </w:tcPr>
          <w:p w14:paraId="24CC64D9" w14:textId="77777777" w:rsidR="00390AF8" w:rsidRDefault="003A6FC8">
            <w:pPr>
              <w:widowControl w:val="0"/>
              <w:spacing w:line="240" w:lineRule="auto"/>
              <w:rPr>
                <w:sz w:val="28"/>
                <w:szCs w:val="28"/>
              </w:rPr>
            </w:pPr>
            <w:r>
              <w:rPr>
                <w:sz w:val="28"/>
                <w:szCs w:val="28"/>
              </w:rPr>
              <w:t>$300,000</w:t>
            </w:r>
          </w:p>
        </w:tc>
      </w:tr>
      <w:tr w:rsidR="00390AF8" w14:paraId="2DCEE1CF" w14:textId="77777777" w:rsidTr="002770F7">
        <w:trPr>
          <w:tblHeader/>
        </w:trPr>
        <w:tc>
          <w:tcPr>
            <w:tcW w:w="6405" w:type="dxa"/>
          </w:tcPr>
          <w:p w14:paraId="19D66556" w14:textId="77777777" w:rsidR="00390AF8" w:rsidRDefault="003A6FC8">
            <w:pPr>
              <w:widowControl w:val="0"/>
              <w:spacing w:line="240" w:lineRule="auto"/>
              <w:jc w:val="right"/>
              <w:rPr>
                <w:sz w:val="28"/>
                <w:szCs w:val="28"/>
              </w:rPr>
            </w:pPr>
            <w:r>
              <w:rPr>
                <w:sz w:val="28"/>
                <w:szCs w:val="28"/>
              </w:rPr>
              <w:t>Total</w:t>
            </w:r>
          </w:p>
        </w:tc>
        <w:tc>
          <w:tcPr>
            <w:tcW w:w="2955" w:type="dxa"/>
            <w:tcBorders>
              <w:top w:val="single" w:sz="4" w:space="0" w:color="000000"/>
            </w:tcBorders>
          </w:tcPr>
          <w:p w14:paraId="50FA4FA9" w14:textId="77777777" w:rsidR="00390AF8" w:rsidRDefault="003A6FC8">
            <w:pPr>
              <w:widowControl w:val="0"/>
              <w:spacing w:line="240" w:lineRule="auto"/>
              <w:rPr>
                <w:b/>
                <w:sz w:val="28"/>
                <w:szCs w:val="28"/>
              </w:rPr>
            </w:pPr>
            <w:r>
              <w:rPr>
                <w:b/>
                <w:sz w:val="28"/>
                <w:szCs w:val="28"/>
              </w:rPr>
              <w:t>$6,300,000</w:t>
            </w:r>
          </w:p>
        </w:tc>
      </w:tr>
    </w:tbl>
    <w:p w14:paraId="74B98CC0" w14:textId="77777777" w:rsidR="00390AF8" w:rsidRDefault="00390AF8">
      <w:pPr>
        <w:rPr>
          <w:sz w:val="28"/>
          <w:szCs w:val="28"/>
        </w:rPr>
      </w:pPr>
    </w:p>
    <w:p w14:paraId="0D5997B1" w14:textId="77777777" w:rsidR="00390AF8" w:rsidRDefault="00390AF8">
      <w:pPr>
        <w:rPr>
          <w:sz w:val="28"/>
          <w:szCs w:val="28"/>
        </w:rPr>
      </w:pPr>
    </w:p>
    <w:p w14:paraId="411D112E" w14:textId="77777777" w:rsidR="00390AF8" w:rsidRDefault="003A6FC8">
      <w:pPr>
        <w:rPr>
          <w:sz w:val="28"/>
          <w:szCs w:val="28"/>
        </w:rPr>
      </w:pPr>
      <w:r>
        <w:rPr>
          <w:sz w:val="28"/>
          <w:szCs w:val="28"/>
        </w:rPr>
        <w:t xml:space="preserve">In addition to the funding increase, the Public Policy and Funding Committee along with the TBI Advisory Board strongly recommend changing the funding model away from a Grant that is re-competed every 3-5 years. This model has led to poor program continuity and a turnover of TBI Site providers and increased cost needed for new site program startup. </w:t>
      </w:r>
    </w:p>
    <w:p w14:paraId="1328EE2D" w14:textId="77777777" w:rsidR="00390AF8" w:rsidRDefault="00390AF8">
      <w:pPr>
        <w:rPr>
          <w:sz w:val="28"/>
          <w:szCs w:val="28"/>
        </w:rPr>
      </w:pPr>
    </w:p>
    <w:p w14:paraId="2445ED5F" w14:textId="77777777" w:rsidR="00E81623" w:rsidRDefault="003A6FC8">
      <w:pPr>
        <w:rPr>
          <w:sz w:val="28"/>
          <w:szCs w:val="28"/>
        </w:rPr>
      </w:pPr>
      <w:r>
        <w:rPr>
          <w:sz w:val="28"/>
          <w:szCs w:val="28"/>
        </w:rPr>
        <w:t xml:space="preserve">We recommend that the Welfare and Institutions Code be changed to reflect a funding model to ensure a more effective process of program improvement and expansion. Implementing renewable TBI Site Contracts with Department oversight, program reviews, and certification will yield a service provision model that will more successfully serve consumers. This model will encourage TBI service providers to work collaboratively to implement best practices and sharing of information to more effectively serve TBI survivors and caregivers. A certification process will also allow the Department to implement TBI service provider reviews, program requirements, program continuity across sites, and feedback on program improvement. </w:t>
      </w:r>
    </w:p>
    <w:p w14:paraId="29B011C1" w14:textId="77777777" w:rsidR="00390AF8" w:rsidRDefault="00390AF8">
      <w:pPr>
        <w:rPr>
          <w:sz w:val="28"/>
          <w:szCs w:val="28"/>
        </w:rPr>
      </w:pPr>
    </w:p>
    <w:p w14:paraId="62A5F473" w14:textId="77777777" w:rsidR="00390AF8" w:rsidRDefault="003A6FC8">
      <w:pPr>
        <w:rPr>
          <w:sz w:val="28"/>
          <w:szCs w:val="28"/>
        </w:rPr>
      </w:pPr>
      <w:r>
        <w:rPr>
          <w:sz w:val="28"/>
          <w:szCs w:val="28"/>
        </w:rPr>
        <w:t>Thank you for your consideration,</w:t>
      </w:r>
    </w:p>
    <w:p w14:paraId="139FC9BB" w14:textId="77777777" w:rsidR="00390AF8" w:rsidRDefault="00390AF8">
      <w:pPr>
        <w:rPr>
          <w:sz w:val="28"/>
          <w:szCs w:val="28"/>
        </w:rPr>
      </w:pPr>
    </w:p>
    <w:p w14:paraId="740AB843" w14:textId="77777777" w:rsidR="00390AF8" w:rsidRDefault="003A6FC8">
      <w:pPr>
        <w:rPr>
          <w:sz w:val="28"/>
          <w:szCs w:val="28"/>
        </w:rPr>
      </w:pPr>
      <w:r>
        <w:rPr>
          <w:sz w:val="28"/>
          <w:szCs w:val="28"/>
        </w:rPr>
        <w:t>_______________________</w:t>
      </w:r>
    </w:p>
    <w:p w14:paraId="5A4BDE6B" w14:textId="77777777" w:rsidR="00390AF8" w:rsidRDefault="003A6FC8">
      <w:pPr>
        <w:rPr>
          <w:sz w:val="28"/>
          <w:szCs w:val="28"/>
        </w:rPr>
      </w:pPr>
      <w:r>
        <w:rPr>
          <w:sz w:val="28"/>
          <w:szCs w:val="28"/>
        </w:rPr>
        <w:t>Kristie Warren</w:t>
      </w:r>
    </w:p>
    <w:p w14:paraId="2BA0A748" w14:textId="77777777" w:rsidR="00390AF8" w:rsidRDefault="003A6FC8">
      <w:pPr>
        <w:rPr>
          <w:sz w:val="28"/>
          <w:szCs w:val="28"/>
        </w:rPr>
      </w:pPr>
      <w:r>
        <w:rPr>
          <w:sz w:val="28"/>
          <w:szCs w:val="28"/>
        </w:rPr>
        <w:t>Public Policy and Funding Committee Chair</w:t>
      </w:r>
    </w:p>
    <w:p w14:paraId="4D3E4B06" w14:textId="77777777" w:rsidR="00390AF8" w:rsidRDefault="003A6FC8">
      <w:pPr>
        <w:rPr>
          <w:sz w:val="28"/>
          <w:szCs w:val="28"/>
        </w:rPr>
      </w:pPr>
      <w:r>
        <w:rPr>
          <w:sz w:val="28"/>
          <w:szCs w:val="28"/>
        </w:rPr>
        <w:t>CA TBI Advisory Board</w:t>
      </w:r>
    </w:p>
    <w:p w14:paraId="69D10529" w14:textId="77777777" w:rsidR="00612438" w:rsidRDefault="00612438">
      <w:pPr>
        <w:rPr>
          <w:sz w:val="28"/>
          <w:szCs w:val="28"/>
        </w:rPr>
      </w:pPr>
    </w:p>
    <w:sectPr w:rsidR="0061243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800" w:left="1440" w:header="108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26F7" w14:textId="77777777" w:rsidR="00E4081B" w:rsidRDefault="003A6FC8">
      <w:pPr>
        <w:spacing w:line="240" w:lineRule="auto"/>
      </w:pPr>
      <w:r>
        <w:separator/>
      </w:r>
    </w:p>
  </w:endnote>
  <w:endnote w:type="continuationSeparator" w:id="0">
    <w:p w14:paraId="614D0782" w14:textId="77777777" w:rsidR="00E4081B" w:rsidRDefault="003A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F58" w14:textId="77777777" w:rsidR="00390AF8" w:rsidRDefault="00390AF8">
    <w:pPr>
      <w:pBdr>
        <w:top w:val="nil"/>
        <w:left w:val="nil"/>
        <w:bottom w:val="nil"/>
        <w:right w:val="nil"/>
        <w:between w:val="nil"/>
      </w:pBdr>
      <w:spacing w:line="240" w:lineRule="auto"/>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7D1D" w14:textId="77777777" w:rsidR="00390AF8" w:rsidRDefault="00390AF8">
    <w:pPr>
      <w:pBdr>
        <w:top w:val="nil"/>
        <w:left w:val="nil"/>
        <w:bottom w:val="nil"/>
        <w:right w:val="nil"/>
        <w:between w:val="nil"/>
      </w:pBdr>
      <w:spacing w:line="240" w:lineRule="auto"/>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D5C" w14:textId="77777777" w:rsidR="00390AF8" w:rsidRDefault="00390AF8">
    <w:pPr>
      <w:pBdr>
        <w:top w:val="nil"/>
        <w:left w:val="nil"/>
        <w:bottom w:val="nil"/>
        <w:right w:val="nil"/>
        <w:between w:val="nil"/>
      </w:pBdr>
      <w:spacing w:line="240" w:lineRule="auto"/>
      <w:jc w:val="center"/>
      <w:rPr>
        <w:color w:val="000000"/>
        <w:sz w:val="16"/>
        <w:szCs w:val="16"/>
      </w:rPr>
    </w:pPr>
  </w:p>
  <w:p w14:paraId="6F2148A9" w14:textId="77777777" w:rsidR="00390AF8" w:rsidRDefault="00390AF8">
    <w:pPr>
      <w:pBdr>
        <w:top w:val="nil"/>
        <w:left w:val="nil"/>
        <w:bottom w:val="nil"/>
        <w:right w:val="nil"/>
        <w:between w:val="nil"/>
      </w:pBdr>
      <w:spacing w:before="240" w:line="240" w:lineRule="auto"/>
      <w:ind w:left="864" w:right="864"/>
      <w:jc w:val="center"/>
      <w:rPr>
        <w:i/>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E9E3" w14:textId="77777777" w:rsidR="00E4081B" w:rsidRDefault="003A6FC8">
      <w:pPr>
        <w:spacing w:line="240" w:lineRule="auto"/>
      </w:pPr>
      <w:r>
        <w:separator/>
      </w:r>
    </w:p>
  </w:footnote>
  <w:footnote w:type="continuationSeparator" w:id="0">
    <w:p w14:paraId="2A0ECF54" w14:textId="77777777" w:rsidR="00E4081B" w:rsidRDefault="003A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11A" w14:textId="77777777" w:rsidR="00390AF8" w:rsidRDefault="00390AF8">
    <w:pPr>
      <w:pBdr>
        <w:top w:val="nil"/>
        <w:left w:val="nil"/>
        <w:bottom w:val="nil"/>
        <w:right w:val="nil"/>
        <w:between w:val="nil"/>
      </w:pBdr>
      <w:tabs>
        <w:tab w:val="center" w:pos="4680"/>
        <w:tab w:val="right" w:pos="9360"/>
      </w:tabs>
      <w:spacing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4A17" w14:textId="77777777" w:rsidR="00390AF8" w:rsidRDefault="00390AF8">
    <w:pPr>
      <w:pBdr>
        <w:top w:val="nil"/>
        <w:left w:val="nil"/>
        <w:bottom w:val="nil"/>
        <w:right w:val="nil"/>
        <w:between w:val="nil"/>
      </w:pBdr>
      <w:tabs>
        <w:tab w:val="center" w:pos="4680"/>
        <w:tab w:val="right" w:pos="9360"/>
      </w:tabs>
      <w:spacing w:line="240" w:lineRule="auto"/>
      <w:rPr>
        <w:color w:val="000000"/>
        <w:sz w:val="24"/>
        <w:szCs w:val="24"/>
      </w:rPr>
    </w:pPr>
  </w:p>
  <w:p w14:paraId="676A293F" w14:textId="77777777" w:rsidR="00390AF8" w:rsidRDefault="00390AF8">
    <w:pPr>
      <w:pBdr>
        <w:top w:val="nil"/>
        <w:left w:val="nil"/>
        <w:bottom w:val="nil"/>
        <w:right w:val="nil"/>
        <w:between w:val="nil"/>
      </w:pBdr>
      <w:tabs>
        <w:tab w:val="center" w:pos="4680"/>
        <w:tab w:val="right" w:pos="9360"/>
      </w:tabs>
      <w:spacing w:line="240"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5B08" w14:textId="77777777" w:rsidR="00390AF8" w:rsidRDefault="002770F7">
    <w:pPr>
      <w:pBdr>
        <w:top w:val="nil"/>
        <w:left w:val="nil"/>
        <w:bottom w:val="nil"/>
        <w:right w:val="nil"/>
        <w:between w:val="nil"/>
      </w:pBdr>
      <w:tabs>
        <w:tab w:val="center" w:pos="4680"/>
        <w:tab w:val="right" w:pos="9360"/>
      </w:tabs>
      <w:spacing w:after="840" w:line="240" w:lineRule="auto"/>
      <w:rPr>
        <w:color w:val="000000"/>
        <w:sz w:val="24"/>
        <w:szCs w:val="24"/>
      </w:rPr>
    </w:pPr>
    <w:r>
      <w:rPr>
        <w:color w:val="000000"/>
        <w:sz w:val="24"/>
        <w:szCs w:val="24"/>
      </w:rPr>
      <w:pict w14:anchorId="6657C6FD">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sz w:val="24"/>
        <w:szCs w:val="24"/>
      </w:rPr>
      <w:pict w14:anchorId="5079D856">
        <v:shape id="PowerPlusWaterMarkObject1" o:spid="_x0000_s2049" type="#_x0000_m2050" style="position:absolute;margin-left:0;margin-top:0;width:412.4pt;height:247.45pt;rotation:315;z-index:-251658240;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F8"/>
    <w:rsid w:val="002770F7"/>
    <w:rsid w:val="00390AF8"/>
    <w:rsid w:val="003A6FC8"/>
    <w:rsid w:val="00612438"/>
    <w:rsid w:val="00A9128B"/>
    <w:rsid w:val="00E4081B"/>
    <w:rsid w:val="00E8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82E252"/>
  <w15:docId w15:val="{F86446E7-4FD8-499B-B074-655569B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939BF"/>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E81623"/>
    <w:pPr>
      <w:spacing w:line="240" w:lineRule="auto"/>
    </w:pPr>
  </w:style>
  <w:style w:type="paragraph" w:styleId="BalloonText">
    <w:name w:val="Balloon Text"/>
    <w:basedOn w:val="Normal"/>
    <w:link w:val="BalloonTextChar"/>
    <w:uiPriority w:val="99"/>
    <w:semiHidden/>
    <w:unhideWhenUsed/>
    <w:rsid w:val="00E816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6370">
      <w:bodyDiv w:val="1"/>
      <w:marLeft w:val="0"/>
      <w:marRight w:val="0"/>
      <w:marTop w:val="0"/>
      <w:marBottom w:val="0"/>
      <w:divBdr>
        <w:top w:val="none" w:sz="0" w:space="0" w:color="auto"/>
        <w:left w:val="none" w:sz="0" w:space="0" w:color="auto"/>
        <w:bottom w:val="none" w:sz="0" w:space="0" w:color="auto"/>
        <w:right w:val="none" w:sz="0" w:space="0" w:color="auto"/>
      </w:divBdr>
      <w:divsChild>
        <w:div w:id="121771667">
          <w:marLeft w:val="0"/>
          <w:marRight w:val="0"/>
          <w:marTop w:val="0"/>
          <w:marBottom w:val="0"/>
          <w:divBdr>
            <w:top w:val="none" w:sz="0" w:space="0" w:color="auto"/>
            <w:left w:val="none" w:sz="0" w:space="0" w:color="auto"/>
            <w:bottom w:val="none" w:sz="0" w:space="0" w:color="auto"/>
            <w:right w:val="none" w:sz="0" w:space="0" w:color="auto"/>
          </w:divBdr>
        </w:div>
        <w:div w:id="15927922">
          <w:marLeft w:val="0"/>
          <w:marRight w:val="0"/>
          <w:marTop w:val="0"/>
          <w:marBottom w:val="0"/>
          <w:divBdr>
            <w:top w:val="none" w:sz="0" w:space="0" w:color="auto"/>
            <w:left w:val="none" w:sz="0" w:space="0" w:color="auto"/>
            <w:bottom w:val="none" w:sz="0" w:space="0" w:color="auto"/>
            <w:right w:val="none" w:sz="0" w:space="0" w:color="auto"/>
          </w:divBdr>
        </w:div>
        <w:div w:id="434792200">
          <w:marLeft w:val="0"/>
          <w:marRight w:val="0"/>
          <w:marTop w:val="0"/>
          <w:marBottom w:val="0"/>
          <w:divBdr>
            <w:top w:val="none" w:sz="0" w:space="0" w:color="auto"/>
            <w:left w:val="none" w:sz="0" w:space="0" w:color="auto"/>
            <w:bottom w:val="none" w:sz="0" w:space="0" w:color="auto"/>
            <w:right w:val="none" w:sz="0" w:space="0" w:color="auto"/>
          </w:divBdr>
          <w:divsChild>
            <w:div w:id="8428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56">
      <w:bodyDiv w:val="1"/>
      <w:marLeft w:val="0"/>
      <w:marRight w:val="0"/>
      <w:marTop w:val="0"/>
      <w:marBottom w:val="0"/>
      <w:divBdr>
        <w:top w:val="none" w:sz="0" w:space="0" w:color="auto"/>
        <w:left w:val="none" w:sz="0" w:space="0" w:color="auto"/>
        <w:bottom w:val="none" w:sz="0" w:space="0" w:color="auto"/>
        <w:right w:val="none" w:sz="0" w:space="0" w:color="auto"/>
      </w:divBdr>
      <w:divsChild>
        <w:div w:id="1243952800">
          <w:marLeft w:val="0"/>
          <w:marRight w:val="0"/>
          <w:marTop w:val="0"/>
          <w:marBottom w:val="0"/>
          <w:divBdr>
            <w:top w:val="none" w:sz="0" w:space="0" w:color="auto"/>
            <w:left w:val="none" w:sz="0" w:space="0" w:color="auto"/>
            <w:bottom w:val="none" w:sz="0" w:space="0" w:color="auto"/>
            <w:right w:val="none" w:sz="0" w:space="0" w:color="auto"/>
          </w:divBdr>
        </w:div>
        <w:div w:id="596986377">
          <w:marLeft w:val="0"/>
          <w:marRight w:val="0"/>
          <w:marTop w:val="0"/>
          <w:marBottom w:val="0"/>
          <w:divBdr>
            <w:top w:val="none" w:sz="0" w:space="0" w:color="auto"/>
            <w:left w:val="none" w:sz="0" w:space="0" w:color="auto"/>
            <w:bottom w:val="none" w:sz="0" w:space="0" w:color="auto"/>
            <w:right w:val="none" w:sz="0" w:space="0" w:color="auto"/>
          </w:divBdr>
        </w:div>
        <w:div w:id="1555577690">
          <w:marLeft w:val="0"/>
          <w:marRight w:val="0"/>
          <w:marTop w:val="0"/>
          <w:marBottom w:val="0"/>
          <w:divBdr>
            <w:top w:val="none" w:sz="0" w:space="0" w:color="auto"/>
            <w:left w:val="none" w:sz="0" w:space="0" w:color="auto"/>
            <w:bottom w:val="none" w:sz="0" w:space="0" w:color="auto"/>
            <w:right w:val="none" w:sz="0" w:space="0" w:color="auto"/>
          </w:divBdr>
          <w:divsChild>
            <w:div w:id="13986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4iTuAnX3SbZR+cQbPPuInlMlA==">CgMxLjAyCGguZ2pkZ3hzOAByITFDaWdfdm4xUWFyM1ZOUDZsdjZKcnpqcWFRbHl1NXZEZg==</go:docsCustomData>
</go:gDocsCustomXmlDataStorage>
</file>

<file path=customXml/itemProps1.xml><?xml version="1.0" encoding="utf-8"?>
<ds:datastoreItem xmlns:ds="http://schemas.openxmlformats.org/officeDocument/2006/customXml" ds:itemID="{71714E17-2CB4-47D7-A276-B6C09E0384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Shinoda, Katie - MGH</dc:creator>
  <cp:lastModifiedBy>Berube, Matthew@DOR</cp:lastModifiedBy>
  <cp:revision>2</cp:revision>
  <dcterms:created xsi:type="dcterms:W3CDTF">2023-10-13T22:22:00Z</dcterms:created>
  <dcterms:modified xsi:type="dcterms:W3CDTF">2023-10-13T22:22:00Z</dcterms:modified>
</cp:coreProperties>
</file>