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7266" w14:textId="77777777" w:rsidR="001527CA" w:rsidRPr="00317F65" w:rsidRDefault="001527CA" w:rsidP="001527CA">
      <w:pPr>
        <w:spacing w:line="480" w:lineRule="auto"/>
        <w:contextualSpacing/>
        <w:rPr>
          <w:szCs w:val="24"/>
        </w:rPr>
      </w:pPr>
    </w:p>
    <w:p w14:paraId="5F656FB1" w14:textId="77777777" w:rsidR="001527CA" w:rsidRPr="00317F65" w:rsidRDefault="001527CA" w:rsidP="001527CA">
      <w:pPr>
        <w:spacing w:line="480" w:lineRule="auto"/>
        <w:contextualSpacing/>
        <w:rPr>
          <w:szCs w:val="24"/>
        </w:rPr>
      </w:pPr>
    </w:p>
    <w:p w14:paraId="6BF21557" w14:textId="77777777" w:rsidR="001527CA" w:rsidRPr="00317F65" w:rsidRDefault="001527CA" w:rsidP="001527CA">
      <w:pPr>
        <w:spacing w:line="480" w:lineRule="auto"/>
        <w:contextualSpacing/>
        <w:rPr>
          <w:szCs w:val="24"/>
        </w:rPr>
      </w:pPr>
    </w:p>
    <w:p w14:paraId="769338A1" w14:textId="77777777" w:rsidR="001527CA" w:rsidRPr="00317F65" w:rsidRDefault="001527CA" w:rsidP="001527CA">
      <w:pPr>
        <w:spacing w:line="480" w:lineRule="auto"/>
        <w:contextualSpacing/>
        <w:rPr>
          <w:szCs w:val="24"/>
        </w:rPr>
      </w:pPr>
    </w:p>
    <w:p w14:paraId="0C7E0E30" w14:textId="77777777" w:rsidR="001527CA" w:rsidRPr="00317F65" w:rsidRDefault="001527CA" w:rsidP="001527CA">
      <w:pPr>
        <w:spacing w:line="480" w:lineRule="auto"/>
        <w:contextualSpacing/>
        <w:rPr>
          <w:szCs w:val="24"/>
        </w:rPr>
      </w:pPr>
    </w:p>
    <w:p w14:paraId="4C5B19BD" w14:textId="77777777" w:rsidR="001527CA" w:rsidRPr="00317F65" w:rsidRDefault="001527CA" w:rsidP="001527CA">
      <w:pPr>
        <w:spacing w:line="480" w:lineRule="auto"/>
        <w:contextualSpacing/>
        <w:jc w:val="center"/>
        <w:rPr>
          <w:szCs w:val="24"/>
        </w:rPr>
      </w:pPr>
      <w:r w:rsidRPr="00317F65">
        <w:rPr>
          <w:szCs w:val="24"/>
        </w:rPr>
        <w:t>Establishing a Public Health Surveillance System for TBI in California</w:t>
      </w:r>
    </w:p>
    <w:p w14:paraId="303C145A" w14:textId="77777777" w:rsidR="006A7504" w:rsidRDefault="00377E31" w:rsidP="003559FA">
      <w:pPr>
        <w:spacing w:line="480" w:lineRule="auto"/>
        <w:contextualSpacing/>
        <w:jc w:val="center"/>
        <w:rPr>
          <w:szCs w:val="24"/>
        </w:rPr>
      </w:pPr>
      <w:r w:rsidRPr="00317F65">
        <w:rPr>
          <w:szCs w:val="24"/>
        </w:rPr>
        <w:t xml:space="preserve">California </w:t>
      </w:r>
      <w:r w:rsidR="001527CA" w:rsidRPr="00317F65">
        <w:rPr>
          <w:szCs w:val="24"/>
        </w:rPr>
        <w:t>Department of Rehabilitation</w:t>
      </w:r>
      <w:r w:rsidR="006D3B3A" w:rsidRPr="00317F65">
        <w:rPr>
          <w:szCs w:val="24"/>
        </w:rPr>
        <w:t>:</w:t>
      </w:r>
      <w:r w:rsidR="001527CA" w:rsidRPr="00317F65">
        <w:rPr>
          <w:szCs w:val="24"/>
        </w:rPr>
        <w:t xml:space="preserve"> TBI Advisory Board </w:t>
      </w:r>
    </w:p>
    <w:p w14:paraId="020D2F74" w14:textId="77777777" w:rsidR="006A7504" w:rsidRDefault="006A7504" w:rsidP="003559FA">
      <w:pPr>
        <w:spacing w:line="480" w:lineRule="auto"/>
        <w:contextualSpacing/>
        <w:jc w:val="center"/>
        <w:rPr>
          <w:szCs w:val="24"/>
        </w:rPr>
      </w:pPr>
    </w:p>
    <w:p w14:paraId="401C58F7" w14:textId="77777777" w:rsidR="006A7504" w:rsidRDefault="006A7504" w:rsidP="003559FA">
      <w:pPr>
        <w:spacing w:line="480" w:lineRule="auto"/>
        <w:contextualSpacing/>
        <w:jc w:val="center"/>
        <w:rPr>
          <w:szCs w:val="24"/>
        </w:rPr>
      </w:pPr>
      <w:r>
        <w:rPr>
          <w:szCs w:val="24"/>
        </w:rPr>
        <w:t>CLARIFY THE HCBS WAIVER!!</w:t>
      </w:r>
    </w:p>
    <w:p w14:paraId="54304D42" w14:textId="12341F5E" w:rsidR="001527CA" w:rsidRPr="00317F65" w:rsidRDefault="006A7504" w:rsidP="003559FA">
      <w:pPr>
        <w:spacing w:line="480" w:lineRule="auto"/>
        <w:contextualSpacing/>
        <w:jc w:val="center"/>
        <w:rPr>
          <w:szCs w:val="24"/>
        </w:rPr>
      </w:pPr>
      <w:r>
        <w:rPr>
          <w:szCs w:val="24"/>
        </w:rPr>
        <w:t>TALK ABOUT FURTHER WAIVER EFFORTS!</w:t>
      </w:r>
      <w:r w:rsidR="001527CA" w:rsidRPr="00317F65">
        <w:rPr>
          <w:szCs w:val="24"/>
        </w:rPr>
        <w:br w:type="page"/>
      </w:r>
    </w:p>
    <w:p w14:paraId="76C64328" w14:textId="7388FBA3" w:rsidR="005F0273" w:rsidRPr="005F0273" w:rsidRDefault="005F0273" w:rsidP="005F0273">
      <w:pPr>
        <w:pStyle w:val="Heading2"/>
        <w:rPr>
          <w:color w:val="auto"/>
        </w:rPr>
      </w:pPr>
      <w:r w:rsidRPr="005F0273">
        <w:rPr>
          <w:color w:val="auto"/>
        </w:rPr>
        <w:lastRenderedPageBreak/>
        <w:t>Introduction</w:t>
      </w:r>
    </w:p>
    <w:p w14:paraId="1C96E19F" w14:textId="1BBB2D51" w:rsidR="00EA3195" w:rsidRPr="00317F65" w:rsidRDefault="00B8577D" w:rsidP="009200ED">
      <w:pPr>
        <w:spacing w:line="480" w:lineRule="auto"/>
        <w:contextualSpacing/>
        <w:jc w:val="center"/>
        <w:rPr>
          <w:szCs w:val="24"/>
        </w:rPr>
      </w:pPr>
      <w:r w:rsidRPr="00317F65">
        <w:rPr>
          <w:szCs w:val="24"/>
        </w:rPr>
        <w:t>Establishing a Public Health Surveillance System for TBI in California</w:t>
      </w:r>
    </w:p>
    <w:p w14:paraId="6D701B0C" w14:textId="3FB19B59" w:rsidR="00317F65" w:rsidRPr="00317F65" w:rsidRDefault="007D25E0" w:rsidP="00317F65">
      <w:pPr>
        <w:spacing w:line="480" w:lineRule="auto"/>
        <w:ind w:firstLine="720"/>
        <w:contextualSpacing/>
        <w:rPr>
          <w:szCs w:val="24"/>
        </w:rPr>
      </w:pPr>
      <w:r w:rsidRPr="00317F65">
        <w:rPr>
          <w:szCs w:val="24"/>
        </w:rPr>
        <w:t>Traumatic brain injury (TBI) is the leading cause of death and disability among all trauma-related injuries in the United States (U.S.</w:t>
      </w:r>
      <w:r w:rsidR="00E3760A">
        <w:rPr>
          <w:szCs w:val="24"/>
        </w:rPr>
        <w:t xml:space="preserve"> </w:t>
      </w:r>
      <w:r w:rsidRPr="00317F65">
        <w:rPr>
          <w:szCs w:val="24"/>
        </w:rPr>
        <w:t>Center for Disease Control</w:t>
      </w:r>
      <w:r w:rsidR="00E3760A">
        <w:rPr>
          <w:szCs w:val="24"/>
        </w:rPr>
        <w:t xml:space="preserve"> and Prevention [CDC]</w:t>
      </w:r>
      <w:r w:rsidRPr="00317F65">
        <w:rPr>
          <w:szCs w:val="24"/>
        </w:rPr>
        <w:t>, 2019), which is defined as a head injury from an external force that disrupts the normal function of the brain that occurs from the sudden impact of acceleration or deceleration forces (</w:t>
      </w:r>
      <w:proofErr w:type="spellStart"/>
      <w:r w:rsidRPr="00317F65">
        <w:rPr>
          <w:szCs w:val="24"/>
        </w:rPr>
        <w:t>Greve</w:t>
      </w:r>
      <w:proofErr w:type="spellEnd"/>
      <w:r w:rsidRPr="00317F65">
        <w:rPr>
          <w:szCs w:val="24"/>
        </w:rPr>
        <w:t xml:space="preserve"> &amp; Zink, 2009; Vos et al., 2012). </w:t>
      </w:r>
      <w:r w:rsidR="00B10D9C" w:rsidRPr="00317F65">
        <w:rPr>
          <w:szCs w:val="24"/>
        </w:rPr>
        <w:t xml:space="preserve">In 2020, there were over 64,000 TBI-related deaths in the US, which translates to 167 Americans per day. </w:t>
      </w:r>
      <w:r w:rsidR="00B10D9C" w:rsidRPr="00317F65">
        <w:rPr>
          <w:szCs w:val="24"/>
          <w:vertAlign w:val="superscript"/>
        </w:rPr>
        <w:t>2</w:t>
      </w:r>
      <w:r w:rsidR="00B10D9C" w:rsidRPr="00317F65">
        <w:rPr>
          <w:szCs w:val="24"/>
        </w:rPr>
        <w:t xml:space="preserve"> In the United States, more than 2.87 million TBIs occur annually, including more than 837,000 TBIs in children. These TBIs account for 2.5 million emergency department visits, and 288,000 hospitalizations (APA, 2022). Among individuals presenting to an emergency department with TBI, the rates for men are 547.6 per 100,000 and for women are 385.9 per 100,000. The</w:t>
      </w:r>
      <w:r w:rsidR="00D940C3" w:rsidRPr="00317F65">
        <w:rPr>
          <w:szCs w:val="24"/>
        </w:rPr>
        <w:t xml:space="preserve"> leading causes of TBI in the United States are falls (178.4 per 100,000), “struck by/against” events (92.7 per 100,000), motor vehicle accidents (74.7 per 100,000), and assaults (50.6 per 100,000). Concussion in sport is increasingly recognized as a cause of mild TBI with annual rates of all contact sports estimated between 5-10% (McCrae, 2023). TBI of any severity (e.g., mild, moderate, severe) </w:t>
      </w:r>
      <w:r w:rsidRPr="00317F65">
        <w:rPr>
          <w:szCs w:val="24"/>
        </w:rPr>
        <w:t xml:space="preserve">have been associated with dysfunctional outcomes such as substance abuse (Corrigan et al., 2012), incarceration (Durand et al., 2017; Schofield et al., 2015), and homelessness (Stubbs et al., 2019). </w:t>
      </w:r>
      <w:r w:rsidR="00B10D9C" w:rsidRPr="00317F65">
        <w:rPr>
          <w:szCs w:val="24"/>
        </w:rPr>
        <w:t>Thus, incorporating community reintegration efforts (e.g., neuropsychiatric sequelae education, psychosocial programming, screening evaluations) in the acute, subacute, and post-acute periods of rehabilitation are important targets to reduce long-term adverse outcomes that are costly to society.</w:t>
      </w:r>
      <w:r w:rsidR="00317F65" w:rsidRPr="00317F65">
        <w:rPr>
          <w:szCs w:val="24"/>
        </w:rPr>
        <w:t xml:space="preserve"> Despite being a rising public health concern, there remain considerable disparities between survivors’ rehabilitation needs and service provision at the local, state, and national levels.</w:t>
      </w:r>
    </w:p>
    <w:p w14:paraId="44C7CD14" w14:textId="7D297C5E" w:rsidR="00B10D9C" w:rsidRPr="00317F65" w:rsidRDefault="007D25E0" w:rsidP="00317F65">
      <w:pPr>
        <w:spacing w:line="480" w:lineRule="auto"/>
        <w:ind w:firstLine="720"/>
        <w:contextualSpacing/>
        <w:rPr>
          <w:szCs w:val="24"/>
        </w:rPr>
      </w:pPr>
      <w:r w:rsidRPr="00317F65">
        <w:rPr>
          <w:szCs w:val="24"/>
        </w:rPr>
        <w:lastRenderedPageBreak/>
        <w:t>Currently, the nationwide prevalence rate is</w:t>
      </w:r>
      <w:r w:rsidR="00765349" w:rsidRPr="00317F65">
        <w:rPr>
          <w:szCs w:val="24"/>
        </w:rPr>
        <w:t xml:space="preserve"> extrapolated from</w:t>
      </w:r>
      <w:r w:rsidRPr="00317F65">
        <w:rPr>
          <w:szCs w:val="24"/>
        </w:rPr>
        <w:t xml:space="preserve"> </w:t>
      </w:r>
      <w:r w:rsidR="00765349" w:rsidRPr="00317F65">
        <w:rPr>
          <w:szCs w:val="24"/>
        </w:rPr>
        <w:t xml:space="preserve">the medical </w:t>
      </w:r>
      <w:r w:rsidRPr="00317F65">
        <w:rPr>
          <w:szCs w:val="24"/>
        </w:rPr>
        <w:t>incidence</w:t>
      </w:r>
      <w:r w:rsidR="00765349" w:rsidRPr="00317F65">
        <w:rPr>
          <w:szCs w:val="24"/>
        </w:rPr>
        <w:t>s</w:t>
      </w:r>
      <w:r w:rsidRPr="00317F65">
        <w:rPr>
          <w:szCs w:val="24"/>
        </w:rPr>
        <w:t xml:space="preserve"> </w:t>
      </w:r>
      <w:r w:rsidR="00765349" w:rsidRPr="00317F65">
        <w:rPr>
          <w:szCs w:val="24"/>
        </w:rPr>
        <w:t xml:space="preserve">of a few states, </w:t>
      </w:r>
      <w:r w:rsidRPr="00317F65">
        <w:rPr>
          <w:szCs w:val="24"/>
        </w:rPr>
        <w:t xml:space="preserve">and no </w:t>
      </w:r>
      <w:r w:rsidR="00765349" w:rsidRPr="00317F65">
        <w:rPr>
          <w:szCs w:val="24"/>
        </w:rPr>
        <w:t xml:space="preserve">single </w:t>
      </w:r>
      <w:r w:rsidRPr="00317F65">
        <w:rPr>
          <w:szCs w:val="24"/>
        </w:rPr>
        <w:t>state has been able to accurately capture the true number of individuals who are living with long-term difficulties of concussion or TBI</w:t>
      </w:r>
      <w:r w:rsidR="002C7819" w:rsidRPr="00317F65">
        <w:rPr>
          <w:szCs w:val="24"/>
        </w:rPr>
        <w:t>; four states</w:t>
      </w:r>
      <w:ins w:id="0" w:author="Daniel Ignacio" w:date="2023-03-13T00:12:00Z">
        <w:r w:rsidR="00A41E69">
          <w:rPr>
            <w:szCs w:val="24"/>
          </w:rPr>
          <w:t xml:space="preserve"> (i.e., </w:t>
        </w:r>
      </w:ins>
      <w:ins w:id="1" w:author="Daniel Ignacio" w:date="2023-03-13T00:13:00Z">
        <w:r w:rsidR="00A41E69">
          <w:rPr>
            <w:szCs w:val="24"/>
          </w:rPr>
          <w:t>Ohio, North Carolina, South Carolina, California)</w:t>
        </w:r>
      </w:ins>
      <w:r w:rsidR="00317F65" w:rsidRPr="00317F65">
        <w:rPr>
          <w:szCs w:val="24"/>
        </w:rPr>
        <w:t>,</w:t>
      </w:r>
      <w:r w:rsidR="002C7819" w:rsidRPr="00317F65">
        <w:rPr>
          <w:szCs w:val="24"/>
        </w:rPr>
        <w:t xml:space="preserve"> to date</w:t>
      </w:r>
      <w:r w:rsidR="00317F65" w:rsidRPr="00317F65">
        <w:rPr>
          <w:szCs w:val="24"/>
        </w:rPr>
        <w:t>,</w:t>
      </w:r>
      <w:r w:rsidR="002C7819" w:rsidRPr="00317F65">
        <w:rPr>
          <w:szCs w:val="24"/>
        </w:rPr>
        <w:t xml:space="preserve"> have reasonably estimated</w:t>
      </w:r>
      <w:r w:rsidRPr="00317F65">
        <w:rPr>
          <w:szCs w:val="24"/>
        </w:rPr>
        <w:t xml:space="preserve">. </w:t>
      </w:r>
      <w:r w:rsidR="002C7819" w:rsidRPr="00317F65">
        <w:rPr>
          <w:szCs w:val="24"/>
        </w:rPr>
        <w:t xml:space="preserve">Several </w:t>
      </w:r>
      <w:r w:rsidR="00317F65" w:rsidRPr="00317F65">
        <w:rPr>
          <w:szCs w:val="24"/>
        </w:rPr>
        <w:t xml:space="preserve">other </w:t>
      </w:r>
      <w:r w:rsidR="002C7819" w:rsidRPr="00317F65">
        <w:rPr>
          <w:szCs w:val="24"/>
        </w:rPr>
        <w:t>states have attempted with varying degrees of success. For example, the state of Maryland has a law that mandates medical centers to provide incidence data on TBI but does not provide funding or enforcement to do so, whereas Alabama maintains a limited data registry with restrictive funding. California</w:t>
      </w:r>
      <w:r w:rsidR="00E3760A">
        <w:rPr>
          <w:szCs w:val="24"/>
        </w:rPr>
        <w:t>, the nation’s largest state by population,</w:t>
      </w:r>
      <w:r w:rsidR="002C7819" w:rsidRPr="00317F65">
        <w:rPr>
          <w:szCs w:val="24"/>
        </w:rPr>
        <w:t xml:space="preserve"> also does not have a dedicated </w:t>
      </w:r>
      <w:r w:rsidR="00317F65" w:rsidRPr="00317F65">
        <w:rPr>
          <w:szCs w:val="24"/>
        </w:rPr>
        <w:t xml:space="preserve">state-funded </w:t>
      </w:r>
      <w:r w:rsidR="002C7819" w:rsidRPr="00317F65">
        <w:rPr>
          <w:szCs w:val="24"/>
        </w:rPr>
        <w:t xml:space="preserve">TBI registry, but for a different reason than Maryland, and is loosely connected to the state’s designated trauma registry (California Trauma Registry, 2020; NASHIA, 2014; U.S. Census Bureau, 2016). The California Trauma Registry collects annual medical discharge incidence data from the 81 Level-1 trauma centers in the state, but medical incidence does not necessarily reflect the dysfunctional impact of TBI in California for community-based survivors. According to the CDC (2022), there are 13 ICD-10-CM codes, none of which include the S09.09 code, that are used as TBI indicators for nonfatal hospitalizations and nonfatal emergency department visits (Table 1). </w:t>
      </w:r>
      <w:r w:rsidR="002C7819" w:rsidRPr="00317F65">
        <w:rPr>
          <w:szCs w:val="24"/>
          <w:vertAlign w:val="superscript"/>
        </w:rPr>
        <w:t>2</w:t>
      </w:r>
      <w:r w:rsidR="002C7819" w:rsidRPr="00317F65">
        <w:rPr>
          <w:szCs w:val="24"/>
        </w:rPr>
        <w:t xml:space="preserve"> A concern with medical coding is that 20% to 30% of the estimated two and a half million emergency department visits were classified as unspecified head injury (S09.90; p. 57) </w:t>
      </w:r>
      <w:r w:rsidR="002C7819" w:rsidRPr="00317F65">
        <w:rPr>
          <w:szCs w:val="24"/>
          <w:vertAlign w:val="superscript"/>
        </w:rPr>
        <w:t>2</w:t>
      </w:r>
      <w:r w:rsidR="002C7819" w:rsidRPr="00317F65">
        <w:rPr>
          <w:szCs w:val="24"/>
        </w:rPr>
        <w:t xml:space="preserve"> but had sufficient evidence to meet a formal TBI diagnosis. </w:t>
      </w:r>
      <w:r w:rsidR="002C7819" w:rsidRPr="00317F65">
        <w:rPr>
          <w:szCs w:val="24"/>
          <w:vertAlign w:val="superscript"/>
        </w:rPr>
        <w:t>1</w:t>
      </w:r>
      <w:r w:rsidR="002C7819" w:rsidRPr="00317F65">
        <w:rPr>
          <w:szCs w:val="24"/>
        </w:rPr>
        <w:t xml:space="preserve"> According to the California Department of Public Health, from the years 2016 to 2020, there was an average of 73,761 nonfatal TBI </w:t>
      </w:r>
      <w:r w:rsidR="00E3760A">
        <w:rPr>
          <w:szCs w:val="24"/>
        </w:rPr>
        <w:t>emergency room</w:t>
      </w:r>
      <w:r w:rsidR="002C7819" w:rsidRPr="00317F65">
        <w:rPr>
          <w:szCs w:val="24"/>
        </w:rPr>
        <w:t xml:space="preserve"> visits, but an average of 171,966 unspecified head injury cases (S09.90); </w:t>
      </w:r>
      <w:r w:rsidR="00317F65" w:rsidRPr="00317F65">
        <w:rPr>
          <w:szCs w:val="24"/>
        </w:rPr>
        <w:t xml:space="preserve">these rates </w:t>
      </w:r>
      <w:r w:rsidR="002C7819" w:rsidRPr="00317F65">
        <w:rPr>
          <w:szCs w:val="24"/>
        </w:rPr>
        <w:t>highlight</w:t>
      </w:r>
      <w:r w:rsidR="00317F65" w:rsidRPr="00317F65">
        <w:rPr>
          <w:szCs w:val="24"/>
        </w:rPr>
        <w:t xml:space="preserve"> a</w:t>
      </w:r>
      <w:r w:rsidR="002C7819" w:rsidRPr="00317F65">
        <w:rPr>
          <w:szCs w:val="24"/>
        </w:rPr>
        <w:t xml:space="preserve"> </w:t>
      </w:r>
      <w:r w:rsidR="00B10D9C" w:rsidRPr="00317F65">
        <w:rPr>
          <w:szCs w:val="24"/>
        </w:rPr>
        <w:t>discrepancy</w:t>
      </w:r>
      <w:r w:rsidR="002C7819" w:rsidRPr="00317F65">
        <w:rPr>
          <w:szCs w:val="24"/>
        </w:rPr>
        <w:t xml:space="preserve"> in medical coding. </w:t>
      </w:r>
      <w:r w:rsidR="00B10D9C" w:rsidRPr="00317F65">
        <w:rPr>
          <w:szCs w:val="24"/>
        </w:rPr>
        <w:t xml:space="preserve">Moreover, many Californians who experience head trauma (e.g., motor vehicle accidents, sporting/recreational activity, domestic violence/intimate partner violence) may not seek medical </w:t>
      </w:r>
      <w:r w:rsidR="00B10D9C" w:rsidRPr="00317F65">
        <w:rPr>
          <w:szCs w:val="24"/>
        </w:rPr>
        <w:lastRenderedPageBreak/>
        <w:t>attention for a variety of reasons (e.g., minimize symptoms, minimal or no medical insurance, fear of retaliation); therefore, the available data suggest that current rates may be underestimated.</w:t>
      </w:r>
    </w:p>
    <w:p w14:paraId="46C0ADC2" w14:textId="64B4BB1C" w:rsidR="00317F65" w:rsidRDefault="00317F65" w:rsidP="00317F65">
      <w:pPr>
        <w:spacing w:line="480" w:lineRule="auto"/>
        <w:ind w:firstLine="720"/>
        <w:contextualSpacing/>
        <w:rPr>
          <w:szCs w:val="23"/>
        </w:rPr>
      </w:pPr>
      <w:r w:rsidRPr="00317F65">
        <w:rPr>
          <w:szCs w:val="23"/>
        </w:rPr>
        <w:t xml:space="preserve">TBI represents a neuropsychiatric disorder that begins as a medical condition and may develop into significant cognitive, perceptual, and affective disturbances. This way of conceptualizing TBI acknowledges the condition as a disease process rather than a discrete injury. </w:t>
      </w:r>
      <w:r w:rsidR="00B10D9C" w:rsidRPr="00317F65">
        <w:rPr>
          <w:szCs w:val="23"/>
        </w:rPr>
        <w:t xml:space="preserve">Furthermore, there are mental health categorizations (e.g., neurocognitive disorders; APA, 2022, p. 679) that may describe functional deficits in addition to medical incidence. </w:t>
      </w:r>
      <w:r w:rsidR="002C7819" w:rsidRPr="00317F65">
        <w:rPr>
          <w:szCs w:val="23"/>
        </w:rPr>
        <w:t xml:space="preserve">Therefore, </w:t>
      </w:r>
      <w:r>
        <w:rPr>
          <w:szCs w:val="23"/>
        </w:rPr>
        <w:t>e</w:t>
      </w:r>
      <w:r w:rsidR="00B10D9C" w:rsidRPr="00317F65">
        <w:rPr>
          <w:szCs w:val="23"/>
        </w:rPr>
        <w:t xml:space="preserve">stimating state-specific needs would be important for directing local legislation, especially considering that national rates, five-years post-injury, estimate as high as 50% of survivors are still unable to perform many pre-injury activities and 40% still experience at least two neuropsychiatric disorders with at least one unmet need (e.g., vocational, functional; Rao et al., 2020; </w:t>
      </w:r>
      <w:proofErr w:type="spellStart"/>
      <w:r w:rsidR="00B10D9C" w:rsidRPr="00317F65">
        <w:rPr>
          <w:szCs w:val="23"/>
        </w:rPr>
        <w:t>Vanderploeg</w:t>
      </w:r>
      <w:proofErr w:type="spellEnd"/>
      <w:r w:rsidR="00B10D9C" w:rsidRPr="00317F65">
        <w:rPr>
          <w:szCs w:val="23"/>
        </w:rPr>
        <w:t xml:space="preserve"> et al., 2019).</w:t>
      </w:r>
      <w:r>
        <w:rPr>
          <w:szCs w:val="23"/>
        </w:rPr>
        <w:t xml:space="preserve"> </w:t>
      </w:r>
      <w:r w:rsidR="007D25E0" w:rsidRPr="00317F65">
        <w:rPr>
          <w:szCs w:val="23"/>
        </w:rPr>
        <w:t>The Mental Health Parity and Addiction Equity Act (MHPAEA) and the Mental Health Parity Compliance Act (H.R. 3165/S. 1737) were enacted in 2008 to improve coverage and treatment accessibility to mental health services like other medical services. Currently, health plan insurers use</w:t>
      </w:r>
      <w:r>
        <w:rPr>
          <w:szCs w:val="23"/>
        </w:rPr>
        <w:t xml:space="preserve"> defined </w:t>
      </w:r>
      <w:r w:rsidR="00473D86">
        <w:rPr>
          <w:szCs w:val="23"/>
        </w:rPr>
        <w:t>criteria</w:t>
      </w:r>
      <w:r w:rsidR="007D25E0" w:rsidRPr="00317F65">
        <w:rPr>
          <w:szCs w:val="23"/>
        </w:rPr>
        <w:t xml:space="preserve"> to determine “medical necessity” and cover only nine mental health diagnoses</w:t>
      </w:r>
      <w:r w:rsidR="00B244B3" w:rsidRPr="00317F65">
        <w:t xml:space="preserve">: bipolar disorder, major depressive disorder, panic disorder, anorexia nervosa, bulimia nervosa, obsessive compulsive disorder, autism spectrum disorders, schizophrenia, and schizoaffective disorder (California Mental Health Parity Act Section 1374.72 of the Health and Safety Code and Section 10144.5 of the Insurance Code, 1999). </w:t>
      </w:r>
      <w:r w:rsidR="00B244B3" w:rsidRPr="00317F65">
        <w:rPr>
          <w:szCs w:val="23"/>
        </w:rPr>
        <w:t>However,</w:t>
      </w:r>
      <w:r w:rsidR="00C73324" w:rsidRPr="00317F65">
        <w:rPr>
          <w:szCs w:val="23"/>
        </w:rPr>
        <w:t xml:space="preserve"> </w:t>
      </w:r>
      <w:r w:rsidR="00B244B3" w:rsidRPr="00317F65">
        <w:rPr>
          <w:szCs w:val="23"/>
        </w:rPr>
        <w:t xml:space="preserve">at the end of 2020, Governor Newsom of California signed a collection of senate bills (SB 803 Peer Specialists; </w:t>
      </w:r>
      <w:r w:rsidR="007D25E0" w:rsidRPr="00317F65">
        <w:rPr>
          <w:szCs w:val="23"/>
        </w:rPr>
        <w:t xml:space="preserve">SB 855 </w:t>
      </w:r>
      <w:r w:rsidR="00C73324" w:rsidRPr="00317F65">
        <w:rPr>
          <w:szCs w:val="23"/>
        </w:rPr>
        <w:t>California Mental Health Parity)</w:t>
      </w:r>
      <w:r w:rsidR="00B244B3" w:rsidRPr="00317F65">
        <w:rPr>
          <w:szCs w:val="23"/>
        </w:rPr>
        <w:t xml:space="preserve"> that were enacted in January of 2021. SB 855 </w:t>
      </w:r>
      <w:r w:rsidR="007D25E0" w:rsidRPr="00317F65">
        <w:rPr>
          <w:szCs w:val="23"/>
        </w:rPr>
        <w:t>expands state mental health parity law by broadening the statutory definition of “medical necessity” to include all diagnoses</w:t>
      </w:r>
      <w:r w:rsidR="007641BD" w:rsidRPr="00317F65">
        <w:rPr>
          <w:szCs w:val="23"/>
        </w:rPr>
        <w:t xml:space="preserve"> in the most current edition of </w:t>
      </w:r>
      <w:r w:rsidR="007641BD" w:rsidRPr="00317F65">
        <w:rPr>
          <w:szCs w:val="23"/>
        </w:rPr>
        <w:lastRenderedPageBreak/>
        <w:t>the Diagnostic and Statistical Manual of Mental Disorders</w:t>
      </w:r>
      <w:r w:rsidR="00473D86">
        <w:rPr>
          <w:szCs w:val="23"/>
        </w:rPr>
        <w:t>, Fifth Edition, Text Revision</w:t>
      </w:r>
      <w:r w:rsidR="007641BD" w:rsidRPr="00317F65">
        <w:rPr>
          <w:szCs w:val="23"/>
        </w:rPr>
        <w:t xml:space="preserve"> (DSM</w:t>
      </w:r>
      <w:r w:rsidR="00473D86">
        <w:rPr>
          <w:szCs w:val="23"/>
        </w:rPr>
        <w:t>--TR</w:t>
      </w:r>
      <w:r w:rsidR="007641BD" w:rsidRPr="00317F65">
        <w:rPr>
          <w:szCs w:val="23"/>
        </w:rPr>
        <w:t>)</w:t>
      </w:r>
      <w:r w:rsidR="00DB00CC" w:rsidRPr="00317F65">
        <w:rPr>
          <w:szCs w:val="23"/>
        </w:rPr>
        <w:t xml:space="preserve"> </w:t>
      </w:r>
      <w:r w:rsidR="007D25E0" w:rsidRPr="00317F65">
        <w:rPr>
          <w:szCs w:val="23"/>
        </w:rPr>
        <w:t xml:space="preserve">and mandates coverage at parity (Weiner et al., 2020). </w:t>
      </w:r>
      <w:r w:rsidR="00DB00CC" w:rsidRPr="00317F65">
        <w:rPr>
          <w:szCs w:val="23"/>
        </w:rPr>
        <w:t>The current version of the DSM (APA, 2022) continues to include neurocognitive disorder due to TBI (F02.80-81; p. 707)</w:t>
      </w:r>
      <w:r>
        <w:rPr>
          <w:szCs w:val="23"/>
        </w:rPr>
        <w:t xml:space="preserve">. </w:t>
      </w:r>
    </w:p>
    <w:p w14:paraId="7839A7CE" w14:textId="71557550" w:rsidR="007D25E0" w:rsidRPr="00317F65" w:rsidRDefault="007D25E0" w:rsidP="00317F65">
      <w:pPr>
        <w:spacing w:line="480" w:lineRule="auto"/>
        <w:ind w:firstLine="720"/>
        <w:contextualSpacing/>
        <w:rPr>
          <w:szCs w:val="23"/>
        </w:rPr>
      </w:pPr>
      <w:r w:rsidRPr="00317F65">
        <w:rPr>
          <w:szCs w:val="23"/>
        </w:rPr>
        <w:t>At the end of 2021, California joined the 23 states in the US t</w:t>
      </w:r>
      <w:r w:rsidR="00473D86">
        <w:rPr>
          <w:szCs w:val="23"/>
        </w:rPr>
        <w:t>hat</w:t>
      </w:r>
      <w:r w:rsidRPr="00317F65">
        <w:rPr>
          <w:szCs w:val="23"/>
        </w:rPr>
        <w:t xml:space="preserve"> receive CDC Federal funds to establish </w:t>
      </w:r>
      <w:r w:rsidR="008F0048" w:rsidRPr="00317F65">
        <w:rPr>
          <w:szCs w:val="23"/>
        </w:rPr>
        <w:t>the</w:t>
      </w:r>
      <w:r w:rsidRPr="00317F65">
        <w:rPr>
          <w:szCs w:val="23"/>
        </w:rPr>
        <w:t xml:space="preserve"> State Injury Prevention Program (CORE SIPP</w:t>
      </w:r>
      <w:r w:rsidR="008F0048" w:rsidRPr="00317F65">
        <w:rPr>
          <w:szCs w:val="23"/>
        </w:rPr>
        <w:t xml:space="preserve">; </w:t>
      </w:r>
      <w:hyperlink r:id="rId8" w:history="1">
        <w:r w:rsidR="008F0048" w:rsidRPr="00317F65">
          <w:rPr>
            <w:rStyle w:val="Hyperlink"/>
            <w:szCs w:val="23"/>
          </w:rPr>
          <w:t>https://www.cdc.gov/injury/stateprograms/coresipp</w:t>
        </w:r>
      </w:hyperlink>
      <w:r w:rsidRPr="00317F65">
        <w:rPr>
          <w:szCs w:val="23"/>
        </w:rPr>
        <w:t xml:space="preserve">), which is currently </w:t>
      </w:r>
      <w:r w:rsidR="008F0048" w:rsidRPr="00317F65">
        <w:rPr>
          <w:szCs w:val="23"/>
        </w:rPr>
        <w:t>beginning their work and planning to collaborate</w:t>
      </w:r>
      <w:r w:rsidRPr="00317F65">
        <w:rPr>
          <w:szCs w:val="23"/>
        </w:rPr>
        <w:t xml:space="preserve"> with the State TBI Advisory Board to establish prophylactic practices for TBI. Recently, California applied and successfully received $5 </w:t>
      </w:r>
      <w:r w:rsidR="00473D86">
        <w:rPr>
          <w:szCs w:val="23"/>
        </w:rPr>
        <w:t>million</w:t>
      </w:r>
      <w:r w:rsidRPr="00317F65">
        <w:rPr>
          <w:szCs w:val="23"/>
        </w:rPr>
        <w:t xml:space="preserve"> </w:t>
      </w:r>
      <w:r w:rsidR="008F0048" w:rsidRPr="00317F65">
        <w:rPr>
          <w:szCs w:val="23"/>
        </w:rPr>
        <w:t xml:space="preserve">in </w:t>
      </w:r>
      <w:r w:rsidRPr="00317F65">
        <w:rPr>
          <w:szCs w:val="23"/>
        </w:rPr>
        <w:t xml:space="preserve">additional Federal funds from the Administration of Community Living (ACL) to establish a “TBI waiver” for </w:t>
      </w:r>
      <w:r w:rsidR="008F0048" w:rsidRPr="00317F65">
        <w:rPr>
          <w:szCs w:val="23"/>
        </w:rPr>
        <w:t xml:space="preserve">the </w:t>
      </w:r>
      <w:r w:rsidRPr="00317F65">
        <w:rPr>
          <w:szCs w:val="23"/>
        </w:rPr>
        <w:t xml:space="preserve">Medicaid Home and Community-based Services program (HCBS; </w:t>
      </w:r>
      <w:r w:rsidRPr="00317F65">
        <w:t>e.g., cognitive rehabilitation, accessibility modifications, supported employment</w:t>
      </w:r>
      <w:r w:rsidRPr="00317F65">
        <w:rPr>
          <w:szCs w:val="23"/>
        </w:rPr>
        <w:t>), which currently only exists in 38 states</w:t>
      </w:r>
      <w:r w:rsidR="008F0048" w:rsidRPr="00317F65">
        <w:rPr>
          <w:szCs w:val="23"/>
        </w:rPr>
        <w:t xml:space="preserve"> (</w:t>
      </w:r>
      <w:r w:rsidR="00473D86">
        <w:rPr>
          <w:szCs w:val="23"/>
        </w:rPr>
        <w:t xml:space="preserve">for further information, please go to: </w:t>
      </w:r>
      <w:hyperlink r:id="rId9" w:history="1">
        <w:r w:rsidR="00473D86" w:rsidRPr="00473D86">
          <w:rPr>
            <w:rStyle w:val="Hyperlink"/>
            <w:szCs w:val="23"/>
          </w:rPr>
          <w:t>https://www.cms.gov/Outreach-and-Education/American-Indian-Alaska-Native/AIAN/LTSS-TA-Center/info/1915-c-waivers-by-state</w:t>
        </w:r>
      </w:hyperlink>
      <w:r w:rsidR="008F0048" w:rsidRPr="00317F65">
        <w:rPr>
          <w:szCs w:val="23"/>
        </w:rPr>
        <w:t>)</w:t>
      </w:r>
      <w:r w:rsidRPr="00317F65">
        <w:rPr>
          <w:szCs w:val="23"/>
        </w:rPr>
        <w:t>. The California-based organizations to form the California Association of TBI</w:t>
      </w:r>
      <w:r w:rsidR="00CD6602" w:rsidRPr="00317F65">
        <w:rPr>
          <w:szCs w:val="23"/>
        </w:rPr>
        <w:t xml:space="preserve"> (CATBI)</w:t>
      </w:r>
      <w:r w:rsidRPr="00317F65">
        <w:rPr>
          <w:szCs w:val="23"/>
        </w:rPr>
        <w:t xml:space="preserve"> </w:t>
      </w:r>
      <w:r w:rsidR="00DB00CC" w:rsidRPr="00317F65">
        <w:rPr>
          <w:szCs w:val="23"/>
        </w:rPr>
        <w:t>began</w:t>
      </w:r>
      <w:r w:rsidRPr="00317F65">
        <w:rPr>
          <w:szCs w:val="23"/>
        </w:rPr>
        <w:t xml:space="preserve"> funded-activity in April 2022</w:t>
      </w:r>
      <w:r w:rsidR="00DB00CC" w:rsidRPr="00317F65">
        <w:rPr>
          <w:szCs w:val="23"/>
        </w:rPr>
        <w:t xml:space="preserve">, and enhanced federal funding </w:t>
      </w:r>
      <w:r w:rsidR="00B10D9C" w:rsidRPr="00317F65">
        <w:rPr>
          <w:szCs w:val="23"/>
        </w:rPr>
        <w:t xml:space="preserve">was </w:t>
      </w:r>
      <w:r w:rsidR="00DB00CC" w:rsidRPr="00317F65">
        <w:rPr>
          <w:szCs w:val="23"/>
        </w:rPr>
        <w:t xml:space="preserve">awarded and distributed </w:t>
      </w:r>
      <w:r w:rsidR="00B10D9C" w:rsidRPr="00317F65">
        <w:rPr>
          <w:szCs w:val="23"/>
        </w:rPr>
        <w:t>in</w:t>
      </w:r>
      <w:r w:rsidR="00DB00CC" w:rsidRPr="00317F65">
        <w:rPr>
          <w:szCs w:val="23"/>
        </w:rPr>
        <w:t xml:space="preserve"> July 2022</w:t>
      </w:r>
      <w:r w:rsidRPr="00317F65">
        <w:rPr>
          <w:szCs w:val="23"/>
        </w:rPr>
        <w:t xml:space="preserve">. </w:t>
      </w:r>
    </w:p>
    <w:p w14:paraId="50C45093" w14:textId="42C5FB7B" w:rsidR="00B64651" w:rsidRDefault="00317F65" w:rsidP="006D3B3A">
      <w:pPr>
        <w:spacing w:line="480" w:lineRule="auto"/>
        <w:ind w:firstLine="720"/>
        <w:contextualSpacing/>
        <w:rPr>
          <w:szCs w:val="23"/>
        </w:rPr>
      </w:pPr>
      <w:r>
        <w:rPr>
          <w:szCs w:val="23"/>
        </w:rPr>
        <w:t>The present</w:t>
      </w:r>
      <w:r w:rsidR="00D2232B" w:rsidRPr="00317F65">
        <w:rPr>
          <w:szCs w:val="23"/>
        </w:rPr>
        <w:t xml:space="preserve"> </w:t>
      </w:r>
      <w:r w:rsidR="00473D86">
        <w:rPr>
          <w:szCs w:val="23"/>
        </w:rPr>
        <w:t>r</w:t>
      </w:r>
      <w:r w:rsidR="00D2232B" w:rsidRPr="00317F65">
        <w:rPr>
          <w:szCs w:val="23"/>
        </w:rPr>
        <w:t xml:space="preserve">etrospective </w:t>
      </w:r>
      <w:r w:rsidR="00473D86">
        <w:rPr>
          <w:szCs w:val="23"/>
        </w:rPr>
        <w:t>c</w:t>
      </w:r>
      <w:r w:rsidR="00D2232B" w:rsidRPr="00317F65">
        <w:rPr>
          <w:szCs w:val="23"/>
        </w:rPr>
        <w:t xml:space="preserve">ohort </w:t>
      </w:r>
      <w:r w:rsidR="00473D86">
        <w:rPr>
          <w:szCs w:val="23"/>
        </w:rPr>
        <w:t>s</w:t>
      </w:r>
      <w:r w:rsidR="00D2232B" w:rsidRPr="00317F65">
        <w:rPr>
          <w:szCs w:val="23"/>
        </w:rPr>
        <w:t>tudy</w:t>
      </w:r>
      <w:r w:rsidR="00757631">
        <w:rPr>
          <w:szCs w:val="23"/>
        </w:rPr>
        <w:t xml:space="preserve"> utilized two </w:t>
      </w:r>
      <w:r w:rsidR="00473D86">
        <w:rPr>
          <w:szCs w:val="23"/>
        </w:rPr>
        <w:t>s</w:t>
      </w:r>
      <w:r w:rsidR="00757631">
        <w:rPr>
          <w:szCs w:val="23"/>
        </w:rPr>
        <w:t>tate-level methods: a Health Assessment &amp; Research for Communities (HARC) administered needs assessment and a representative survey administered using the California State Survey Panel (</w:t>
      </w:r>
      <w:proofErr w:type="spellStart"/>
      <w:r w:rsidR="00757631">
        <w:rPr>
          <w:i/>
          <w:iCs/>
          <w:szCs w:val="23"/>
        </w:rPr>
        <w:t>CalSpeak</w:t>
      </w:r>
      <w:proofErr w:type="spellEnd"/>
      <w:r w:rsidR="00757631">
        <w:rPr>
          <w:szCs w:val="23"/>
        </w:rPr>
        <w:t>). The Department</w:t>
      </w:r>
      <w:r w:rsidR="00757631">
        <w:rPr>
          <w:i/>
          <w:iCs/>
          <w:szCs w:val="23"/>
        </w:rPr>
        <w:t xml:space="preserve"> </w:t>
      </w:r>
      <w:r w:rsidR="00D2232B" w:rsidRPr="00317F65">
        <w:rPr>
          <w:szCs w:val="23"/>
        </w:rPr>
        <w:t xml:space="preserve">aspires to use the retrieved data and the revealed insights to generate a meaningful legislative ask to both the House and Senate. </w:t>
      </w:r>
      <w:r w:rsidR="00473D86">
        <w:rPr>
          <w:szCs w:val="23"/>
        </w:rPr>
        <w:t xml:space="preserve">U.S. </w:t>
      </w:r>
      <w:r w:rsidR="00D2232B" w:rsidRPr="00317F65">
        <w:rPr>
          <w:szCs w:val="23"/>
        </w:rPr>
        <w:t xml:space="preserve">Senator Dianne Feinstein </w:t>
      </w:r>
      <w:r w:rsidR="00473D86">
        <w:rPr>
          <w:szCs w:val="23"/>
        </w:rPr>
        <w:t xml:space="preserve">of California </w:t>
      </w:r>
      <w:r w:rsidR="00D2232B" w:rsidRPr="00317F65">
        <w:rPr>
          <w:szCs w:val="23"/>
        </w:rPr>
        <w:t xml:space="preserve">expressed support </w:t>
      </w:r>
      <w:r w:rsidR="003E498A" w:rsidRPr="00317F65">
        <w:rPr>
          <w:szCs w:val="23"/>
        </w:rPr>
        <w:t>in March of 2022</w:t>
      </w:r>
      <w:r w:rsidR="00D2232B" w:rsidRPr="00317F65">
        <w:rPr>
          <w:szCs w:val="23"/>
        </w:rPr>
        <w:t xml:space="preserve"> at Brain Injury Awareness Day on Capitol Hill and both Representative Young Kim and </w:t>
      </w:r>
      <w:r w:rsidR="00473D86">
        <w:rPr>
          <w:szCs w:val="23"/>
        </w:rPr>
        <w:t xml:space="preserve">U.S. California </w:t>
      </w:r>
      <w:r w:rsidR="00D2232B" w:rsidRPr="00317F65">
        <w:rPr>
          <w:szCs w:val="23"/>
        </w:rPr>
        <w:t xml:space="preserve">Senator Alex Padilla were invited to join the Congressional Brain Injury Task Force. </w:t>
      </w:r>
      <w:r w:rsidR="00873FA5" w:rsidRPr="00317F65">
        <w:rPr>
          <w:szCs w:val="23"/>
        </w:rPr>
        <w:t xml:space="preserve">In May 2022, Senator Padilla also signed on to the </w:t>
      </w:r>
      <w:r w:rsidR="00470AD5">
        <w:rPr>
          <w:szCs w:val="23"/>
        </w:rPr>
        <w:lastRenderedPageBreak/>
        <w:t>National Association of State Head Injury Administrators (</w:t>
      </w:r>
      <w:r w:rsidR="00873FA5" w:rsidRPr="00317F65">
        <w:rPr>
          <w:szCs w:val="23"/>
        </w:rPr>
        <w:t>NASHIA</w:t>
      </w:r>
      <w:r w:rsidR="00470AD5">
        <w:rPr>
          <w:szCs w:val="23"/>
        </w:rPr>
        <w:t>)</w:t>
      </w:r>
      <w:r w:rsidR="00873FA5" w:rsidRPr="00317F65">
        <w:rPr>
          <w:szCs w:val="23"/>
        </w:rPr>
        <w:t xml:space="preserve"> initiative </w:t>
      </w:r>
      <w:r w:rsidR="00136A64" w:rsidRPr="00317F65">
        <w:rPr>
          <w:szCs w:val="23"/>
        </w:rPr>
        <w:t xml:space="preserve">in support of funding for brain injury proposed by </w:t>
      </w:r>
      <w:r w:rsidR="00473D86">
        <w:rPr>
          <w:szCs w:val="23"/>
        </w:rPr>
        <w:t xml:space="preserve">U.S. Maryland </w:t>
      </w:r>
      <w:r w:rsidR="00136A64" w:rsidRPr="00317F65">
        <w:rPr>
          <w:szCs w:val="23"/>
        </w:rPr>
        <w:t xml:space="preserve">Senator Van </w:t>
      </w:r>
      <w:proofErr w:type="spellStart"/>
      <w:r w:rsidR="00136A64" w:rsidRPr="00317F65">
        <w:rPr>
          <w:szCs w:val="23"/>
        </w:rPr>
        <w:t>Hollen</w:t>
      </w:r>
      <w:proofErr w:type="spellEnd"/>
      <w:r w:rsidR="00136A64" w:rsidRPr="00317F65">
        <w:rPr>
          <w:szCs w:val="23"/>
        </w:rPr>
        <w:t xml:space="preserve">; this letter </w:t>
      </w:r>
      <w:r w:rsidR="00DF25CA" w:rsidRPr="00317F65">
        <w:rPr>
          <w:szCs w:val="23"/>
        </w:rPr>
        <w:t>supports increasing</w:t>
      </w:r>
      <w:r w:rsidR="00136A64" w:rsidRPr="00317F65">
        <w:rPr>
          <w:szCs w:val="23"/>
        </w:rPr>
        <w:t xml:space="preserve"> TBI State Grant program from $11.821</w:t>
      </w:r>
      <w:r w:rsidR="00473D86">
        <w:rPr>
          <w:szCs w:val="23"/>
        </w:rPr>
        <w:t xml:space="preserve"> million</w:t>
      </w:r>
      <w:r w:rsidR="00136A64" w:rsidRPr="00317F65">
        <w:rPr>
          <w:szCs w:val="23"/>
        </w:rPr>
        <w:t xml:space="preserve"> to $19</w:t>
      </w:r>
      <w:r w:rsidR="00473D86">
        <w:rPr>
          <w:szCs w:val="23"/>
        </w:rPr>
        <w:t xml:space="preserve"> million</w:t>
      </w:r>
      <w:r w:rsidR="00136A64" w:rsidRPr="00317F65">
        <w:rPr>
          <w:szCs w:val="23"/>
        </w:rPr>
        <w:t xml:space="preserve"> and secures $5</w:t>
      </w:r>
      <w:r w:rsidR="00473D86">
        <w:rPr>
          <w:szCs w:val="23"/>
        </w:rPr>
        <w:t xml:space="preserve"> million</w:t>
      </w:r>
      <w:r w:rsidR="00136A64" w:rsidRPr="00317F65">
        <w:rPr>
          <w:szCs w:val="23"/>
        </w:rPr>
        <w:t xml:space="preserve"> for the CDC Concussion Surveillance, which </w:t>
      </w:r>
      <w:r w:rsidR="00DF25CA" w:rsidRPr="00317F65">
        <w:rPr>
          <w:szCs w:val="23"/>
        </w:rPr>
        <w:t>supplements the $2</w:t>
      </w:r>
      <w:r w:rsidR="00473D86">
        <w:rPr>
          <w:szCs w:val="23"/>
        </w:rPr>
        <w:t xml:space="preserve"> million</w:t>
      </w:r>
      <w:r w:rsidR="00DF25CA" w:rsidRPr="00317F65">
        <w:rPr>
          <w:szCs w:val="23"/>
        </w:rPr>
        <w:t xml:space="preserve"> to establish the system in FY</w:t>
      </w:r>
      <w:r w:rsidR="00473D86">
        <w:rPr>
          <w:szCs w:val="23"/>
        </w:rPr>
        <w:t xml:space="preserve"> </w:t>
      </w:r>
      <w:r w:rsidR="00DF25CA" w:rsidRPr="00317F65">
        <w:rPr>
          <w:szCs w:val="23"/>
        </w:rPr>
        <w:t>2022.</w:t>
      </w:r>
      <w:r w:rsidR="00136A64" w:rsidRPr="00317F65">
        <w:rPr>
          <w:szCs w:val="23"/>
        </w:rPr>
        <w:t xml:space="preserve"> </w:t>
      </w:r>
      <w:r w:rsidR="00D2232B" w:rsidRPr="00317F65">
        <w:rPr>
          <w:szCs w:val="23"/>
        </w:rPr>
        <w:t>Moreover, at this virtual event on Capitol Hill, it became clear that California is one of 28 states that receive an “ACL TBI State Grant” and that we receive the same amount as the 27 other states, even though California is the most populated state in the country</w:t>
      </w:r>
      <w:r w:rsidR="003E498A" w:rsidRPr="00317F65">
        <w:rPr>
          <w:szCs w:val="23"/>
        </w:rPr>
        <w:t>.</w:t>
      </w:r>
      <w:r w:rsidR="00D2232B" w:rsidRPr="00317F65">
        <w:rPr>
          <w:szCs w:val="23"/>
        </w:rPr>
        <w:t xml:space="preserve"> Senator Feinstein’s staffers expressed their willingness to write a letter of support to request additional funding (possibly in the form of 2 grants). The hope is for an adequately funded statewide network to facilitate the successful community reintegration of survivors in the “Golden State” before taking our insights to NASHIA.</w:t>
      </w:r>
    </w:p>
    <w:p w14:paraId="74F84CBE" w14:textId="77777777" w:rsidR="00757631" w:rsidRPr="005F0273" w:rsidRDefault="00757631" w:rsidP="005F0273">
      <w:pPr>
        <w:pStyle w:val="Heading3"/>
        <w:rPr>
          <w:color w:val="auto"/>
        </w:rPr>
      </w:pPr>
      <w:r w:rsidRPr="005F0273">
        <w:rPr>
          <w:color w:val="auto"/>
        </w:rPr>
        <w:t>Hypotheses</w:t>
      </w:r>
    </w:p>
    <w:p w14:paraId="742CC7C2" w14:textId="0D6B3135" w:rsidR="00757631" w:rsidRPr="006431A4" w:rsidRDefault="00757631" w:rsidP="006431A4">
      <w:pPr>
        <w:spacing w:line="480" w:lineRule="auto"/>
        <w:ind w:firstLine="720"/>
      </w:pPr>
      <w:proofErr w:type="gramStart"/>
      <w:r w:rsidRPr="00757631">
        <w:t>After contrasting community prevalence, it</w:t>
      </w:r>
      <w:proofErr w:type="gramEnd"/>
      <w:r w:rsidRPr="00757631">
        <w:t xml:space="preserve"> was expected that the reported medical incidence would be underestimating the occurrence and impact of head injury</w:t>
      </w:r>
      <w:r>
        <w:t xml:space="preserve">. </w:t>
      </w:r>
      <w:r w:rsidRPr="00757631">
        <w:t xml:space="preserve">Relative to the general population, survivors of TBI in California were expected to have higher rates of homelessness, at-risk of homelessness, employment instability, housing instability, caregiver burden, difficulty with activities of daily living (ADL), justice system involvements, and </w:t>
      </w:r>
      <w:r>
        <w:t>neuropsychiatric</w:t>
      </w:r>
      <w:r w:rsidRPr="00757631">
        <w:t xml:space="preserve"> disorders</w:t>
      </w:r>
      <w:r>
        <w:t xml:space="preserve"> (i.e., PDD, GAD, NCD)</w:t>
      </w:r>
      <w:r w:rsidRPr="00757631">
        <w:t>. In the general population in California, neuropsychiatric disorders were further expected to be significantly associated with negative community outcomes (e.g., homelessness, employment instability).</w:t>
      </w:r>
    </w:p>
    <w:p w14:paraId="3D3930CB" w14:textId="77777777" w:rsidR="00D2232B" w:rsidRPr="005F0273" w:rsidRDefault="00D2232B" w:rsidP="005F0273">
      <w:pPr>
        <w:pStyle w:val="Heading3"/>
        <w:jc w:val="center"/>
        <w:rPr>
          <w:color w:val="auto"/>
        </w:rPr>
      </w:pPr>
      <w:r w:rsidRPr="005F0273">
        <w:rPr>
          <w:color w:val="auto"/>
        </w:rPr>
        <w:t>Method</w:t>
      </w:r>
    </w:p>
    <w:p w14:paraId="5611B9C8" w14:textId="03D1F48F" w:rsidR="00D2232B" w:rsidRPr="00317F65" w:rsidRDefault="00D2232B" w:rsidP="00030056">
      <w:pPr>
        <w:spacing w:line="480" w:lineRule="auto"/>
        <w:rPr>
          <w:b/>
          <w:bCs/>
        </w:rPr>
      </w:pPr>
      <w:r w:rsidRPr="00317F65">
        <w:rPr>
          <w:b/>
          <w:bCs/>
        </w:rPr>
        <w:t>Participants</w:t>
      </w:r>
    </w:p>
    <w:p w14:paraId="4E13CA30" w14:textId="360722D6" w:rsidR="00757631" w:rsidRDefault="002C3584" w:rsidP="002C3584">
      <w:pPr>
        <w:spacing w:line="480" w:lineRule="auto"/>
        <w:ind w:firstLine="720"/>
      </w:pPr>
      <w:r w:rsidRPr="00A41E69">
        <w:lastRenderedPageBreak/>
        <w:t>Participants in t</w:t>
      </w:r>
      <w:r w:rsidR="00757631" w:rsidRPr="00A41E69">
        <w:t xml:space="preserve">he HARC needs assessment </w:t>
      </w:r>
      <w:r w:rsidRPr="00A41E69">
        <w:t xml:space="preserve">was conducted both as a survey and qualitative interviews; both recruited participants using </w:t>
      </w:r>
      <w:r w:rsidR="005C6003" w:rsidRPr="00A41E69">
        <w:t xml:space="preserve">a </w:t>
      </w:r>
      <w:r w:rsidRPr="00A41E69">
        <w:t>convenient-sampling</w:t>
      </w:r>
      <w:r w:rsidR="005C6003" w:rsidRPr="00A41E69">
        <w:t xml:space="preserve"> strategy</w:t>
      </w:r>
      <w:r w:rsidRPr="00A41E69">
        <w:t>. A sample of TBI stakeholders in California were recruited: TBI professionals (</w:t>
      </w:r>
      <w:r w:rsidRPr="00A41E69">
        <w:rPr>
          <w:i/>
          <w:iCs/>
        </w:rPr>
        <w:t xml:space="preserve">n </w:t>
      </w:r>
      <w:r w:rsidRPr="00A41E69">
        <w:t>= 79), TBI Family Caregivers (</w:t>
      </w:r>
      <w:r w:rsidRPr="00A41E69">
        <w:rPr>
          <w:i/>
          <w:iCs/>
        </w:rPr>
        <w:t xml:space="preserve">n </w:t>
      </w:r>
      <w:r w:rsidRPr="00A41E69">
        <w:t>= 53), and Survivors of TBI (</w:t>
      </w:r>
      <w:r w:rsidRPr="00A41E69">
        <w:rPr>
          <w:i/>
          <w:iCs/>
        </w:rPr>
        <w:t xml:space="preserve">n </w:t>
      </w:r>
      <w:r w:rsidRPr="00A41E69">
        <w:t>= 135). Survivors were White (67.8%), middle-aged (M = 49 years, SD = 10), had at least some college (86%), and in a median HH income of $29,141 (11.5% ≤ Federal Poverty Line; FPL). Forty percent had a family caregiver (44.7% were spouses, 29.8% were parents). Each stakeholder survey was 40 close-ended questions and 5 open-ended questions. Surveys were available in English and Spanish.</w:t>
      </w:r>
      <w:r w:rsidR="00473D86" w:rsidRPr="00A41E69">
        <w:t xml:space="preserve"> S</w:t>
      </w:r>
      <w:r w:rsidR="00473D86">
        <w:t xml:space="preserve">urveys were distributed statewide, however, the bulk </w:t>
      </w:r>
      <w:r w:rsidR="00022D81">
        <w:t>of responses among persons with TBI, family caregivers, and professionals all came from San Diego County.</w:t>
      </w:r>
      <w:r w:rsidR="00FF419E">
        <w:t xml:space="preserve"> Participant demographics did not match California population demographics for race and ethnicity.  </w:t>
      </w:r>
    </w:p>
    <w:p w14:paraId="17D9A756" w14:textId="2FF1EB53" w:rsidR="00A41E69" w:rsidRDefault="002C3584" w:rsidP="003559FA">
      <w:pPr>
        <w:spacing w:line="480" w:lineRule="auto"/>
        <w:ind w:firstLine="720"/>
      </w:pPr>
      <w:r>
        <w:t xml:space="preserve">For the </w:t>
      </w:r>
      <w:proofErr w:type="spellStart"/>
      <w:r>
        <w:rPr>
          <w:i/>
          <w:iCs/>
        </w:rPr>
        <w:t>CalSpeak</w:t>
      </w:r>
      <w:proofErr w:type="spellEnd"/>
      <w:r>
        <w:rPr>
          <w:i/>
          <w:iCs/>
        </w:rPr>
        <w:t xml:space="preserve"> </w:t>
      </w:r>
      <w:r w:rsidR="007F3DD3">
        <w:t>approach</w:t>
      </w:r>
      <w:r>
        <w:t>, a</w:t>
      </w:r>
      <w:r w:rsidR="00030056" w:rsidRPr="00317F65">
        <w:t xml:space="preserve"> representative sample of</w:t>
      </w:r>
      <w:r w:rsidR="00F51C22">
        <w:t xml:space="preserve"> </w:t>
      </w:r>
      <w:r w:rsidR="00F51C22" w:rsidRPr="00317F65">
        <w:t>adult respondents</w:t>
      </w:r>
      <w:r w:rsidR="00944A3B">
        <w:t xml:space="preserve"> (</w:t>
      </w:r>
      <w:r w:rsidR="00944A3B">
        <w:rPr>
          <w:rFonts w:cs="Times New Roman"/>
        </w:rPr>
        <w:t>≥</w:t>
      </w:r>
      <w:r w:rsidR="00944A3B">
        <w:t>18 years)</w:t>
      </w:r>
      <w:r w:rsidR="00B60EF3">
        <w:t xml:space="preserve"> </w:t>
      </w:r>
      <w:r w:rsidR="00B60EF3" w:rsidRPr="00317F65">
        <w:t>stratified on demographics retrieved from state voter registration and United States Postal Service sequence files (e.g., race, gender, urbanicity versus rurality)</w:t>
      </w:r>
      <w:r w:rsidR="00B60EF3">
        <w:t xml:space="preserve"> was collected</w:t>
      </w:r>
      <w:r w:rsidR="00B60EF3" w:rsidRPr="00317F65">
        <w:t xml:space="preserve"> in English </w:t>
      </w:r>
      <w:ins w:id="2" w:author="Daniel Ignacio" w:date="2023-02-23T13:50:00Z">
        <w:r w:rsidR="00B60EF3">
          <w:t xml:space="preserve">(%) </w:t>
        </w:r>
      </w:ins>
      <w:r w:rsidR="00B60EF3" w:rsidRPr="00317F65">
        <w:t>and Spanish</w:t>
      </w:r>
      <w:ins w:id="3" w:author="Daniel Ignacio" w:date="2023-02-23T13:50:00Z">
        <w:r w:rsidR="00B60EF3">
          <w:t xml:space="preserve"> (%)</w:t>
        </w:r>
      </w:ins>
      <w:r w:rsidR="00F51C22" w:rsidRPr="00317F65">
        <w:t xml:space="preserve"> </w:t>
      </w:r>
      <w:r w:rsidR="00B60EF3">
        <w:t xml:space="preserve">from </w:t>
      </w:r>
      <w:r w:rsidR="00F51C22" w:rsidRPr="00317F65">
        <w:t>resid</w:t>
      </w:r>
      <w:r w:rsidR="00B60EF3">
        <w:t xml:space="preserve">ents </w:t>
      </w:r>
      <w:r w:rsidR="00F51C22" w:rsidRPr="00317F65">
        <w:t xml:space="preserve">in California </w:t>
      </w:r>
      <w:r w:rsidR="00F51C22">
        <w:t>(</w:t>
      </w:r>
      <w:r w:rsidR="00F51C22">
        <w:rPr>
          <w:i/>
          <w:iCs/>
        </w:rPr>
        <w:t xml:space="preserve">N </w:t>
      </w:r>
      <w:r w:rsidR="00F51C22">
        <w:t>= 1,057)</w:t>
      </w:r>
      <w:r w:rsidR="00030056" w:rsidRPr="00317F65">
        <w:t xml:space="preserve">. </w:t>
      </w:r>
      <w:r w:rsidR="00F51C22" w:rsidRPr="00317F65">
        <w:t>All survey data</w:t>
      </w:r>
      <w:r w:rsidR="00F51C22">
        <w:t xml:space="preserve">, which was collected </w:t>
      </w:r>
      <w:r w:rsidR="00BB3966" w:rsidRPr="00317F65">
        <w:t xml:space="preserve">using the </w:t>
      </w:r>
      <w:proofErr w:type="spellStart"/>
      <w:r w:rsidR="00BB3966" w:rsidRPr="00317F65">
        <w:rPr>
          <w:i/>
          <w:iCs/>
        </w:rPr>
        <w:t>CalSpeak</w:t>
      </w:r>
      <w:proofErr w:type="spellEnd"/>
      <w:r w:rsidR="00BB3966" w:rsidRPr="00317F65">
        <w:t xml:space="preserve"> panel for sampling and survey administration</w:t>
      </w:r>
      <w:r w:rsidR="00F51C22">
        <w:t xml:space="preserve">, </w:t>
      </w:r>
      <w:r w:rsidR="006F6AD5">
        <w:t xml:space="preserve">was </w:t>
      </w:r>
      <w:r w:rsidR="00BB3966" w:rsidRPr="00317F65">
        <w:t>weighted to compensat</w:t>
      </w:r>
      <w:r w:rsidR="00F51C22">
        <w:t>e</w:t>
      </w:r>
      <w:r w:rsidR="00BB3966" w:rsidRPr="00317F65">
        <w:t xml:space="preserve"> for practical limitations of sample surveys</w:t>
      </w:r>
      <w:r w:rsidR="00F51C22">
        <w:t xml:space="preserve"> (e.g., under coverage, </w:t>
      </w:r>
      <w:r w:rsidR="00BB3966" w:rsidRPr="00317F65">
        <w:t>differential nonresponse</w:t>
      </w:r>
      <w:r w:rsidR="00F51C22">
        <w:t xml:space="preserve">). The </w:t>
      </w:r>
      <w:r w:rsidR="00BB3966" w:rsidRPr="00317F65">
        <w:t>weighting improve</w:t>
      </w:r>
      <w:r w:rsidR="006F6AD5">
        <w:t>d</w:t>
      </w:r>
      <w:r w:rsidR="00BB3966" w:rsidRPr="00317F65">
        <w:t xml:space="preserve"> the external validity of </w:t>
      </w:r>
      <w:r w:rsidR="006F6AD5">
        <w:t xml:space="preserve">the </w:t>
      </w:r>
      <w:r w:rsidR="00BB3966" w:rsidRPr="00317F65">
        <w:t xml:space="preserve">survey data by </w:t>
      </w:r>
      <w:r w:rsidR="005D644B">
        <w:t xml:space="preserve">improving </w:t>
      </w:r>
      <w:r w:rsidR="00BB3966" w:rsidRPr="00317F65">
        <w:t>representation of respondents</w:t>
      </w:r>
      <w:r w:rsidR="005D644B">
        <w:t xml:space="preserve"> relative to </w:t>
      </w:r>
      <w:r w:rsidR="007A08E1">
        <w:t xml:space="preserve">estimated </w:t>
      </w:r>
      <w:r w:rsidR="005D644B">
        <w:t>population parameters</w:t>
      </w:r>
      <w:r w:rsidR="00BB3966" w:rsidRPr="00317F65">
        <w:t>.</w:t>
      </w:r>
      <w:r>
        <w:t xml:space="preserve"> </w:t>
      </w:r>
      <w:r w:rsidR="00944A3B">
        <w:t>From the total sample (</w:t>
      </w:r>
      <w:r w:rsidR="00944A3B">
        <w:rPr>
          <w:i/>
          <w:iCs/>
        </w:rPr>
        <w:t>n</w:t>
      </w:r>
      <w:r w:rsidR="00944A3B">
        <w:rPr>
          <w:vertAlign w:val="subscript"/>
        </w:rPr>
        <w:t xml:space="preserve"> males</w:t>
      </w:r>
      <w:r w:rsidR="00944A3B">
        <w:t xml:space="preserve"> = </w:t>
      </w:r>
      <w:r w:rsidR="00E376F7">
        <w:t>475</w:t>
      </w:r>
      <w:r w:rsidR="00944A3B">
        <w:t xml:space="preserve">; </w:t>
      </w:r>
      <w:r w:rsidR="00944A3B">
        <w:rPr>
          <w:i/>
          <w:iCs/>
        </w:rPr>
        <w:t xml:space="preserve">n </w:t>
      </w:r>
      <w:r w:rsidR="00944A3B">
        <w:rPr>
          <w:vertAlign w:val="subscript"/>
        </w:rPr>
        <w:t>females</w:t>
      </w:r>
      <w:r w:rsidR="00944A3B">
        <w:t xml:space="preserve"> = </w:t>
      </w:r>
      <w:r w:rsidR="00E376F7">
        <w:t>555</w:t>
      </w:r>
      <w:r w:rsidR="00682224">
        <w:t xml:space="preserve">; </w:t>
      </w:r>
      <w:r w:rsidR="00682224">
        <w:rPr>
          <w:i/>
          <w:iCs/>
        </w:rPr>
        <w:t>n</w:t>
      </w:r>
      <w:r w:rsidR="00682224">
        <w:rPr>
          <w:vertAlign w:val="subscript"/>
        </w:rPr>
        <w:t xml:space="preserve"> other</w:t>
      </w:r>
      <w:r w:rsidR="00682224">
        <w:t xml:space="preserve"> = 13</w:t>
      </w:r>
      <w:r w:rsidR="00944A3B">
        <w:t xml:space="preserve">), </w:t>
      </w:r>
      <w:r w:rsidR="00682224">
        <w:t>42</w:t>
      </w:r>
      <w:r w:rsidR="00E21494">
        <w:t>% (</w:t>
      </w:r>
      <w:r w:rsidR="00E21494">
        <w:rPr>
          <w:i/>
          <w:iCs/>
        </w:rPr>
        <w:t xml:space="preserve">n </w:t>
      </w:r>
      <w:r w:rsidR="00E21494">
        <w:t xml:space="preserve">= </w:t>
      </w:r>
      <w:r w:rsidR="00682224">
        <w:t>605</w:t>
      </w:r>
      <w:r w:rsidR="00E21494">
        <w:t xml:space="preserve">) </w:t>
      </w:r>
      <w:r w:rsidR="00944A3B">
        <w:t xml:space="preserve">of them reported a history of at least one event of head trauma </w:t>
      </w:r>
      <w:r w:rsidR="00772666" w:rsidRPr="00084529">
        <w:t>(M = 3.89, SD = 10.07)</w:t>
      </w:r>
      <w:r w:rsidR="00772666">
        <w:t xml:space="preserve">. </w:t>
      </w:r>
      <w:r w:rsidR="00CD591C">
        <w:t>Thirty-five percent of responding Californian residents who reported at least one incident of head trauma experienced an associated period of lost consciousness (</w:t>
      </w:r>
      <w:r w:rsidR="00CD591C">
        <w:rPr>
          <w:i/>
          <w:iCs/>
        </w:rPr>
        <w:t xml:space="preserve">n </w:t>
      </w:r>
      <w:r w:rsidR="00CD591C">
        <w:t>= 153), thereby fitting the definition of a positive TBI screen</w:t>
      </w:r>
      <w:r w:rsidR="003559FA">
        <w:t xml:space="preserve"> (15% of total </w:t>
      </w:r>
      <w:r w:rsidR="003559FA">
        <w:lastRenderedPageBreak/>
        <w:t>sample)</w:t>
      </w:r>
      <w:r w:rsidR="00CD591C">
        <w:t>.</w:t>
      </w:r>
      <w:r w:rsidR="00A41E69">
        <w:t xml:space="preserve"> </w:t>
      </w:r>
      <w:r w:rsidR="00772666">
        <w:t>Mechanisms of injury and degrees of lost consciousness for the TBI sample are shown on Figure 1 and Figure 2.</w:t>
      </w:r>
    </w:p>
    <w:p w14:paraId="79CFB25C" w14:textId="7BBEFEBB" w:rsidR="00BB3966" w:rsidRPr="002C3584" w:rsidRDefault="00022D81" w:rsidP="00BB3966">
      <w:pPr>
        <w:spacing w:line="480" w:lineRule="auto"/>
        <w:ind w:firstLine="720"/>
      </w:pPr>
      <w:commentRangeStart w:id="4"/>
      <w:r>
        <w:t xml:space="preserve">A total of </w:t>
      </w:r>
      <w:r w:rsidR="002C3584" w:rsidRPr="002C3584">
        <w:t xml:space="preserve">442 survivors of </w:t>
      </w:r>
      <w:r>
        <w:t>h</w:t>
      </w:r>
      <w:r w:rsidR="002C3584" w:rsidRPr="002C3584">
        <w:t xml:space="preserve">ead </w:t>
      </w:r>
      <w:r>
        <w:t>i</w:t>
      </w:r>
      <w:r w:rsidR="002C3584" w:rsidRPr="002C3584">
        <w:t xml:space="preserve">njury (41.8%) identified in </w:t>
      </w:r>
      <w:r>
        <w:t xml:space="preserve">a </w:t>
      </w:r>
      <w:r w:rsidR="002C3584" w:rsidRPr="002C3584">
        <w:t>representative sample of Californians (N = 1057).</w:t>
      </w:r>
      <w:r w:rsidR="002C3584">
        <w:t xml:space="preserve"> </w:t>
      </w:r>
      <w:r w:rsidR="002C3584" w:rsidRPr="002C3584">
        <w:t>The TBI sample: males (47.8%), females (50.4%), and non-binary (1.2%).</w:t>
      </w:r>
      <w:r w:rsidR="002C3584">
        <w:t xml:space="preserve"> </w:t>
      </w:r>
      <w:r w:rsidR="002C3584" w:rsidRPr="002C3584">
        <w:t>SEXUAL ID: Heterosexual (82.5%), Gay/Lesbian (5.4%), Bisexual (9.0%), Declined to State (3.0%)</w:t>
      </w:r>
      <w:r w:rsidR="002C3584">
        <w:t xml:space="preserve">. </w:t>
      </w:r>
      <w:r w:rsidR="002C3584" w:rsidRPr="002C3584">
        <w:t>RACE/ETHNICITY: Identified as at least partially White (84.3%), Hispanic – yes (28.1%)</w:t>
      </w:r>
      <w:r w:rsidR="002C3584">
        <w:t xml:space="preserve">. </w:t>
      </w:r>
      <w:r w:rsidR="002C3584" w:rsidRPr="002C3584">
        <w:t>EDUCATION: had at least some college (46.5%), FT student (5.5%), PT student (8.2%)</w:t>
      </w:r>
      <w:r w:rsidR="002C3584">
        <w:t xml:space="preserve">. </w:t>
      </w:r>
      <w:r w:rsidR="002C3584" w:rsidRPr="002C3584">
        <w:t>URBANICITY: cities (48.6%), suburbs (31.4%), rural (20.1%) with average residence of 10+ years. INCOME ASSISTANCE: ≤ FPL (at least 12.5%), Participating in Medicaid (11.6%), SSI (3.5%). AGE: Current (M = 48.8, SD = 16.7), At Injury (M = 18.7, SD = 14.7), Years since (M = 30.4, SD = 16.2).</w:t>
      </w:r>
      <w:r w:rsidR="002C3584">
        <w:t xml:space="preserve"> </w:t>
      </w:r>
      <w:commentRangeEnd w:id="4"/>
      <w:r w:rsidR="003559FA">
        <w:rPr>
          <w:rStyle w:val="CommentReference"/>
          <w:rFonts w:asciiTheme="minorHAnsi" w:hAnsiTheme="minorHAnsi"/>
        </w:rPr>
        <w:commentReference w:id="4"/>
      </w:r>
    </w:p>
    <w:p w14:paraId="011105ED" w14:textId="6956E0CF" w:rsidR="00D2232B" w:rsidRPr="005F0273" w:rsidRDefault="00D2232B" w:rsidP="005F0273">
      <w:pPr>
        <w:pStyle w:val="Heading3"/>
        <w:rPr>
          <w:color w:val="auto"/>
        </w:rPr>
      </w:pPr>
      <w:r w:rsidRPr="005F0273">
        <w:rPr>
          <w:color w:val="auto"/>
        </w:rPr>
        <w:t>Materials</w:t>
      </w:r>
    </w:p>
    <w:p w14:paraId="7F72E373" w14:textId="3B1D0891" w:rsidR="00D2232B" w:rsidRPr="002C3584" w:rsidRDefault="00D2232B" w:rsidP="00D2232B">
      <w:pPr>
        <w:spacing w:line="480" w:lineRule="auto"/>
        <w:ind w:firstLine="720"/>
        <w:contextualSpacing/>
        <w:rPr>
          <w:szCs w:val="23"/>
        </w:rPr>
      </w:pPr>
      <w:r w:rsidRPr="002C3584">
        <w:rPr>
          <w:szCs w:val="23"/>
        </w:rPr>
        <w:t xml:space="preserve">Using the comprehensive and representative panel described above, 24 questions </w:t>
      </w:r>
      <w:r w:rsidR="006F6AD5" w:rsidRPr="002C3584">
        <w:rPr>
          <w:szCs w:val="23"/>
        </w:rPr>
        <w:t xml:space="preserve">were </w:t>
      </w:r>
      <w:r w:rsidRPr="002C3584">
        <w:rPr>
          <w:szCs w:val="23"/>
        </w:rPr>
        <w:t xml:space="preserve">used for this project, which were constructed by combining the optional TBI module from the </w:t>
      </w:r>
      <w:r w:rsidR="006F6AD5" w:rsidRPr="002C3584">
        <w:rPr>
          <w:szCs w:val="23"/>
        </w:rPr>
        <w:t>Behavioral Risk Factor Surveillance Study (</w:t>
      </w:r>
      <w:r w:rsidRPr="002C3584">
        <w:rPr>
          <w:szCs w:val="23"/>
        </w:rPr>
        <w:t>BRFSS</w:t>
      </w:r>
      <w:r w:rsidR="006F6AD5" w:rsidRPr="002C3584">
        <w:rPr>
          <w:szCs w:val="23"/>
        </w:rPr>
        <w:t>)</w:t>
      </w:r>
      <w:r w:rsidRPr="002C3584">
        <w:rPr>
          <w:szCs w:val="23"/>
        </w:rPr>
        <w:t>, insights from State and National organizations</w:t>
      </w:r>
      <w:r w:rsidR="006B6ED2" w:rsidRPr="002C3584">
        <w:rPr>
          <w:szCs w:val="23"/>
        </w:rPr>
        <w:t xml:space="preserve"> (e.g., World Health Organization Disability Assessment Schedule)</w:t>
      </w:r>
      <w:r w:rsidRPr="002C3584">
        <w:rPr>
          <w:szCs w:val="23"/>
        </w:rPr>
        <w:t>, expert judgments from members of the California TBI Advisory Board (e.g., CATBI, Mayo-Portland Adaptability Inventory</w:t>
      </w:r>
      <w:r w:rsidR="006B6ED2" w:rsidRPr="002C3584">
        <w:rPr>
          <w:szCs w:val="23"/>
        </w:rPr>
        <w:t>-4</w:t>
      </w:r>
      <w:r w:rsidRPr="002C3584">
        <w:rPr>
          <w:szCs w:val="23"/>
        </w:rPr>
        <w:t>), DSM</w:t>
      </w:r>
      <w:r w:rsidR="00022D81">
        <w:rPr>
          <w:szCs w:val="23"/>
        </w:rPr>
        <w:t>-</w:t>
      </w:r>
      <w:r w:rsidRPr="002C3584">
        <w:rPr>
          <w:szCs w:val="23"/>
        </w:rPr>
        <w:t>5-TR (APA, 2022), and three widely used TBI screeners: the Ohio State University TBI Identification method (OSU-TBI-ID; Corrigan &amp; Bogner, 2007); the Brain Injury Screening Questionnaire (BISQ; Dams-O’Connor et al., 2016); and the ACE, which was developed for the CDC as part of the Heads Up: Brain Injury In Your Practice tool kit (</w:t>
      </w:r>
      <w:proofErr w:type="spellStart"/>
      <w:r w:rsidRPr="002C3584">
        <w:rPr>
          <w:szCs w:val="23"/>
        </w:rPr>
        <w:t>Gioia</w:t>
      </w:r>
      <w:proofErr w:type="spellEnd"/>
      <w:r w:rsidRPr="002C3584">
        <w:rPr>
          <w:szCs w:val="23"/>
        </w:rPr>
        <w:t xml:space="preserve"> &amp; Collins, 2006). The finalized questions </w:t>
      </w:r>
      <w:r w:rsidR="006F6AD5" w:rsidRPr="002C3584">
        <w:rPr>
          <w:szCs w:val="23"/>
        </w:rPr>
        <w:t>were</w:t>
      </w:r>
      <w:r w:rsidRPr="002C3584">
        <w:rPr>
          <w:szCs w:val="23"/>
        </w:rPr>
        <w:t xml:space="preserve"> translated into Spanish to capture the population of monolingual survivors in California.</w:t>
      </w:r>
    </w:p>
    <w:p w14:paraId="1DF041E8" w14:textId="60244E89" w:rsidR="00123614" w:rsidRPr="002C3584" w:rsidRDefault="00EA3896" w:rsidP="00D2232B">
      <w:pPr>
        <w:spacing w:line="480" w:lineRule="auto"/>
        <w:ind w:firstLine="720"/>
        <w:contextualSpacing/>
        <w:rPr>
          <w:szCs w:val="23"/>
        </w:rPr>
      </w:pPr>
      <w:r w:rsidRPr="002C3584">
        <w:rPr>
          <w:szCs w:val="23"/>
        </w:rPr>
        <w:lastRenderedPageBreak/>
        <w:t xml:space="preserve">The first two questions </w:t>
      </w:r>
      <w:r w:rsidR="00FF419E">
        <w:rPr>
          <w:szCs w:val="23"/>
        </w:rPr>
        <w:t>assessed</w:t>
      </w:r>
      <w:r w:rsidRPr="002C3584">
        <w:rPr>
          <w:szCs w:val="23"/>
        </w:rPr>
        <w:t xml:space="preserve"> for affective disturbance as assessed by the DSM-5-TR criteria </w:t>
      </w:r>
      <w:r w:rsidR="003E498A" w:rsidRPr="002C3584">
        <w:rPr>
          <w:szCs w:val="23"/>
        </w:rPr>
        <w:t xml:space="preserve">(APA, 2022) </w:t>
      </w:r>
      <w:r w:rsidRPr="002C3584">
        <w:rPr>
          <w:szCs w:val="23"/>
        </w:rPr>
        <w:t xml:space="preserve">for persistent depressive disorder (PDD; </w:t>
      </w:r>
      <w:r w:rsidR="007C7F5F" w:rsidRPr="002C3584">
        <w:rPr>
          <w:szCs w:val="23"/>
        </w:rPr>
        <w:t>F34.1</w:t>
      </w:r>
      <w:r w:rsidR="003E498A" w:rsidRPr="002C3584">
        <w:rPr>
          <w:szCs w:val="23"/>
        </w:rPr>
        <w:t>, p.</w:t>
      </w:r>
      <w:r w:rsidR="009A708E" w:rsidRPr="002C3584">
        <w:rPr>
          <w:szCs w:val="23"/>
        </w:rPr>
        <w:t xml:space="preserve"> 178</w:t>
      </w:r>
      <w:r w:rsidRPr="002C3584">
        <w:rPr>
          <w:szCs w:val="23"/>
        </w:rPr>
        <w:t xml:space="preserve">), major depressive disorder (MDD; </w:t>
      </w:r>
      <w:r w:rsidR="007C7F5F" w:rsidRPr="002C3584">
        <w:rPr>
          <w:szCs w:val="23"/>
        </w:rPr>
        <w:t>F32.9</w:t>
      </w:r>
      <w:r w:rsidR="003E498A" w:rsidRPr="002C3584">
        <w:rPr>
          <w:szCs w:val="23"/>
        </w:rPr>
        <w:t>, p.</w:t>
      </w:r>
      <w:r w:rsidR="009A708E" w:rsidRPr="002C3584">
        <w:rPr>
          <w:szCs w:val="23"/>
        </w:rPr>
        <w:t xml:space="preserve"> 183</w:t>
      </w:r>
      <w:r w:rsidRPr="002C3584">
        <w:rPr>
          <w:szCs w:val="23"/>
        </w:rPr>
        <w:t xml:space="preserve">), and generalized anxiety disorder (GAD; </w:t>
      </w:r>
      <w:r w:rsidR="007C7F5F" w:rsidRPr="002C3584">
        <w:rPr>
          <w:szCs w:val="23"/>
        </w:rPr>
        <w:t>F41.1</w:t>
      </w:r>
      <w:r w:rsidR="003E498A" w:rsidRPr="002C3584">
        <w:rPr>
          <w:szCs w:val="23"/>
        </w:rPr>
        <w:t>, p.</w:t>
      </w:r>
      <w:r w:rsidR="009A708E" w:rsidRPr="002C3584">
        <w:rPr>
          <w:szCs w:val="23"/>
        </w:rPr>
        <w:t xml:space="preserve"> 250</w:t>
      </w:r>
      <w:r w:rsidRPr="002C3584">
        <w:rPr>
          <w:szCs w:val="23"/>
        </w:rPr>
        <w:t xml:space="preserve">). These questions included the presence of characteristic criteria as dichotomous variables using the longest diagnostic duration. For example, question 1 used “2 years” time frame of PDD over the 2 weeks for MDD. </w:t>
      </w:r>
      <w:r w:rsidR="00DE5F60" w:rsidRPr="002C3584">
        <w:rPr>
          <w:szCs w:val="23"/>
        </w:rPr>
        <w:t xml:space="preserve">In question 2, the time frame for persistence of GAD symptoms was the diagnostic “6 month” duration. </w:t>
      </w:r>
    </w:p>
    <w:p w14:paraId="26349342" w14:textId="5905DA8F" w:rsidR="00006D3D" w:rsidRPr="002C3584" w:rsidRDefault="00123614" w:rsidP="00123614">
      <w:pPr>
        <w:spacing w:line="480" w:lineRule="auto"/>
        <w:ind w:firstLine="720"/>
        <w:contextualSpacing/>
        <w:rPr>
          <w:szCs w:val="23"/>
        </w:rPr>
      </w:pPr>
      <w:r w:rsidRPr="002C3584">
        <w:rPr>
          <w:szCs w:val="23"/>
        </w:rPr>
        <w:t xml:space="preserve">For Questions 3, 4, and 5, respondents were asked about the presence of symptoms for “more days than not” in the past month. </w:t>
      </w:r>
      <w:r w:rsidR="00DE5F60" w:rsidRPr="002C3584">
        <w:rPr>
          <w:szCs w:val="23"/>
        </w:rPr>
        <w:t>Question 3 inquired respondents about the presence of events related to Criteria A and Criteria D for neurocognitive disorders (APA, 2022</w:t>
      </w:r>
      <w:r w:rsidR="003E498A" w:rsidRPr="002C3584">
        <w:rPr>
          <w:szCs w:val="23"/>
        </w:rPr>
        <w:t>, p.</w:t>
      </w:r>
      <w:r w:rsidR="009A708E" w:rsidRPr="002C3584">
        <w:rPr>
          <w:szCs w:val="23"/>
        </w:rPr>
        <w:t xml:space="preserve"> 679</w:t>
      </w:r>
      <w:r w:rsidR="00DE5F60" w:rsidRPr="002C3584">
        <w:rPr>
          <w:szCs w:val="23"/>
        </w:rPr>
        <w:t>). Moreover, Question 3 also included the Emotional Symptom checklist for CDC’s ACE (</w:t>
      </w:r>
      <w:proofErr w:type="spellStart"/>
      <w:r w:rsidR="00DE5F60" w:rsidRPr="002C3584">
        <w:rPr>
          <w:szCs w:val="23"/>
        </w:rPr>
        <w:t>Gioia</w:t>
      </w:r>
      <w:proofErr w:type="spellEnd"/>
      <w:r w:rsidR="00DE5F60" w:rsidRPr="002C3584">
        <w:rPr>
          <w:szCs w:val="23"/>
        </w:rPr>
        <w:t xml:space="preserve"> &amp; Collins, 2006). Question 4 included Criteria A1 and Criteria A2 for neurocognitive disorder as defined by the current version of the DSM (DSM 5-TR; APA, 2022</w:t>
      </w:r>
      <w:r w:rsidR="003E498A" w:rsidRPr="002C3584">
        <w:rPr>
          <w:szCs w:val="23"/>
        </w:rPr>
        <w:t>, p.</w:t>
      </w:r>
      <w:r w:rsidR="009A708E" w:rsidRPr="002C3584">
        <w:rPr>
          <w:szCs w:val="23"/>
        </w:rPr>
        <w:t xml:space="preserve"> 679</w:t>
      </w:r>
      <w:r w:rsidR="00DE5F60" w:rsidRPr="002C3584">
        <w:rPr>
          <w:szCs w:val="23"/>
        </w:rPr>
        <w:t xml:space="preserve">). Moreover, Question 4 also included the Cognitive Symptom Checklist for </w:t>
      </w:r>
      <w:r w:rsidRPr="002C3584">
        <w:rPr>
          <w:szCs w:val="23"/>
        </w:rPr>
        <w:t>CDC’s ACE (</w:t>
      </w:r>
      <w:proofErr w:type="spellStart"/>
      <w:r w:rsidRPr="002C3584">
        <w:rPr>
          <w:szCs w:val="23"/>
        </w:rPr>
        <w:t>Gioia</w:t>
      </w:r>
      <w:proofErr w:type="spellEnd"/>
      <w:r w:rsidRPr="002C3584">
        <w:rPr>
          <w:szCs w:val="23"/>
        </w:rPr>
        <w:t xml:space="preserve"> &amp; Collins, 2006). Question 5 inquired about “physical difficulties” experienced that are included in the Physical Symptom Checklist of the CDC’s ACE (</w:t>
      </w:r>
      <w:proofErr w:type="spellStart"/>
      <w:r w:rsidRPr="002C3584">
        <w:rPr>
          <w:szCs w:val="23"/>
        </w:rPr>
        <w:t>Gioia</w:t>
      </w:r>
      <w:proofErr w:type="spellEnd"/>
      <w:r w:rsidRPr="002C3584">
        <w:rPr>
          <w:szCs w:val="23"/>
        </w:rPr>
        <w:t xml:space="preserve"> &amp; Collins, 2006) and also evaluates the presence of Criteria B for neurocognitive disorders (APA, 2022). </w:t>
      </w:r>
    </w:p>
    <w:p w14:paraId="7254AAF8" w14:textId="5B7C924B" w:rsidR="007C7F5F" w:rsidRPr="002C3584" w:rsidRDefault="007C7F5F" w:rsidP="00123614">
      <w:pPr>
        <w:spacing w:line="480" w:lineRule="auto"/>
        <w:ind w:firstLine="720"/>
        <w:contextualSpacing/>
        <w:rPr>
          <w:szCs w:val="23"/>
        </w:rPr>
      </w:pPr>
      <w:r w:rsidRPr="002C3584">
        <w:rPr>
          <w:szCs w:val="23"/>
        </w:rPr>
        <w:t xml:space="preserve">For Questions </w:t>
      </w:r>
      <w:r w:rsidR="00030056" w:rsidRPr="002C3584">
        <w:rPr>
          <w:szCs w:val="23"/>
        </w:rPr>
        <w:t xml:space="preserve">6, 7, 8, respondents were asked if they had ever had a lifetime experience of any of the listed events. Question 6 inquired about involvements in the justice system; the anchors were retrieved from the </w:t>
      </w:r>
      <w:proofErr w:type="spellStart"/>
      <w:r w:rsidR="00030056" w:rsidRPr="002C3584">
        <w:rPr>
          <w:szCs w:val="23"/>
        </w:rPr>
        <w:t>MediCaid</w:t>
      </w:r>
      <w:proofErr w:type="spellEnd"/>
      <w:r w:rsidR="00030056" w:rsidRPr="002C3584">
        <w:rPr>
          <w:szCs w:val="23"/>
        </w:rPr>
        <w:t xml:space="preserve"> Home and Community-based Services </w:t>
      </w:r>
      <w:r w:rsidR="00FE7936" w:rsidRPr="002C3584">
        <w:rPr>
          <w:szCs w:val="23"/>
        </w:rPr>
        <w:t xml:space="preserve">(HCBS) </w:t>
      </w:r>
      <w:r w:rsidR="00030056" w:rsidRPr="002C3584">
        <w:rPr>
          <w:szCs w:val="23"/>
        </w:rPr>
        <w:t xml:space="preserve">Menu </w:t>
      </w:r>
      <w:r w:rsidR="00FE7936" w:rsidRPr="002C3584">
        <w:rPr>
          <w:szCs w:val="23"/>
        </w:rPr>
        <w:t>published as a result of the enhanced Federal funds released to the Department of Rehabilitation in California to establish the HCBS TBI-waiver. Question 7 inquired about the risk factors most directly associated with homelessness (</w:t>
      </w:r>
      <w:proofErr w:type="spellStart"/>
      <w:r w:rsidR="00FE7936" w:rsidRPr="002C3584">
        <w:rPr>
          <w:szCs w:val="23"/>
        </w:rPr>
        <w:t>Stubb</w:t>
      </w:r>
      <w:proofErr w:type="spellEnd"/>
      <w:r w:rsidR="00FE7936" w:rsidRPr="002C3584">
        <w:rPr>
          <w:szCs w:val="23"/>
        </w:rPr>
        <w:t xml:space="preserve"> et al., 2019). Question 8 inquired about activities of </w:t>
      </w:r>
      <w:r w:rsidR="00FE7936" w:rsidRPr="002C3584">
        <w:rPr>
          <w:szCs w:val="23"/>
        </w:rPr>
        <w:lastRenderedPageBreak/>
        <w:t>decompensation as defined by the Social Security Administration that were most related to work instability and difficulties related to maintaining Substantial Gainful Activity</w:t>
      </w:r>
      <w:r w:rsidR="003559FA">
        <w:rPr>
          <w:szCs w:val="23"/>
        </w:rPr>
        <w:t>.</w:t>
      </w:r>
    </w:p>
    <w:p w14:paraId="2A5DB52B" w14:textId="79517F15" w:rsidR="002543C6" w:rsidRPr="002C3584" w:rsidRDefault="00694238" w:rsidP="00123614">
      <w:pPr>
        <w:spacing w:line="480" w:lineRule="auto"/>
        <w:ind w:firstLine="720"/>
        <w:contextualSpacing/>
        <w:rPr>
          <w:szCs w:val="23"/>
        </w:rPr>
      </w:pPr>
      <w:r w:rsidRPr="002C3584">
        <w:rPr>
          <w:szCs w:val="23"/>
        </w:rPr>
        <w:t xml:space="preserve">For Questions 9, 10, 11, 12, and 13, respondents were asked if they about their </w:t>
      </w:r>
      <w:proofErr w:type="gramStart"/>
      <w:r w:rsidRPr="002C3584">
        <w:rPr>
          <w:szCs w:val="23"/>
        </w:rPr>
        <w:t>current status</w:t>
      </w:r>
      <w:proofErr w:type="gramEnd"/>
      <w:r w:rsidRPr="002C3584">
        <w:rPr>
          <w:szCs w:val="23"/>
        </w:rPr>
        <w:t>. Question</w:t>
      </w:r>
      <w:r w:rsidR="00A16F51" w:rsidRPr="002C3584">
        <w:rPr>
          <w:szCs w:val="23"/>
        </w:rPr>
        <w:t xml:space="preserve"> </w:t>
      </w:r>
      <w:r w:rsidRPr="002C3584">
        <w:rPr>
          <w:szCs w:val="23"/>
        </w:rPr>
        <w:t xml:space="preserve">9 </w:t>
      </w:r>
      <w:r w:rsidR="007119D8">
        <w:rPr>
          <w:szCs w:val="23"/>
        </w:rPr>
        <w:t>was</w:t>
      </w:r>
      <w:r w:rsidR="002543C6" w:rsidRPr="002C3584">
        <w:rPr>
          <w:szCs w:val="23"/>
        </w:rPr>
        <w:t xml:space="preserve"> a dichotomous question asking if the respondent </w:t>
      </w:r>
      <w:r w:rsidR="00A5259D" w:rsidRPr="002C3584">
        <w:rPr>
          <w:szCs w:val="23"/>
        </w:rPr>
        <w:t>is</w:t>
      </w:r>
      <w:r w:rsidR="002543C6" w:rsidRPr="002C3584">
        <w:rPr>
          <w:szCs w:val="23"/>
        </w:rPr>
        <w:t xml:space="preserve"> currently receiving regular assistance from a family member, relative, spouse, friend, or non-relative for a health-related (physical or mental) disability. Question 11 </w:t>
      </w:r>
      <w:r w:rsidR="00A5259D" w:rsidRPr="002C3584">
        <w:rPr>
          <w:szCs w:val="23"/>
        </w:rPr>
        <w:t>ask</w:t>
      </w:r>
      <w:r w:rsidR="007119D8">
        <w:rPr>
          <w:szCs w:val="23"/>
        </w:rPr>
        <w:t>ed</w:t>
      </w:r>
      <w:r w:rsidR="002543C6" w:rsidRPr="002C3584">
        <w:rPr>
          <w:szCs w:val="23"/>
        </w:rPr>
        <w:t xml:space="preserve"> about whether the respondent is currently providing regular assistance to a family member, relative, spouse, friend, or non-relative for a disability related to a head or neck injury. Questions 10 and 12 ask</w:t>
      </w:r>
      <w:r w:rsidR="007119D8">
        <w:rPr>
          <w:szCs w:val="23"/>
        </w:rPr>
        <w:t>ed</w:t>
      </w:r>
      <w:r w:rsidR="002543C6" w:rsidRPr="002C3584">
        <w:rPr>
          <w:szCs w:val="23"/>
        </w:rPr>
        <w:t xml:space="preserve"> for the number of caregiving hours received or provided, respectively.</w:t>
      </w:r>
      <w:r w:rsidR="007E1B11" w:rsidRPr="002C3584">
        <w:rPr>
          <w:szCs w:val="23"/>
        </w:rPr>
        <w:t xml:space="preserve"> Question 13 </w:t>
      </w:r>
      <w:r w:rsidR="00A5259D" w:rsidRPr="002C3584">
        <w:rPr>
          <w:szCs w:val="23"/>
        </w:rPr>
        <w:t>ask</w:t>
      </w:r>
      <w:r w:rsidR="007119D8">
        <w:rPr>
          <w:szCs w:val="23"/>
        </w:rPr>
        <w:t>ed</w:t>
      </w:r>
      <w:r w:rsidR="007E1B11" w:rsidRPr="002C3584">
        <w:rPr>
          <w:szCs w:val="23"/>
        </w:rPr>
        <w:t xml:space="preserve"> about the type of medical or health-care insurance respondents are currently receiving (e.g., Medicaid, Medicare, commercial).</w:t>
      </w:r>
    </w:p>
    <w:p w14:paraId="572BC2CD" w14:textId="165F847C" w:rsidR="00006D3D" w:rsidRPr="002C3584" w:rsidRDefault="00F62F88" w:rsidP="006D3B3A">
      <w:pPr>
        <w:spacing w:line="480" w:lineRule="auto"/>
        <w:ind w:firstLine="720"/>
        <w:contextualSpacing/>
        <w:rPr>
          <w:szCs w:val="23"/>
        </w:rPr>
      </w:pPr>
      <w:r w:rsidRPr="002C3584">
        <w:rPr>
          <w:szCs w:val="23"/>
        </w:rPr>
        <w:t>The remaining nine questions screen</w:t>
      </w:r>
      <w:r w:rsidR="007119D8">
        <w:rPr>
          <w:szCs w:val="23"/>
        </w:rPr>
        <w:t>ed</w:t>
      </w:r>
      <w:r w:rsidRPr="002C3584">
        <w:rPr>
          <w:szCs w:val="23"/>
        </w:rPr>
        <w:t xml:space="preserve"> for lifetime head or neck trauma to estimate the presence or absence of </w:t>
      </w:r>
      <w:r w:rsidR="009200ED" w:rsidRPr="002C3584">
        <w:rPr>
          <w:szCs w:val="23"/>
        </w:rPr>
        <w:t xml:space="preserve">concussion or </w:t>
      </w:r>
      <w:r w:rsidR="007119D8">
        <w:rPr>
          <w:szCs w:val="23"/>
        </w:rPr>
        <w:t>TBI</w:t>
      </w:r>
      <w:r w:rsidR="009200ED" w:rsidRPr="002C3584">
        <w:rPr>
          <w:szCs w:val="23"/>
        </w:rPr>
        <w:t xml:space="preserve">. </w:t>
      </w:r>
      <w:r w:rsidRPr="002C3584">
        <w:rPr>
          <w:szCs w:val="23"/>
        </w:rPr>
        <w:t>Questions 14, 16, 17, and 18</w:t>
      </w:r>
      <w:r w:rsidR="009200ED" w:rsidRPr="002C3584">
        <w:rPr>
          <w:szCs w:val="23"/>
        </w:rPr>
        <w:t xml:space="preserve"> </w:t>
      </w:r>
      <w:r w:rsidR="007119D8">
        <w:rPr>
          <w:szCs w:val="23"/>
        </w:rPr>
        <w:t>were</w:t>
      </w:r>
      <w:r w:rsidR="009200ED" w:rsidRPr="002C3584">
        <w:rPr>
          <w:szCs w:val="23"/>
        </w:rPr>
        <w:t xml:space="preserve"> designed to estimate the presence and severity of head or neck trauma as defined by </w:t>
      </w:r>
      <w:r w:rsidR="00964229" w:rsidRPr="002C3584">
        <w:rPr>
          <w:szCs w:val="23"/>
        </w:rPr>
        <w:t>Craig Hospital in Colorado, which is the lead site that collects data from the</w:t>
      </w:r>
      <w:r w:rsidR="00092FE4" w:rsidRPr="002C3584">
        <w:rPr>
          <w:szCs w:val="23"/>
        </w:rPr>
        <w:t xml:space="preserve"> 16 sites</w:t>
      </w:r>
      <w:r w:rsidR="00964229" w:rsidRPr="002C3584">
        <w:rPr>
          <w:szCs w:val="23"/>
        </w:rPr>
        <w:t xml:space="preserve"> that create the </w:t>
      </w:r>
      <w:r w:rsidR="009200ED" w:rsidRPr="002C3584">
        <w:rPr>
          <w:szCs w:val="23"/>
        </w:rPr>
        <w:t>TBI Model Systems (</w:t>
      </w:r>
      <w:proofErr w:type="spellStart"/>
      <w:r w:rsidR="00964229" w:rsidRPr="002C3584">
        <w:rPr>
          <w:szCs w:val="23"/>
        </w:rPr>
        <w:t>Eagye</w:t>
      </w:r>
      <w:proofErr w:type="spellEnd"/>
      <w:r w:rsidR="00964229" w:rsidRPr="002C3584">
        <w:rPr>
          <w:szCs w:val="23"/>
        </w:rPr>
        <w:t xml:space="preserve">, 2021). Severity of mild head trauma </w:t>
      </w:r>
      <w:r w:rsidR="007119D8">
        <w:rPr>
          <w:szCs w:val="23"/>
        </w:rPr>
        <w:t>was</w:t>
      </w:r>
      <w:r w:rsidR="00964229" w:rsidRPr="002C3584">
        <w:rPr>
          <w:szCs w:val="23"/>
        </w:rPr>
        <w:t xml:space="preserve"> furthered separated into Grades I, II, or III as defined by the Boston</w:t>
      </w:r>
      <w:r w:rsidR="00A13C25" w:rsidRPr="002C3584">
        <w:rPr>
          <w:szCs w:val="23"/>
        </w:rPr>
        <w:t xml:space="preserve"> Assessment of TBI-Lifetime (</w:t>
      </w:r>
      <w:r w:rsidR="009200ED" w:rsidRPr="002C3584">
        <w:rPr>
          <w:szCs w:val="23"/>
        </w:rPr>
        <w:t>BAT-L</w:t>
      </w:r>
      <w:r w:rsidR="00A13C25" w:rsidRPr="002C3584">
        <w:rPr>
          <w:szCs w:val="23"/>
        </w:rPr>
        <w:t>, Translational Research Center for TBI and Stress Disorders, 2021).</w:t>
      </w:r>
      <w:r w:rsidR="009200ED" w:rsidRPr="002C3584">
        <w:rPr>
          <w:szCs w:val="23"/>
        </w:rPr>
        <w:t xml:space="preserve"> Question 15 </w:t>
      </w:r>
      <w:r w:rsidR="00A5259D" w:rsidRPr="002C3584">
        <w:rPr>
          <w:szCs w:val="23"/>
        </w:rPr>
        <w:t>ask</w:t>
      </w:r>
      <w:r w:rsidR="007119D8">
        <w:rPr>
          <w:szCs w:val="23"/>
        </w:rPr>
        <w:t>ed</w:t>
      </w:r>
      <w:r w:rsidR="009200ED" w:rsidRPr="002C3584">
        <w:rPr>
          <w:szCs w:val="23"/>
        </w:rPr>
        <w:t xml:space="preserve"> about the presence of alcohol during any lifetime head or neck injury</w:t>
      </w:r>
      <w:r w:rsidR="00A5259D" w:rsidRPr="002C3584">
        <w:rPr>
          <w:szCs w:val="23"/>
        </w:rPr>
        <w:t xml:space="preserve"> (</w:t>
      </w:r>
      <w:commentRangeStart w:id="5"/>
      <w:commentRangeStart w:id="6"/>
      <w:r w:rsidR="00A5259D" w:rsidRPr="002C3584">
        <w:rPr>
          <w:szCs w:val="23"/>
        </w:rPr>
        <w:t>e.g., California excise tax</w:t>
      </w:r>
      <w:commentRangeEnd w:id="5"/>
      <w:r w:rsidR="007119D8">
        <w:rPr>
          <w:rStyle w:val="CommentReference"/>
          <w:rFonts w:asciiTheme="minorHAnsi" w:hAnsiTheme="minorHAnsi"/>
        </w:rPr>
        <w:commentReference w:id="5"/>
      </w:r>
      <w:commentRangeEnd w:id="6"/>
      <w:r w:rsidR="003559FA">
        <w:rPr>
          <w:rStyle w:val="CommentReference"/>
          <w:rFonts w:asciiTheme="minorHAnsi" w:hAnsiTheme="minorHAnsi"/>
        </w:rPr>
        <w:commentReference w:id="6"/>
      </w:r>
      <w:r w:rsidR="00A5259D" w:rsidRPr="002C3584">
        <w:rPr>
          <w:szCs w:val="23"/>
        </w:rPr>
        <w:t>)</w:t>
      </w:r>
      <w:r w:rsidR="009200ED" w:rsidRPr="002C3584">
        <w:rPr>
          <w:szCs w:val="23"/>
        </w:rPr>
        <w:t xml:space="preserve">. Question 19 </w:t>
      </w:r>
      <w:r w:rsidR="00A5259D" w:rsidRPr="002C3584">
        <w:rPr>
          <w:szCs w:val="23"/>
        </w:rPr>
        <w:t>ask</w:t>
      </w:r>
      <w:r w:rsidR="007119D8">
        <w:rPr>
          <w:szCs w:val="23"/>
        </w:rPr>
        <w:t>ed</w:t>
      </w:r>
      <w:r w:rsidR="009200ED" w:rsidRPr="002C3584">
        <w:rPr>
          <w:szCs w:val="23"/>
        </w:rPr>
        <w:t xml:space="preserve"> about any formal diagnoses of concussion or </w:t>
      </w:r>
      <w:r w:rsidR="007119D8">
        <w:rPr>
          <w:szCs w:val="23"/>
        </w:rPr>
        <w:t xml:space="preserve">TBI </w:t>
      </w:r>
      <w:r w:rsidR="009200ED" w:rsidRPr="002C3584">
        <w:rPr>
          <w:szCs w:val="23"/>
        </w:rPr>
        <w:t>to estimate the degree of disparity between medical identification and actual occurrence. Questions 20, 21, and 22,</w:t>
      </w:r>
      <w:r w:rsidR="007119D8">
        <w:rPr>
          <w:szCs w:val="23"/>
        </w:rPr>
        <w:t xml:space="preserve"> </w:t>
      </w:r>
      <w:proofErr w:type="gramStart"/>
      <w:r w:rsidR="007119D8">
        <w:rPr>
          <w:szCs w:val="23"/>
        </w:rPr>
        <w:t>were</w:t>
      </w:r>
      <w:proofErr w:type="gramEnd"/>
      <w:r w:rsidR="009200ED" w:rsidRPr="002C3584">
        <w:rPr>
          <w:szCs w:val="23"/>
        </w:rPr>
        <w:t xml:space="preserve"> are all categorical anchors designed to evaluate the etiology of </w:t>
      </w:r>
      <w:r w:rsidR="00A5259D" w:rsidRPr="002C3584">
        <w:rPr>
          <w:szCs w:val="23"/>
        </w:rPr>
        <w:t>any</w:t>
      </w:r>
      <w:r w:rsidR="009200ED" w:rsidRPr="002C3584">
        <w:rPr>
          <w:szCs w:val="23"/>
        </w:rPr>
        <w:t xml:space="preserve"> head or neck injury </w:t>
      </w:r>
      <w:r w:rsidR="00A5259D" w:rsidRPr="002C3584">
        <w:rPr>
          <w:szCs w:val="23"/>
        </w:rPr>
        <w:t xml:space="preserve">reported in this representative </w:t>
      </w:r>
      <w:r w:rsidR="00A5259D" w:rsidRPr="002C3584">
        <w:rPr>
          <w:szCs w:val="23"/>
        </w:rPr>
        <w:lastRenderedPageBreak/>
        <w:t xml:space="preserve">Californian sample </w:t>
      </w:r>
      <w:r w:rsidR="009200ED" w:rsidRPr="002C3584">
        <w:rPr>
          <w:szCs w:val="23"/>
        </w:rPr>
        <w:t>(e.g., falls, sports, motor vehicle accident, interpersonal violence, any activity during military service).</w:t>
      </w:r>
    </w:p>
    <w:p w14:paraId="2DFC258C" w14:textId="4E8BEED9" w:rsidR="00D2232B" w:rsidRPr="005F0273" w:rsidRDefault="00D2232B" w:rsidP="005F0273">
      <w:pPr>
        <w:pStyle w:val="Heading2"/>
        <w:rPr>
          <w:color w:val="auto"/>
        </w:rPr>
      </w:pPr>
      <w:r w:rsidRPr="005F0273">
        <w:rPr>
          <w:color w:val="auto"/>
        </w:rPr>
        <w:t>Procedure</w:t>
      </w:r>
    </w:p>
    <w:p w14:paraId="096E4CFD" w14:textId="6399BDD0" w:rsidR="007D25E0" w:rsidRPr="002C3584" w:rsidRDefault="007D25E0" w:rsidP="00D77815">
      <w:pPr>
        <w:spacing w:line="480" w:lineRule="auto"/>
        <w:ind w:firstLine="720"/>
        <w:contextualSpacing/>
        <w:rPr>
          <w:szCs w:val="23"/>
        </w:rPr>
      </w:pPr>
      <w:r w:rsidRPr="002C3584">
        <w:rPr>
          <w:szCs w:val="23"/>
        </w:rPr>
        <w:t xml:space="preserve">The present </w:t>
      </w:r>
      <w:r w:rsidR="007119D8">
        <w:rPr>
          <w:szCs w:val="23"/>
        </w:rPr>
        <w:t>r</w:t>
      </w:r>
      <w:r w:rsidR="007641BD" w:rsidRPr="002C3584">
        <w:rPr>
          <w:szCs w:val="23"/>
        </w:rPr>
        <w:t xml:space="preserve">etrospective </w:t>
      </w:r>
      <w:r w:rsidR="007119D8">
        <w:rPr>
          <w:szCs w:val="23"/>
        </w:rPr>
        <w:t>c</w:t>
      </w:r>
      <w:r w:rsidR="007641BD" w:rsidRPr="002C3584">
        <w:rPr>
          <w:szCs w:val="23"/>
        </w:rPr>
        <w:t xml:space="preserve">ohort </w:t>
      </w:r>
      <w:r w:rsidR="007119D8">
        <w:rPr>
          <w:szCs w:val="23"/>
        </w:rPr>
        <w:t>s</w:t>
      </w:r>
      <w:r w:rsidR="007641BD" w:rsidRPr="002C3584">
        <w:rPr>
          <w:szCs w:val="23"/>
        </w:rPr>
        <w:t>tudy</w:t>
      </w:r>
      <w:r w:rsidRPr="002C3584">
        <w:rPr>
          <w:szCs w:val="23"/>
        </w:rPr>
        <w:t xml:space="preserve"> is establishing an initial surveillance study by utilizing the California State Survey Panel (</w:t>
      </w:r>
      <w:r w:rsidR="006F6AD5" w:rsidRPr="002C3584">
        <w:rPr>
          <w:szCs w:val="23"/>
        </w:rPr>
        <w:t>CALSPEAK</w:t>
      </w:r>
      <w:r w:rsidRPr="002C3584">
        <w:rPr>
          <w:szCs w:val="23"/>
        </w:rPr>
        <w:t>)</w:t>
      </w:r>
      <w:r w:rsidR="006D3B3A" w:rsidRPr="002C3584">
        <w:rPr>
          <w:szCs w:val="23"/>
        </w:rPr>
        <w:t>, the first California-focused panel that uses probability-based sampling methods,</w:t>
      </w:r>
      <w:r w:rsidRPr="002C3584">
        <w:rPr>
          <w:szCs w:val="23"/>
        </w:rPr>
        <w:t xml:space="preserve"> to collect high-quality data that is secured, HIPAA-</w:t>
      </w:r>
      <w:r w:rsidR="007361B4" w:rsidRPr="002C3584">
        <w:rPr>
          <w:szCs w:val="23"/>
        </w:rPr>
        <w:t>compliant</w:t>
      </w:r>
      <w:r w:rsidRPr="002C3584">
        <w:rPr>
          <w:szCs w:val="23"/>
        </w:rPr>
        <w:t xml:space="preserve">, and representative of the state’s population. </w:t>
      </w:r>
      <w:r w:rsidR="006F6AD5" w:rsidRPr="002C3584">
        <w:rPr>
          <w:szCs w:val="23"/>
        </w:rPr>
        <w:t>CALSPEAK</w:t>
      </w:r>
      <w:r w:rsidRPr="002C3584">
        <w:rPr>
          <w:szCs w:val="23"/>
        </w:rPr>
        <w:t xml:space="preserve"> recruits a random sample of Californians using three primary methods, such that virtually everyone in the population has a non-zero chance of being </w:t>
      </w:r>
      <w:r w:rsidR="007361B4" w:rsidRPr="002C3584">
        <w:rPr>
          <w:szCs w:val="23"/>
        </w:rPr>
        <w:t>recruited but</w:t>
      </w:r>
      <w:r w:rsidRPr="002C3584">
        <w:rPr>
          <w:szCs w:val="23"/>
        </w:rPr>
        <w:t xml:space="preserve"> must voluntarily elect to participate. First, a mixed-mode random probability selection method was applied using the United States Postal Service Delivery Sequence File (geographically stratified by population density; </w:t>
      </w:r>
      <w:r w:rsidRPr="002C3584">
        <w:rPr>
          <w:i/>
          <w:iCs/>
          <w:szCs w:val="23"/>
        </w:rPr>
        <w:t xml:space="preserve">n </w:t>
      </w:r>
      <w:r w:rsidRPr="002C3584">
        <w:rPr>
          <w:szCs w:val="23"/>
        </w:rPr>
        <w:t>= 25,000) and comprehensive telephone number listings with Computer Assisted Telephone Interviewing technology (</w:t>
      </w:r>
      <w:r w:rsidR="00162CDF" w:rsidRPr="002C3584">
        <w:rPr>
          <w:szCs w:val="23"/>
        </w:rPr>
        <w:t>65% mobile/cellular;</w:t>
      </w:r>
      <w:r w:rsidR="00162CDF" w:rsidRPr="002C3584">
        <w:rPr>
          <w:i/>
          <w:iCs/>
          <w:szCs w:val="23"/>
        </w:rPr>
        <w:t xml:space="preserve"> </w:t>
      </w:r>
      <w:r w:rsidRPr="002C3584">
        <w:rPr>
          <w:i/>
          <w:iCs/>
          <w:szCs w:val="23"/>
        </w:rPr>
        <w:t xml:space="preserve">n </w:t>
      </w:r>
      <w:r w:rsidRPr="002C3584">
        <w:rPr>
          <w:szCs w:val="23"/>
        </w:rPr>
        <w:t>= 15,000). Second, California</w:t>
      </w:r>
      <w:r w:rsidR="00162CDF" w:rsidRPr="002C3584">
        <w:rPr>
          <w:szCs w:val="23"/>
        </w:rPr>
        <w:t>n</w:t>
      </w:r>
      <w:r w:rsidRPr="002C3584">
        <w:rPr>
          <w:szCs w:val="23"/>
        </w:rPr>
        <w:t xml:space="preserve"> participants (</w:t>
      </w:r>
      <w:r w:rsidRPr="002C3584">
        <w:rPr>
          <w:i/>
          <w:iCs/>
          <w:szCs w:val="23"/>
        </w:rPr>
        <w:t xml:space="preserve">n </w:t>
      </w:r>
      <w:r w:rsidRPr="002C3584">
        <w:rPr>
          <w:szCs w:val="23"/>
        </w:rPr>
        <w:t>= 10,000) of the National Behavioral Risk Factor Surveillance Survey (BRFSS; established by the CDC in 1984) were recruited using a random digit-dialing telephone survey (mobile</w:t>
      </w:r>
      <w:r w:rsidR="00162CDF" w:rsidRPr="002C3584">
        <w:rPr>
          <w:szCs w:val="23"/>
        </w:rPr>
        <w:t xml:space="preserve">, </w:t>
      </w:r>
      <w:r w:rsidRPr="002C3584">
        <w:rPr>
          <w:szCs w:val="23"/>
        </w:rPr>
        <w:t>cellular, landline) by the Public Health Survey Research Program at California State University, Sacramento. Lastly, a quota-based recruitment method was applied using California demographic statistics obtained from voter registration based on age, gender, race, ethnicity, income, and political party identification.</w:t>
      </w:r>
    </w:p>
    <w:p w14:paraId="47E3ECEA" w14:textId="2DB66549" w:rsidR="006D3B3A" w:rsidRPr="002C3584" w:rsidRDefault="006D3B3A" w:rsidP="006D3B3A">
      <w:pPr>
        <w:spacing w:line="480" w:lineRule="auto"/>
        <w:ind w:firstLine="720"/>
        <w:contextualSpacing/>
        <w:rPr>
          <w:szCs w:val="23"/>
        </w:rPr>
      </w:pPr>
      <w:r w:rsidRPr="002C3584">
        <w:rPr>
          <w:szCs w:val="23"/>
        </w:rPr>
        <w:t xml:space="preserve">During recruitment (and at the beginning of each subsequent survey), panelists learn that their participation is entirely voluntary and that they have the right to opt out at any time. They also learn that their survey responses are strictly confidential. Immediately upon agreeing to join the panel, panelists complete a 15-minute survey that includes questions pertaining to demographics, political identity, background, interests, personality, and household composition. This profile information is merged with future survey data collections, thereby reducing survey </w:t>
      </w:r>
      <w:r w:rsidRPr="002C3584">
        <w:rPr>
          <w:szCs w:val="23"/>
        </w:rPr>
        <w:lastRenderedPageBreak/>
        <w:t>burden (i.e.</w:t>
      </w:r>
      <w:r w:rsidR="00771628">
        <w:rPr>
          <w:szCs w:val="23"/>
        </w:rPr>
        <w:t>,</w:t>
      </w:r>
      <w:r w:rsidRPr="002C3584">
        <w:rPr>
          <w:szCs w:val="23"/>
        </w:rPr>
        <w:t xml:space="preserve"> redundant questioning) on panelists over time. </w:t>
      </w:r>
      <w:r w:rsidR="006F6AD5" w:rsidRPr="002C3584">
        <w:rPr>
          <w:szCs w:val="23"/>
        </w:rPr>
        <w:t>CALSPEAK</w:t>
      </w:r>
      <w:r w:rsidRPr="002C3584">
        <w:rPr>
          <w:szCs w:val="23"/>
        </w:rPr>
        <w:t xml:space="preserve"> uses the Qualtrics Research Suite online survey platform to administer surveys. The research team optimizes all </w:t>
      </w:r>
      <w:r w:rsidR="006F6AD5" w:rsidRPr="002C3584">
        <w:rPr>
          <w:szCs w:val="23"/>
        </w:rPr>
        <w:t>CALSPEAK</w:t>
      </w:r>
      <w:r w:rsidRPr="002C3584">
        <w:rPr>
          <w:szCs w:val="23"/>
        </w:rPr>
        <w:t xml:space="preserve"> surveys for completion on mobile phones and tablets and provides Spanish translations.</w:t>
      </w:r>
    </w:p>
    <w:p w14:paraId="444CE42E" w14:textId="16F5C04F" w:rsidR="006D3B3A" w:rsidRPr="002C3584" w:rsidRDefault="006D3B3A" w:rsidP="006D3B3A">
      <w:pPr>
        <w:spacing w:line="480" w:lineRule="auto"/>
        <w:ind w:firstLine="720"/>
        <w:contextualSpacing/>
        <w:rPr>
          <w:szCs w:val="23"/>
        </w:rPr>
      </w:pPr>
      <w:r w:rsidRPr="002C3584">
        <w:rPr>
          <w:szCs w:val="23"/>
        </w:rPr>
        <w:t xml:space="preserve">All surveys include “attention check” questions, embedded in the survey to ensure that panelists are maintaining attention throughout completion. Completed surveys that fail the attention check questions or that were completed in less than one-half of the mean completion time are excluded. Qualtrics also prevents “ballot box stuffing” - individual IP addresses submitting more than one survey. Every time a </w:t>
      </w:r>
      <w:r w:rsidR="006F6AD5" w:rsidRPr="002C3584">
        <w:rPr>
          <w:szCs w:val="23"/>
        </w:rPr>
        <w:t>CALSPEAK</w:t>
      </w:r>
      <w:r w:rsidRPr="002C3584">
        <w:rPr>
          <w:szCs w:val="23"/>
        </w:rPr>
        <w:t xml:space="preserve"> panelist completes a survey, s/he receives a $5 Tango gift card, delivered directly to his or her email inbox (or home), which is redeemable at most online retailers. The research team designs </w:t>
      </w:r>
      <w:r w:rsidR="006F6AD5" w:rsidRPr="002C3584">
        <w:rPr>
          <w:szCs w:val="23"/>
        </w:rPr>
        <w:t>CALSPEAK</w:t>
      </w:r>
      <w:r w:rsidRPr="002C3584">
        <w:rPr>
          <w:szCs w:val="23"/>
        </w:rPr>
        <w:t xml:space="preserve"> surveys to be completed in under ten minutes. When the mean completion time for a survey exceeds 15 minutes, </w:t>
      </w:r>
      <w:r w:rsidR="006F6AD5" w:rsidRPr="002C3584">
        <w:rPr>
          <w:szCs w:val="23"/>
        </w:rPr>
        <w:t>CALSPEAK</w:t>
      </w:r>
      <w:r w:rsidRPr="002C3584">
        <w:rPr>
          <w:szCs w:val="23"/>
        </w:rPr>
        <w:t xml:space="preserve"> panel administrators award </w:t>
      </w:r>
      <w:proofErr w:type="gramStart"/>
      <w:r w:rsidRPr="002C3584">
        <w:rPr>
          <w:szCs w:val="23"/>
        </w:rPr>
        <w:t>respondents</w:t>
      </w:r>
      <w:proofErr w:type="gramEnd"/>
      <w:r w:rsidRPr="002C3584">
        <w:rPr>
          <w:szCs w:val="23"/>
        </w:rPr>
        <w:t xml:space="preserve"> larger incentives. Finally, </w:t>
      </w:r>
      <w:r w:rsidR="006F6AD5" w:rsidRPr="002C3584">
        <w:rPr>
          <w:szCs w:val="23"/>
        </w:rPr>
        <w:t>CALSPEAK</w:t>
      </w:r>
      <w:r w:rsidRPr="002C3584">
        <w:rPr>
          <w:szCs w:val="23"/>
        </w:rPr>
        <w:t xml:space="preserve"> researchers follow AAPOR standards for response rate reporting, as published in AAPOR’s Standard Definitions. Thus, we include contact rates, break-off rates, and overall response rates, as applied to each stage of the respondent participation process (panel recruitment, retention, and individual survey sub-sampling). The present survey was reviewed and approved by California State University, Sacramento’s </w:t>
      </w:r>
      <w:r w:rsidR="00807709">
        <w:rPr>
          <w:szCs w:val="23"/>
        </w:rPr>
        <w:t>Institutional Review Board</w:t>
      </w:r>
      <w:r w:rsidRPr="002C3584">
        <w:rPr>
          <w:szCs w:val="23"/>
        </w:rPr>
        <w:t>.</w:t>
      </w:r>
    </w:p>
    <w:p w14:paraId="27A9EF83" w14:textId="6FC7ECDD" w:rsidR="00757631" w:rsidRPr="00247B86" w:rsidRDefault="00092FE4" w:rsidP="00247B86">
      <w:pPr>
        <w:spacing w:line="480" w:lineRule="auto"/>
        <w:ind w:firstLine="720"/>
        <w:rPr>
          <w:bCs/>
        </w:rPr>
      </w:pPr>
      <w:r w:rsidRPr="002C3584">
        <w:t xml:space="preserve">Weights for this survey were computed using the </w:t>
      </w:r>
      <w:proofErr w:type="spellStart"/>
      <w:r w:rsidRPr="002C3584">
        <w:rPr>
          <w:i/>
        </w:rPr>
        <w:t>WgtAdjust</w:t>
      </w:r>
      <w:proofErr w:type="spellEnd"/>
      <w:r w:rsidRPr="002C3584">
        <w:t xml:space="preserve"> procedure of SUD</w:t>
      </w:r>
      <w:r w:rsidRPr="00317F65">
        <w:t xml:space="preserve">AAN, </w:t>
      </w:r>
      <w:r w:rsidRPr="00317F65">
        <w:rPr>
          <w:szCs w:val="24"/>
        </w:rPr>
        <w:t>which relies on a constrained logistic model to predict the likelihood of responding as a function of a set of explanatory variables</w:t>
      </w:r>
      <w:r w:rsidRPr="00317F65">
        <w:rPr>
          <w:rStyle w:val="FootnoteReference"/>
        </w:rPr>
        <w:footnoteReference w:id="1"/>
      </w:r>
      <w:r w:rsidRPr="00317F65">
        <w:rPr>
          <w:szCs w:val="24"/>
        </w:rPr>
        <w:t xml:space="preserve">. These variables, which represent the geodemographic characteristics of adults residing in California, are summarized in </w:t>
      </w:r>
      <w:r w:rsidR="00807709">
        <w:rPr>
          <w:szCs w:val="24"/>
        </w:rPr>
        <w:t>T</w:t>
      </w:r>
      <w:r w:rsidRPr="00317F65">
        <w:rPr>
          <w:szCs w:val="24"/>
        </w:rPr>
        <w:t xml:space="preserve">ables </w:t>
      </w:r>
      <w:r w:rsidR="006F6AD5">
        <w:rPr>
          <w:szCs w:val="24"/>
        </w:rPr>
        <w:t>2</w:t>
      </w:r>
      <w:r w:rsidRPr="00317F65">
        <w:rPr>
          <w:szCs w:val="24"/>
        </w:rPr>
        <w:t xml:space="preserve"> - </w:t>
      </w:r>
      <w:r w:rsidR="006F6AD5">
        <w:rPr>
          <w:szCs w:val="24"/>
        </w:rPr>
        <w:t>7</w:t>
      </w:r>
      <w:r w:rsidRPr="00317F65">
        <w:rPr>
          <w:szCs w:val="24"/>
        </w:rPr>
        <w:t xml:space="preserve">. The needed </w:t>
      </w:r>
      <w:r w:rsidRPr="00317F65">
        <w:rPr>
          <w:szCs w:val="24"/>
        </w:rPr>
        <w:lastRenderedPageBreak/>
        <w:t>population benchmarks used for weighting were secured from the Current Population Survey (CPS) 2021 March Supplement.</w:t>
      </w:r>
      <w:r w:rsidR="006F6AD5">
        <w:t xml:space="preserve"> </w:t>
      </w:r>
      <w:r w:rsidRPr="00317F65">
        <w:t>In order to improve the stability of the resulting survey estimates, extreme weights were identified and trimmed at both ends of the weight distribution. This important gain in precision, however, is achieved at the expense of some minor diversions between weighted totals and their corresponding population benchmarks. In the final step, analysis weights were rescaled to sum to the total number of respondents for this survey (1,057).</w:t>
      </w:r>
      <w:r w:rsidR="006F6AD5">
        <w:t xml:space="preserve"> </w:t>
      </w:r>
      <w:r w:rsidRPr="00317F65">
        <w:rPr>
          <w:bCs/>
        </w:rPr>
        <w:t xml:space="preserve">It should be noted that before the weighting </w:t>
      </w:r>
      <w:proofErr w:type="spellStart"/>
      <w:r w:rsidRPr="00317F65">
        <w:rPr>
          <w:bCs/>
        </w:rPr>
        <w:t>process</w:t>
      </w:r>
      <w:r w:rsidR="006F6AD5">
        <w:rPr>
          <w:bCs/>
        </w:rPr>
        <w:t>began</w:t>
      </w:r>
      <w:proofErr w:type="spellEnd"/>
      <w:r w:rsidRPr="00317F65">
        <w:rPr>
          <w:bCs/>
        </w:rPr>
        <w:t xml:space="preserve">, missing values for all variables needed for </w:t>
      </w:r>
      <w:proofErr w:type="spellStart"/>
      <w:r w:rsidRPr="00317F65">
        <w:rPr>
          <w:bCs/>
        </w:rPr>
        <w:t>weighting</w:t>
      </w:r>
      <w:r w:rsidR="006F6AD5">
        <w:rPr>
          <w:bCs/>
        </w:rPr>
        <w:t>were</w:t>
      </w:r>
      <w:proofErr w:type="spellEnd"/>
      <w:r w:rsidRPr="00317F65">
        <w:rPr>
          <w:bCs/>
        </w:rPr>
        <w:t xml:space="preserve"> imputed. For this purpose, the </w:t>
      </w:r>
      <w:r w:rsidRPr="00317F65">
        <w:rPr>
          <w:bCs/>
          <w:i/>
          <w:iCs/>
        </w:rPr>
        <w:t>Survey Impute</w:t>
      </w:r>
      <w:r w:rsidRPr="00317F65">
        <w:rPr>
          <w:bCs/>
        </w:rPr>
        <w:t xml:space="preserve"> procedure of SAS </w:t>
      </w:r>
      <w:r w:rsidR="00807709">
        <w:rPr>
          <w:bCs/>
        </w:rPr>
        <w:t xml:space="preserve">(Statistical Analysis Software) </w:t>
      </w:r>
      <w:r w:rsidRPr="00317F65">
        <w:rPr>
          <w:bCs/>
        </w:rPr>
        <w:t xml:space="preserve">was used to select eligible donors based on a </w:t>
      </w:r>
      <w:r w:rsidRPr="00317F65">
        <w:rPr>
          <w:bCs/>
          <w:i/>
          <w:iCs/>
        </w:rPr>
        <w:t>hot-deck</w:t>
      </w:r>
      <w:r w:rsidRPr="00317F65">
        <w:rPr>
          <w:bCs/>
        </w:rPr>
        <w:t xml:space="preserve"> algorithm</w:t>
      </w:r>
      <w:r w:rsidRPr="00317F65">
        <w:rPr>
          <w:rStyle w:val="FootnoteReference"/>
          <w:szCs w:val="24"/>
        </w:rPr>
        <w:footnoteReference w:id="2"/>
      </w:r>
      <w:r w:rsidRPr="00317F65">
        <w:rPr>
          <w:bCs/>
        </w:rPr>
        <w:t>. As such, respondent counts in the following tables are based on imputed variables, which are what should be used for all subsequent data analyses.</w:t>
      </w:r>
    </w:p>
    <w:p w14:paraId="2E79E9E7" w14:textId="51191559" w:rsidR="009E6200" w:rsidRPr="00317F65" w:rsidRDefault="0028472A" w:rsidP="009E6200">
      <w:pPr>
        <w:spacing w:line="480" w:lineRule="auto"/>
        <w:jc w:val="center"/>
        <w:rPr>
          <w:b/>
        </w:rPr>
      </w:pPr>
      <w:r w:rsidRPr="00317F65">
        <w:rPr>
          <w:b/>
        </w:rPr>
        <w:t>Results</w:t>
      </w:r>
    </w:p>
    <w:p w14:paraId="3A4B038E" w14:textId="138EE73D" w:rsidR="00247B86" w:rsidRDefault="00247B86" w:rsidP="00757631">
      <w:pPr>
        <w:spacing w:line="480" w:lineRule="auto"/>
      </w:pPr>
      <w:r w:rsidRPr="0052748D">
        <w:rPr>
          <w:noProof/>
          <w:highlight w:val="yellow"/>
        </w:rPr>
        <w:drawing>
          <wp:inline distT="0" distB="0" distL="0" distR="0" wp14:anchorId="3D5BA057" wp14:editId="52723B8B">
            <wp:extent cx="6817405" cy="1084521"/>
            <wp:effectExtent l="0" t="0" r="2540" b="1905"/>
            <wp:docPr id="7" name="Picture 7" descr="Figure presents a list of needs of TBI Professionals, TBI Caregivers, and TBI Surviv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presents a list of needs of TBI Professionals, TBI Caregivers, and TBI Survivors."/>
                    <pic:cNvPicPr/>
                  </pic:nvPicPr>
                  <pic:blipFill>
                    <a:blip r:embed="rId14">
                      <a:extLst>
                        <a:ext uri="{28A0092B-C50C-407E-A947-70E740481C1C}">
                          <a14:useLocalDpi xmlns:a14="http://schemas.microsoft.com/office/drawing/2010/main" val="0"/>
                        </a:ext>
                      </a:extLst>
                    </a:blip>
                    <a:stretch>
                      <a:fillRect/>
                    </a:stretch>
                  </pic:blipFill>
                  <pic:spPr>
                    <a:xfrm>
                      <a:off x="0" y="0"/>
                      <a:ext cx="6817405" cy="1084521"/>
                    </a:xfrm>
                    <a:prstGeom prst="rect">
                      <a:avLst/>
                    </a:prstGeom>
                  </pic:spPr>
                </pic:pic>
              </a:graphicData>
            </a:graphic>
          </wp:inline>
        </w:drawing>
      </w:r>
      <w:r w:rsidRPr="0052748D">
        <w:rPr>
          <w:highlight w:val="yellow"/>
        </w:rPr>
        <w:t>For the HARC needs assessment, results were separated into three stakeholder groups (TBI professionals, TBI caregivers, and TBI survivors). The most frequently identified needs both in the survey and from the coded qualitative interviews were as follows:</w:t>
      </w:r>
    </w:p>
    <w:p w14:paraId="1FF2E555" w14:textId="7F6CFF66" w:rsidR="00247B86" w:rsidRDefault="00247B86" w:rsidP="00757631">
      <w:pPr>
        <w:spacing w:line="480" w:lineRule="auto"/>
      </w:pPr>
    </w:p>
    <w:p w14:paraId="172341C7" w14:textId="77777777" w:rsidR="00247B86" w:rsidRDefault="00247B86" w:rsidP="00757631">
      <w:pPr>
        <w:spacing w:line="480" w:lineRule="auto"/>
      </w:pPr>
    </w:p>
    <w:p w14:paraId="2CFF482C" w14:textId="77777777" w:rsidR="00247B86" w:rsidRDefault="00247B86" w:rsidP="00757631">
      <w:pPr>
        <w:spacing w:line="480" w:lineRule="auto"/>
      </w:pPr>
    </w:p>
    <w:p w14:paraId="5D492D3F" w14:textId="3B1297B1" w:rsidR="006F6AD5" w:rsidRDefault="00807709" w:rsidP="004E5A02">
      <w:pPr>
        <w:spacing w:line="480" w:lineRule="auto"/>
        <w:ind w:firstLine="720"/>
      </w:pPr>
      <w:r>
        <w:t>For the CALSPEAKS data, t</w:t>
      </w:r>
      <w:r w:rsidR="00980B8A">
        <w:t>wo-block b</w:t>
      </w:r>
      <w:r w:rsidR="00247B86">
        <w:t xml:space="preserve">inary logistic regression models were calculated to </w:t>
      </w:r>
      <w:r w:rsidR="00980B8A">
        <w:t>assess adjusted risk ratios for persistent depressive disorder (provisional; PDD), generalized anxiety disorder (provisional; GAD), and neurocognitive disorder (provisional; NCD). These models included age, gender, race, education, ethnicity, income, and marital status as continuous and categorical covariates, which all significantly improved classification rates beyond the null model (</w:t>
      </w:r>
      <w:r w:rsidR="00980B8A">
        <w:rPr>
          <w:i/>
          <w:iCs/>
        </w:rPr>
        <w:t>p</w:t>
      </w:r>
      <w:r w:rsidR="00980B8A">
        <w:t xml:space="preserve">’s &lt; .001). The second block included a dichotomous TBI variable based on whether </w:t>
      </w:r>
      <w:r w:rsidR="004C60E3">
        <w:t xml:space="preserve">respondents experienced a head trauma </w:t>
      </w:r>
      <w:r w:rsidR="002A766D">
        <w:t>with an associated</w:t>
      </w:r>
      <w:r w:rsidR="004C60E3">
        <w:t xml:space="preserve"> period of lost consciousness, which significantly improved classification rates beyond the covariates model (</w:t>
      </w:r>
      <w:r w:rsidR="004C60E3">
        <w:rPr>
          <w:i/>
          <w:iCs/>
        </w:rPr>
        <w:t>p</w:t>
      </w:r>
      <w:r w:rsidR="004C60E3">
        <w:t>’s &lt; .001). For</w:t>
      </w:r>
      <w:r w:rsidR="007F3DD3">
        <w:t xml:space="preserve"> the</w:t>
      </w:r>
      <w:r w:rsidR="004C60E3">
        <w:t xml:space="preserve"> PDD</w:t>
      </w:r>
      <w:r w:rsidR="007F3DD3">
        <w:t xml:space="preserve"> model</w:t>
      </w:r>
      <w:r w:rsidR="004C60E3">
        <w:t xml:space="preserve">, the </w:t>
      </w:r>
      <w:r w:rsidR="007F3DD3">
        <w:t xml:space="preserve">Hosmer and </w:t>
      </w:r>
      <w:proofErr w:type="spellStart"/>
      <w:r w:rsidR="007F3DD3">
        <w:t>Lemeshow</w:t>
      </w:r>
      <w:proofErr w:type="spellEnd"/>
      <w:r w:rsidR="007F3DD3">
        <w:t xml:space="preserve"> test was non-significant, X</w:t>
      </w:r>
      <w:r w:rsidR="007F3DD3">
        <w:rPr>
          <w:vertAlign w:val="superscript"/>
        </w:rPr>
        <w:t xml:space="preserve">2 </w:t>
      </w:r>
      <w:r w:rsidR="007F3DD3">
        <w:t xml:space="preserve">= 20.64, </w:t>
      </w:r>
      <w:r w:rsidR="007F3DD3">
        <w:rPr>
          <w:i/>
          <w:iCs/>
        </w:rPr>
        <w:t>p</w:t>
      </w:r>
      <w:r w:rsidR="007F3DD3">
        <w:t xml:space="preserve"> = .008. After controlling for the covariates, those w</w:t>
      </w:r>
      <w:r w:rsidR="0048123C">
        <w:t xml:space="preserve">ith </w:t>
      </w:r>
      <w:r w:rsidR="007F3DD3">
        <w:t xml:space="preserve">a TBI </w:t>
      </w:r>
      <w:r w:rsidR="00B7315A">
        <w:t>(</w:t>
      </w:r>
      <w:r w:rsidR="00B7315A">
        <w:rPr>
          <w:i/>
          <w:iCs/>
        </w:rPr>
        <w:t xml:space="preserve">B </w:t>
      </w:r>
      <w:r w:rsidR="00B7315A">
        <w:t xml:space="preserve">= .75) </w:t>
      </w:r>
      <w:r w:rsidR="007F3DD3">
        <w:t xml:space="preserve">were </w:t>
      </w:r>
      <w:r w:rsidR="00F57844">
        <w:t xml:space="preserve">significantly </w:t>
      </w:r>
      <w:r w:rsidR="0048123C">
        <w:t>more likely to endorse PDD than those without</w:t>
      </w:r>
      <w:r w:rsidR="00B7315A">
        <w:t xml:space="preserve"> (Adjusted Risk Ratio</w:t>
      </w:r>
      <w:r w:rsidR="004F3B88">
        <w:t xml:space="preserve"> =</w:t>
      </w:r>
      <w:r w:rsidR="00B7315A">
        <w:t xml:space="preserve"> 2.11 95% CI [1.41, 3.17])</w:t>
      </w:r>
      <w:r w:rsidR="0048123C">
        <w:t xml:space="preserve">, </w:t>
      </w:r>
      <w:r w:rsidR="00343F69">
        <w:rPr>
          <w:i/>
          <w:iCs/>
        </w:rPr>
        <w:t xml:space="preserve">Wald </w:t>
      </w:r>
      <w:r w:rsidR="00343F69">
        <w:t>= 13.09</w:t>
      </w:r>
      <w:r w:rsidR="00901D4C">
        <w:t xml:space="preserve">, </w:t>
      </w:r>
      <w:r w:rsidR="00901D4C">
        <w:rPr>
          <w:i/>
          <w:iCs/>
        </w:rPr>
        <w:t>p</w:t>
      </w:r>
      <w:r w:rsidR="00901D4C">
        <w:t xml:space="preserve"> &lt; .001.</w:t>
      </w:r>
      <w:r w:rsidR="00B7315A">
        <w:t xml:space="preserve"> For the GAD model, the Hosmer and </w:t>
      </w:r>
      <w:proofErr w:type="spellStart"/>
      <w:r w:rsidR="00B7315A">
        <w:t>Lemeshow</w:t>
      </w:r>
      <w:proofErr w:type="spellEnd"/>
      <w:r w:rsidR="00B7315A">
        <w:t xml:space="preserve"> test was significant, X</w:t>
      </w:r>
      <w:r w:rsidR="00B7315A">
        <w:rPr>
          <w:vertAlign w:val="superscript"/>
        </w:rPr>
        <w:t>2</w:t>
      </w:r>
      <w:r w:rsidR="00B7315A">
        <w:t xml:space="preserve"> =</w:t>
      </w:r>
      <w:r w:rsidR="00F57844">
        <w:t xml:space="preserve"> 45.19, </w:t>
      </w:r>
      <w:r w:rsidR="00F57844">
        <w:rPr>
          <w:i/>
          <w:iCs/>
        </w:rPr>
        <w:t xml:space="preserve">p </w:t>
      </w:r>
      <w:r w:rsidR="00F57844">
        <w:t>&lt; .001</w:t>
      </w:r>
      <w:r w:rsidR="00B7315A">
        <w:t xml:space="preserve">. </w:t>
      </w:r>
      <w:r w:rsidR="004F3B88">
        <w:t xml:space="preserve">Those with TBI </w:t>
      </w:r>
      <w:r w:rsidR="00F00A45">
        <w:t>(</w:t>
      </w:r>
      <w:r w:rsidR="00F00A45">
        <w:rPr>
          <w:i/>
          <w:iCs/>
        </w:rPr>
        <w:t>B</w:t>
      </w:r>
      <w:r w:rsidR="00F00A45">
        <w:t xml:space="preserve"> = 1.70) </w:t>
      </w:r>
      <w:r w:rsidR="004F3B88">
        <w:t xml:space="preserve">were significantly more likely to endorse GAD than those without (AR = 5.48 [3.46, 8.70]), </w:t>
      </w:r>
      <w:r w:rsidR="004F3B88">
        <w:rPr>
          <w:i/>
          <w:iCs/>
        </w:rPr>
        <w:t xml:space="preserve">Wald </w:t>
      </w:r>
      <w:r w:rsidR="004F3B88">
        <w:t xml:space="preserve">= 52.20, </w:t>
      </w:r>
      <w:r w:rsidR="004F3B88">
        <w:rPr>
          <w:i/>
          <w:iCs/>
        </w:rPr>
        <w:t>p</w:t>
      </w:r>
      <w:r w:rsidR="004F3B88">
        <w:t xml:space="preserve"> &lt;. 001.</w:t>
      </w:r>
      <w:r w:rsidR="00F57844">
        <w:t xml:space="preserve"> </w:t>
      </w:r>
      <w:r w:rsidR="004F3B88">
        <w:t xml:space="preserve">For NCD, </w:t>
      </w:r>
      <w:r w:rsidR="00F57844">
        <w:t xml:space="preserve">the Hosmer and </w:t>
      </w:r>
      <w:proofErr w:type="spellStart"/>
      <w:r w:rsidR="00F57844">
        <w:t>Lemeshow</w:t>
      </w:r>
      <w:proofErr w:type="spellEnd"/>
      <w:r w:rsidR="00F57844">
        <w:t xml:space="preserve"> test was non-</w:t>
      </w:r>
      <w:r w:rsidR="00F00A45">
        <w:t>significant using a stringent alpha level (X</w:t>
      </w:r>
      <w:r w:rsidR="00F00A45">
        <w:rPr>
          <w:vertAlign w:val="superscript"/>
        </w:rPr>
        <w:t>2</w:t>
      </w:r>
      <w:r w:rsidR="00F00A45">
        <w:t xml:space="preserve"> = 26.26, </w:t>
      </w:r>
      <w:r w:rsidR="00F00A45">
        <w:rPr>
          <w:i/>
          <w:iCs/>
        </w:rPr>
        <w:t xml:space="preserve">p </w:t>
      </w:r>
      <w:r w:rsidR="00F00A45">
        <w:t>= .001)</w:t>
      </w:r>
      <w:r w:rsidR="00F57844">
        <w:t>. Those with TBI (</w:t>
      </w:r>
      <w:r w:rsidR="00F57844">
        <w:rPr>
          <w:i/>
          <w:iCs/>
        </w:rPr>
        <w:t>B</w:t>
      </w:r>
      <w:r w:rsidR="00F57844">
        <w:t xml:space="preserve"> = .88) were significantly more likely to endorse NCD than those without (AR = 2.41 [1.60, 3.62])</w:t>
      </w:r>
      <w:r w:rsidR="00F00A45">
        <w:t xml:space="preserve">, </w:t>
      </w:r>
      <w:r w:rsidR="00F00A45">
        <w:rPr>
          <w:i/>
          <w:iCs/>
        </w:rPr>
        <w:t xml:space="preserve">Wald </w:t>
      </w:r>
      <w:r w:rsidR="00F00A45">
        <w:t xml:space="preserve">= 15.73, </w:t>
      </w:r>
      <w:r w:rsidR="00F00A45">
        <w:rPr>
          <w:i/>
          <w:iCs/>
        </w:rPr>
        <w:t>p</w:t>
      </w:r>
      <w:r w:rsidR="00F00A45">
        <w:t xml:space="preserve"> &lt; .001</w:t>
      </w:r>
      <w:r w:rsidR="00F57844">
        <w:t>.</w:t>
      </w:r>
      <w:r w:rsidR="004E5A02">
        <w:t xml:space="preserve"> </w:t>
      </w:r>
    </w:p>
    <w:p w14:paraId="0CAB26BE" w14:textId="0B82E74A" w:rsidR="00522BFF" w:rsidRPr="005742DB" w:rsidRDefault="004E5A02" w:rsidP="006431A4">
      <w:pPr>
        <w:spacing w:line="480" w:lineRule="auto"/>
        <w:ind w:firstLine="720"/>
      </w:pPr>
      <w:r>
        <w:t>PDD was significantly associated with employment difficulties (</w:t>
      </w:r>
      <w:r>
        <w:rPr>
          <w:i/>
          <w:iCs/>
        </w:rPr>
        <w:t>r</w:t>
      </w:r>
      <w:r>
        <w:t xml:space="preserve"> = .198, </w:t>
      </w:r>
      <w:r>
        <w:rPr>
          <w:i/>
          <w:iCs/>
        </w:rPr>
        <w:t>p</w:t>
      </w:r>
      <w:r>
        <w:t xml:space="preserve"> &lt; .001) and housing difficulties (</w:t>
      </w:r>
      <w:r>
        <w:rPr>
          <w:i/>
          <w:iCs/>
        </w:rPr>
        <w:t>r</w:t>
      </w:r>
      <w:r>
        <w:t xml:space="preserve"> = .379, </w:t>
      </w:r>
      <w:r>
        <w:rPr>
          <w:i/>
          <w:iCs/>
        </w:rPr>
        <w:t>p</w:t>
      </w:r>
      <w:r>
        <w:t xml:space="preserve"> &lt; .001), but not justice system involvements (</w:t>
      </w:r>
      <w:r>
        <w:rPr>
          <w:i/>
          <w:iCs/>
        </w:rPr>
        <w:t>r</w:t>
      </w:r>
      <w:r>
        <w:t xml:space="preserve"> = .034, </w:t>
      </w:r>
      <w:r>
        <w:rPr>
          <w:i/>
          <w:iCs/>
        </w:rPr>
        <w:t xml:space="preserve">p </w:t>
      </w:r>
      <w:r>
        <w:t>= .290). GAD was significantly associated with employment difficulties (</w:t>
      </w:r>
      <w:r>
        <w:rPr>
          <w:i/>
          <w:iCs/>
        </w:rPr>
        <w:t>r</w:t>
      </w:r>
      <w:r>
        <w:t xml:space="preserve"> = .174, </w:t>
      </w:r>
      <w:r>
        <w:rPr>
          <w:i/>
          <w:iCs/>
        </w:rPr>
        <w:t xml:space="preserve">p </w:t>
      </w:r>
      <w:r>
        <w:t>&lt; .001) and housing difficulties (</w:t>
      </w:r>
      <w:r>
        <w:rPr>
          <w:i/>
          <w:iCs/>
        </w:rPr>
        <w:t>r</w:t>
      </w:r>
      <w:r>
        <w:t xml:space="preserve"> = .355, </w:t>
      </w:r>
      <w:r>
        <w:rPr>
          <w:i/>
          <w:iCs/>
        </w:rPr>
        <w:t>p</w:t>
      </w:r>
      <w:r>
        <w:t xml:space="preserve"> &lt; .001)</w:t>
      </w:r>
      <w:r w:rsidR="00C66A76">
        <w:t>, but not justice system involvements (</w:t>
      </w:r>
      <w:r w:rsidR="00C66A76">
        <w:rPr>
          <w:i/>
          <w:iCs/>
        </w:rPr>
        <w:t>r</w:t>
      </w:r>
      <w:r w:rsidR="00C66A76">
        <w:t xml:space="preserve"> = .009, </w:t>
      </w:r>
      <w:r w:rsidR="00C66A76">
        <w:rPr>
          <w:i/>
          <w:iCs/>
        </w:rPr>
        <w:t xml:space="preserve">p </w:t>
      </w:r>
      <w:r w:rsidR="00C66A76">
        <w:t>= .290). NCD was significantly associated with employment difficulties (</w:t>
      </w:r>
      <w:r w:rsidR="00C66A76">
        <w:rPr>
          <w:i/>
          <w:iCs/>
        </w:rPr>
        <w:t>r</w:t>
      </w:r>
      <w:r w:rsidR="00C66A76">
        <w:t xml:space="preserve"> = .164, </w:t>
      </w:r>
      <w:r w:rsidR="00C66A76">
        <w:rPr>
          <w:i/>
          <w:iCs/>
        </w:rPr>
        <w:t xml:space="preserve">p </w:t>
      </w:r>
      <w:r w:rsidR="00C66A76">
        <w:t xml:space="preserve">&lt; .001), housing </w:t>
      </w:r>
      <w:r w:rsidR="00C66A76">
        <w:lastRenderedPageBreak/>
        <w:t>difficulties (</w:t>
      </w:r>
      <w:r w:rsidR="00C66A76">
        <w:rPr>
          <w:i/>
          <w:iCs/>
        </w:rPr>
        <w:t>r</w:t>
      </w:r>
      <w:r w:rsidR="00C66A76">
        <w:t xml:space="preserve"> = .352, </w:t>
      </w:r>
      <w:r w:rsidR="00C66A76">
        <w:rPr>
          <w:i/>
          <w:iCs/>
        </w:rPr>
        <w:t>p</w:t>
      </w:r>
      <w:r w:rsidR="00C66A76">
        <w:t xml:space="preserve"> &lt; .001), and not justice system involvements (</w:t>
      </w:r>
      <w:r w:rsidR="00C66A76">
        <w:rPr>
          <w:i/>
          <w:iCs/>
        </w:rPr>
        <w:t>r</w:t>
      </w:r>
      <w:r w:rsidR="00C66A76">
        <w:t xml:space="preserve"> = .070, </w:t>
      </w:r>
      <w:r w:rsidR="00C66A76">
        <w:rPr>
          <w:i/>
          <w:iCs/>
        </w:rPr>
        <w:t xml:space="preserve">p </w:t>
      </w:r>
      <w:r w:rsidR="00C66A76">
        <w:t xml:space="preserve">= .032). </w:t>
      </w:r>
      <w:r w:rsidR="00893F44">
        <w:t>Relative to the general population without TBI (</w:t>
      </w:r>
      <w:r w:rsidR="00893F44">
        <w:rPr>
          <w:i/>
          <w:iCs/>
        </w:rPr>
        <w:t xml:space="preserve">M </w:t>
      </w:r>
      <w:r w:rsidR="00893F44">
        <w:t xml:space="preserve">= 0.69, </w:t>
      </w:r>
      <w:r w:rsidR="00893F44">
        <w:rPr>
          <w:i/>
          <w:iCs/>
        </w:rPr>
        <w:t xml:space="preserve">SD </w:t>
      </w:r>
      <w:r w:rsidR="00893F44">
        <w:t>= 1.02), s</w:t>
      </w:r>
      <w:r w:rsidR="00C66A76">
        <w:t xml:space="preserve">urvivors of TBI </w:t>
      </w:r>
      <w:r w:rsidR="00893F44">
        <w:t>(</w:t>
      </w:r>
      <w:r w:rsidR="00893F44">
        <w:rPr>
          <w:i/>
          <w:iCs/>
        </w:rPr>
        <w:t xml:space="preserve">M </w:t>
      </w:r>
      <w:r w:rsidR="00893F44">
        <w:t xml:space="preserve">= 1.18, </w:t>
      </w:r>
      <w:r w:rsidR="00893F44">
        <w:rPr>
          <w:i/>
          <w:iCs/>
        </w:rPr>
        <w:t xml:space="preserve">SD </w:t>
      </w:r>
      <w:r w:rsidR="00893F44">
        <w:t xml:space="preserve">= 1.06) </w:t>
      </w:r>
      <w:r w:rsidR="00C66A76">
        <w:t xml:space="preserve">reported </w:t>
      </w:r>
      <w:r w:rsidR="00893F44">
        <w:t xml:space="preserve">significantly more employment difficulties, </w:t>
      </w:r>
      <w:proofErr w:type="gramStart"/>
      <w:r w:rsidR="00893F44">
        <w:rPr>
          <w:i/>
          <w:iCs/>
        </w:rPr>
        <w:t>t</w:t>
      </w:r>
      <w:r w:rsidR="00893F44">
        <w:t>(</w:t>
      </w:r>
      <w:proofErr w:type="gramEnd"/>
      <w:r w:rsidR="00893F44">
        <w:t xml:space="preserve">984) = -5.40, </w:t>
      </w:r>
      <w:r w:rsidR="00893F44">
        <w:rPr>
          <w:i/>
          <w:iCs/>
        </w:rPr>
        <w:t>p</w:t>
      </w:r>
      <w:r w:rsidR="00893F44">
        <w:t xml:space="preserve"> &lt; .001 (</w:t>
      </w:r>
      <w:r w:rsidR="00893F44">
        <w:rPr>
          <w:i/>
          <w:iCs/>
        </w:rPr>
        <w:t>d</w:t>
      </w:r>
      <w:r w:rsidR="00893F44">
        <w:t xml:space="preserve"> = 1.03). Survivors of TBI (</w:t>
      </w:r>
      <w:r w:rsidR="00893F44">
        <w:rPr>
          <w:i/>
          <w:iCs/>
        </w:rPr>
        <w:t xml:space="preserve">M </w:t>
      </w:r>
      <w:r w:rsidR="00893F44">
        <w:t xml:space="preserve">= 1.08, </w:t>
      </w:r>
      <w:r w:rsidR="00893F44">
        <w:rPr>
          <w:i/>
          <w:iCs/>
        </w:rPr>
        <w:t xml:space="preserve">SD </w:t>
      </w:r>
      <w:r w:rsidR="00893F44">
        <w:t>= 1.27) reported significantly more housing difficulties than the general population (</w:t>
      </w:r>
      <w:r w:rsidR="00893F44">
        <w:rPr>
          <w:i/>
          <w:iCs/>
        </w:rPr>
        <w:t xml:space="preserve">M </w:t>
      </w:r>
      <w:r w:rsidR="00893F44">
        <w:t xml:space="preserve">= 0.58, </w:t>
      </w:r>
      <w:r w:rsidR="00893F44">
        <w:rPr>
          <w:i/>
          <w:iCs/>
        </w:rPr>
        <w:t xml:space="preserve">SD </w:t>
      </w:r>
      <w:r w:rsidR="00893F44">
        <w:t xml:space="preserve">= 0.95), </w:t>
      </w:r>
      <w:proofErr w:type="gramStart"/>
      <w:r w:rsidR="00893F44">
        <w:rPr>
          <w:i/>
          <w:iCs/>
        </w:rPr>
        <w:t>t</w:t>
      </w:r>
      <w:r w:rsidR="00893F44">
        <w:t>(</w:t>
      </w:r>
      <w:proofErr w:type="gramEnd"/>
      <w:r w:rsidR="00893F44">
        <w:t xml:space="preserve">185.93) = -4.68, </w:t>
      </w:r>
      <w:r w:rsidR="00893F44">
        <w:rPr>
          <w:i/>
          <w:iCs/>
        </w:rPr>
        <w:t>p</w:t>
      </w:r>
      <w:r w:rsidR="00893F44">
        <w:t xml:space="preserve"> &lt; .001 (</w:t>
      </w:r>
      <w:r w:rsidR="00893F44">
        <w:rPr>
          <w:i/>
          <w:iCs/>
        </w:rPr>
        <w:t>d</w:t>
      </w:r>
      <w:r w:rsidR="00893F44">
        <w:t xml:space="preserve"> = 1.01). In terms of justice system involvements, survivors of TBI (</w:t>
      </w:r>
      <w:r w:rsidR="00893F44">
        <w:rPr>
          <w:i/>
          <w:iCs/>
        </w:rPr>
        <w:t xml:space="preserve">M </w:t>
      </w:r>
      <w:r w:rsidR="00893F44">
        <w:t xml:space="preserve">= </w:t>
      </w:r>
      <w:r w:rsidR="001C0455">
        <w:t>0.45</w:t>
      </w:r>
      <w:r w:rsidR="00893F44">
        <w:t xml:space="preserve">, </w:t>
      </w:r>
      <w:r w:rsidR="00893F44">
        <w:rPr>
          <w:i/>
          <w:iCs/>
        </w:rPr>
        <w:t xml:space="preserve">SD </w:t>
      </w:r>
      <w:r w:rsidR="00893F44">
        <w:t xml:space="preserve">= </w:t>
      </w:r>
      <w:r w:rsidR="001C0455">
        <w:t>0.89</w:t>
      </w:r>
      <w:r w:rsidR="00893F44">
        <w:t>) reported significantly more housing difficulties than the general population (</w:t>
      </w:r>
      <w:r w:rsidR="00893F44">
        <w:rPr>
          <w:i/>
          <w:iCs/>
        </w:rPr>
        <w:t xml:space="preserve">M </w:t>
      </w:r>
      <w:r w:rsidR="00893F44">
        <w:t xml:space="preserve">= </w:t>
      </w:r>
      <w:r w:rsidR="001C0455">
        <w:t>0.15</w:t>
      </w:r>
      <w:r w:rsidR="00893F44">
        <w:t xml:space="preserve">, </w:t>
      </w:r>
      <w:r w:rsidR="00893F44">
        <w:rPr>
          <w:i/>
          <w:iCs/>
        </w:rPr>
        <w:t xml:space="preserve">SD </w:t>
      </w:r>
      <w:r w:rsidR="00893F44">
        <w:t>= 0.</w:t>
      </w:r>
      <w:r w:rsidR="001C0455">
        <w:t>62</w:t>
      </w:r>
      <w:r w:rsidR="00893F44">
        <w:t xml:space="preserve">), </w:t>
      </w:r>
      <w:proofErr w:type="gramStart"/>
      <w:r w:rsidR="00893F44">
        <w:rPr>
          <w:i/>
          <w:iCs/>
        </w:rPr>
        <w:t>t</w:t>
      </w:r>
      <w:r w:rsidR="00893F44">
        <w:t>(</w:t>
      </w:r>
      <w:proofErr w:type="gramEnd"/>
      <w:r w:rsidR="001C0455">
        <w:t>161.72</w:t>
      </w:r>
      <w:r w:rsidR="00893F44">
        <w:t>) = -</w:t>
      </w:r>
      <w:r w:rsidR="001C0455">
        <w:t>3.79</w:t>
      </w:r>
      <w:r w:rsidR="00893F44">
        <w:t xml:space="preserve">, </w:t>
      </w:r>
      <w:r w:rsidR="00893F44">
        <w:rPr>
          <w:i/>
          <w:iCs/>
        </w:rPr>
        <w:t>p</w:t>
      </w:r>
      <w:r w:rsidR="00893F44">
        <w:t xml:space="preserve"> &lt; .001 (</w:t>
      </w:r>
      <w:r w:rsidR="00893F44">
        <w:rPr>
          <w:i/>
          <w:iCs/>
        </w:rPr>
        <w:t>d</w:t>
      </w:r>
      <w:r w:rsidR="00893F44">
        <w:t xml:space="preserve"> = </w:t>
      </w:r>
      <w:r w:rsidR="001C0455">
        <w:t>0.67</w:t>
      </w:r>
      <w:r w:rsidR="00893F44">
        <w:t>).</w:t>
      </w:r>
    </w:p>
    <w:p w14:paraId="4727D124" w14:textId="6B55FFF4" w:rsidR="00092FE4" w:rsidRPr="005F0273" w:rsidRDefault="0028472A" w:rsidP="005F0273">
      <w:pPr>
        <w:pStyle w:val="Heading3"/>
        <w:jc w:val="center"/>
        <w:rPr>
          <w:color w:val="auto"/>
        </w:rPr>
      </w:pPr>
      <w:r w:rsidRPr="005F0273">
        <w:rPr>
          <w:color w:val="auto"/>
        </w:rPr>
        <w:t>Discussion</w:t>
      </w:r>
    </w:p>
    <w:p w14:paraId="40F98A92" w14:textId="05E6A908" w:rsidR="006D3B3A" w:rsidRPr="006431A4" w:rsidRDefault="0028472A" w:rsidP="006431A4">
      <w:pPr>
        <w:spacing w:line="480" w:lineRule="auto"/>
        <w:ind w:firstLine="720"/>
        <w:contextualSpacing/>
      </w:pPr>
      <w:r w:rsidRPr="00317F65">
        <w:rPr>
          <w:rFonts w:cs="Times New Roman"/>
        </w:rPr>
        <w:t>A joint effort with California’s DOR, California’s Department of Public Health, and the State survey panel collected data from a representative random sample of California residents 18 years and older (</w:t>
      </w:r>
      <w:r w:rsidRPr="00317F65">
        <w:rPr>
          <w:rFonts w:cs="Times New Roman"/>
          <w:i/>
          <w:iCs/>
        </w:rPr>
        <w:t xml:space="preserve">M </w:t>
      </w:r>
      <w:r w:rsidRPr="00317F65">
        <w:rPr>
          <w:rFonts w:cs="Times New Roman"/>
          <w:vertAlign w:val="subscript"/>
        </w:rPr>
        <w:t>age</w:t>
      </w:r>
      <w:r w:rsidRPr="00317F65">
        <w:rPr>
          <w:rFonts w:cs="Times New Roman"/>
        </w:rPr>
        <w:t xml:space="preserve"> = 52.78, </w:t>
      </w:r>
      <w:r w:rsidRPr="00317F65">
        <w:rPr>
          <w:rFonts w:cs="Times New Roman"/>
          <w:i/>
          <w:iCs/>
        </w:rPr>
        <w:t xml:space="preserve">SD </w:t>
      </w:r>
      <w:r w:rsidRPr="00317F65">
        <w:rPr>
          <w:rFonts w:cs="Times New Roman"/>
        </w:rPr>
        <w:t xml:space="preserve">= 15.89). </w:t>
      </w:r>
      <w:r w:rsidRPr="00317F65">
        <w:rPr>
          <w:rFonts w:cs="Times New Roman"/>
          <w:vertAlign w:val="superscript"/>
        </w:rPr>
        <w:t>5</w:t>
      </w:r>
      <w:r w:rsidRPr="00317F65">
        <w:rPr>
          <w:rFonts w:cs="Times New Roman"/>
        </w:rPr>
        <w:t xml:space="preserve"> State population-level data revealed that 15% or an estimated 4.4 million residents endorsed a lifetime history of head trauma with an associated period of lost consciousness, thereby fitting the medical definition of “TBI.” Of this 15%, half or approximately 2.2 million residents reported never receiving TBI-specific medical attention. These lifetime prevalence estimates were from California residents who reported an average of 30 years (</w:t>
      </w:r>
      <w:r w:rsidRPr="00317F65">
        <w:rPr>
          <w:rFonts w:cs="Times New Roman"/>
          <w:i/>
          <w:iCs/>
        </w:rPr>
        <w:t xml:space="preserve">SD </w:t>
      </w:r>
      <w:r w:rsidRPr="00317F65">
        <w:rPr>
          <w:rFonts w:cs="Times New Roman"/>
        </w:rPr>
        <w:t>= 16.23) elapsing since their initial injuries. In the past three decades, survivors of head trauma, relative to the general population, endorsed significantly more housing insecurity (</w:t>
      </w:r>
      <w:r w:rsidR="006431A4">
        <w:rPr>
          <w:rFonts w:cs="Times New Roman"/>
        </w:rPr>
        <w:t>AR</w:t>
      </w:r>
      <w:r w:rsidRPr="00317F65">
        <w:rPr>
          <w:rFonts w:cs="Times New Roman"/>
        </w:rPr>
        <w:t xml:space="preserve"> = 1.43 [1.26, 1.63]), employment instability (</w:t>
      </w:r>
      <w:r w:rsidR="006431A4">
        <w:rPr>
          <w:rFonts w:cs="Times New Roman"/>
        </w:rPr>
        <w:t>A</w:t>
      </w:r>
      <w:r w:rsidRPr="00317F65">
        <w:rPr>
          <w:rFonts w:cs="Times New Roman"/>
        </w:rPr>
        <w:t>R = 1.52 [1.33, 1.74]), justice system involvements (</w:t>
      </w:r>
      <w:r w:rsidR="006431A4">
        <w:rPr>
          <w:rFonts w:cs="Times New Roman"/>
        </w:rPr>
        <w:t>A</w:t>
      </w:r>
      <w:r w:rsidRPr="00317F65">
        <w:rPr>
          <w:rFonts w:cs="Times New Roman"/>
        </w:rPr>
        <w:t xml:space="preserve">R = 1.46 [1.18, 1.80]), and mental health difficulties (i.e., depressive, anxiety disorder; </w:t>
      </w:r>
      <w:r w:rsidR="006431A4">
        <w:rPr>
          <w:rFonts w:cs="Times New Roman"/>
        </w:rPr>
        <w:t>A</w:t>
      </w:r>
      <w:r w:rsidRPr="00317F65">
        <w:rPr>
          <w:rFonts w:cs="Times New Roman"/>
        </w:rPr>
        <w:t>R = 2.03 [1.50, 2.75]). Therefore, the total number of people likely to be impacted by this project as it continues to develop is potentially in the millions, and potentially tens of millions when considering family caregivers and intersectionality (e.g., race). Early intervention begins with early identification; therefore, s</w:t>
      </w:r>
      <w:r w:rsidRPr="00317F65">
        <w:t xml:space="preserve">creening for and addressing neuropsychiatric </w:t>
      </w:r>
      <w:r w:rsidRPr="00317F65">
        <w:lastRenderedPageBreak/>
        <w:t>disorders at earlier stages following injury is an important step to avoid persisting conditions that may pose a barrier to recovery.</w:t>
      </w:r>
      <w:r w:rsidR="006431A4">
        <w:t xml:space="preserve"> </w:t>
      </w:r>
      <w:r w:rsidRPr="00317F65">
        <w:t xml:space="preserve">Victims of domestic and intimate partner violence, military personnel, older adults, </w:t>
      </w:r>
      <w:r w:rsidR="00CF7438">
        <w:t>individuals who are</w:t>
      </w:r>
      <w:r w:rsidRPr="00317F65">
        <w:t xml:space="preserve"> incarcerated, high-risk occupations (e.g., </w:t>
      </w:r>
      <w:r w:rsidR="00CF7438">
        <w:t xml:space="preserve">construction, manufacturing, </w:t>
      </w:r>
      <w:r w:rsidRPr="00317F65">
        <w:t xml:space="preserve">policeman), and sports at all levels (e.g., Olympic, professional, collegiate) are at elevated risk of TBI. </w:t>
      </w:r>
      <w:r w:rsidRPr="00317F65">
        <w:rPr>
          <w:vertAlign w:val="superscript"/>
        </w:rPr>
        <w:t>6-11</w:t>
      </w:r>
    </w:p>
    <w:p w14:paraId="2084446C" w14:textId="08DD43E1" w:rsidR="00006D3D" w:rsidRPr="00317F65" w:rsidRDefault="00006D3D" w:rsidP="00CE436C">
      <w:pPr>
        <w:spacing w:line="480" w:lineRule="auto"/>
        <w:contextualSpacing/>
        <w:rPr>
          <w:rFonts w:eastAsia="Times New Roman" w:cs="Times New Roman"/>
          <w:szCs w:val="24"/>
        </w:rPr>
      </w:pPr>
    </w:p>
    <w:p w14:paraId="2AA5D96F" w14:textId="77777777" w:rsidR="00CE436C" w:rsidRPr="005F0273" w:rsidRDefault="00CE436C" w:rsidP="005F0273">
      <w:pPr>
        <w:pStyle w:val="Heading3"/>
        <w:jc w:val="center"/>
        <w:rPr>
          <w:color w:val="auto"/>
        </w:rPr>
      </w:pPr>
      <w:r w:rsidRPr="005F0273">
        <w:rPr>
          <w:color w:val="auto"/>
        </w:rPr>
        <w:t xml:space="preserve">Suggestions for </w:t>
      </w:r>
      <w:proofErr w:type="spellStart"/>
      <w:r w:rsidRPr="005F0273">
        <w:rPr>
          <w:color w:val="auto"/>
        </w:rPr>
        <w:t>Reseachers</w:t>
      </w:r>
      <w:proofErr w:type="spellEnd"/>
      <w:r w:rsidRPr="005F0273">
        <w:rPr>
          <w:color w:val="auto"/>
        </w:rPr>
        <w:t xml:space="preserve"> and Policy Makers from the CDC</w:t>
      </w:r>
    </w:p>
    <w:p w14:paraId="37932E66" w14:textId="77777777" w:rsidR="00CE436C" w:rsidRPr="00317F65" w:rsidRDefault="00CE436C" w:rsidP="00CE436C">
      <w:pPr>
        <w:spacing w:line="240" w:lineRule="auto"/>
        <w:contextualSpacing/>
      </w:pPr>
      <w:r w:rsidRPr="00317F65">
        <w:t xml:space="preserve">Access here: </w:t>
      </w:r>
      <w:hyperlink r:id="rId15" w:history="1">
        <w:r w:rsidRPr="00317F65">
          <w:rPr>
            <w:rStyle w:val="Hyperlink"/>
          </w:rPr>
          <w:t>https://www.cdc.gov/features/traumatic-brain-injury/index.html</w:t>
        </w:r>
      </w:hyperlink>
    </w:p>
    <w:p w14:paraId="2467C5F0" w14:textId="77777777" w:rsidR="00CE436C" w:rsidRPr="00317F65" w:rsidRDefault="00CE436C" w:rsidP="00CE436C">
      <w:pPr>
        <w:spacing w:line="240" w:lineRule="auto"/>
        <w:contextualSpacing/>
      </w:pPr>
    </w:p>
    <w:p w14:paraId="3C215B95" w14:textId="77777777" w:rsidR="00CE436C" w:rsidRPr="00317F65" w:rsidRDefault="00CE436C" w:rsidP="00CE436C">
      <w:pPr>
        <w:spacing w:line="240" w:lineRule="auto"/>
        <w:contextualSpacing/>
        <w:rPr>
          <w:b/>
          <w:bCs/>
        </w:rPr>
      </w:pPr>
      <w:r w:rsidRPr="00317F65">
        <w:rPr>
          <w:b/>
          <w:bCs/>
        </w:rPr>
        <w:t>TBI researchers and the TBI Model System Program should continue to:</w:t>
      </w:r>
    </w:p>
    <w:p w14:paraId="66C34356" w14:textId="77777777" w:rsidR="00CE436C" w:rsidRPr="00317F65" w:rsidRDefault="00CE436C" w:rsidP="00CE436C">
      <w:pPr>
        <w:pStyle w:val="ListParagraph"/>
        <w:numPr>
          <w:ilvl w:val="0"/>
          <w:numId w:val="6"/>
        </w:numPr>
        <w:spacing w:line="240" w:lineRule="auto"/>
      </w:pPr>
      <w:r w:rsidRPr="00317F65">
        <w:t>Study TBI as a chronic health condition.</w:t>
      </w:r>
    </w:p>
    <w:p w14:paraId="6BFB1CC5" w14:textId="77777777" w:rsidR="00CE436C" w:rsidRPr="00317F65" w:rsidRDefault="00CE436C" w:rsidP="00CE436C">
      <w:pPr>
        <w:pStyle w:val="ListParagraph"/>
        <w:numPr>
          <w:ilvl w:val="0"/>
          <w:numId w:val="6"/>
        </w:numPr>
        <w:spacing w:line="240" w:lineRule="auto"/>
      </w:pPr>
      <w:r w:rsidRPr="00317F65">
        <w:t>Investigate the contribution of pre-existing and co-occurring conditions.</w:t>
      </w:r>
    </w:p>
    <w:p w14:paraId="1B8BAC4D" w14:textId="77777777" w:rsidR="00CE436C" w:rsidRPr="00317F65" w:rsidRDefault="00CE436C" w:rsidP="00CE436C">
      <w:pPr>
        <w:pStyle w:val="ListParagraph"/>
        <w:numPr>
          <w:ilvl w:val="0"/>
          <w:numId w:val="6"/>
        </w:numPr>
        <w:spacing w:line="240" w:lineRule="auto"/>
      </w:pPr>
      <w:r w:rsidRPr="00317F65">
        <w:t>Identify risk factors, such as sleep, weight, depression, aging, and alcohol use.</w:t>
      </w:r>
    </w:p>
    <w:p w14:paraId="585DCDD4" w14:textId="77777777" w:rsidR="00CE436C" w:rsidRPr="00317F65" w:rsidRDefault="00CE436C" w:rsidP="00CE436C">
      <w:pPr>
        <w:pStyle w:val="ListParagraph"/>
        <w:numPr>
          <w:ilvl w:val="0"/>
          <w:numId w:val="6"/>
        </w:numPr>
        <w:spacing w:line="240" w:lineRule="auto"/>
      </w:pPr>
      <w:r w:rsidRPr="00317F65">
        <w:t>Study the benefits of exercise, diet, social support, and engagement in the community.</w:t>
      </w:r>
    </w:p>
    <w:p w14:paraId="21AE1F46" w14:textId="77777777" w:rsidR="00CE436C" w:rsidRPr="00317F65" w:rsidRDefault="00CE436C" w:rsidP="00CE436C">
      <w:pPr>
        <w:pStyle w:val="ListParagraph"/>
        <w:numPr>
          <w:ilvl w:val="0"/>
          <w:numId w:val="6"/>
        </w:numPr>
        <w:spacing w:line="240" w:lineRule="auto"/>
      </w:pPr>
      <w:r w:rsidRPr="00317F65">
        <w:t>Test treatments for depression, irritability, sleep disorders, and cognitive impairment.</w:t>
      </w:r>
    </w:p>
    <w:p w14:paraId="2FF2916E" w14:textId="77777777" w:rsidR="00CE436C" w:rsidRPr="00317F65" w:rsidRDefault="00CE436C" w:rsidP="00CE436C">
      <w:pPr>
        <w:spacing w:line="240" w:lineRule="auto"/>
        <w:contextualSpacing/>
      </w:pPr>
    </w:p>
    <w:p w14:paraId="07C1EA01" w14:textId="77777777" w:rsidR="00CE436C" w:rsidRPr="00317F65" w:rsidRDefault="00CE436C" w:rsidP="00CE436C">
      <w:pPr>
        <w:spacing w:line="240" w:lineRule="auto"/>
        <w:contextualSpacing/>
        <w:rPr>
          <w:b/>
          <w:bCs/>
        </w:rPr>
      </w:pPr>
      <w:r w:rsidRPr="00317F65">
        <w:rPr>
          <w:b/>
          <w:bCs/>
        </w:rPr>
        <w:t>At the federal level, decision-makers can:</w:t>
      </w:r>
    </w:p>
    <w:p w14:paraId="353ACEF4" w14:textId="77777777" w:rsidR="00CE436C" w:rsidRPr="00317F65" w:rsidRDefault="00CE436C" w:rsidP="00CE436C">
      <w:pPr>
        <w:pStyle w:val="ListParagraph"/>
        <w:numPr>
          <w:ilvl w:val="0"/>
          <w:numId w:val="5"/>
        </w:numPr>
        <w:spacing w:line="240" w:lineRule="auto"/>
      </w:pPr>
      <w:r w:rsidRPr="00317F65">
        <w:t>Recognize TBI as a chronic health condition.</w:t>
      </w:r>
    </w:p>
    <w:p w14:paraId="2C222F06" w14:textId="77777777" w:rsidR="00CE436C" w:rsidRPr="00317F65" w:rsidRDefault="00CE436C" w:rsidP="00CE436C">
      <w:pPr>
        <w:pStyle w:val="ListParagraph"/>
        <w:numPr>
          <w:ilvl w:val="0"/>
          <w:numId w:val="5"/>
        </w:numPr>
        <w:spacing w:line="240" w:lineRule="auto"/>
      </w:pPr>
      <w:r w:rsidRPr="00317F65">
        <w:t>Review policies that affect access to rehabilitation services over the life span.</w:t>
      </w:r>
    </w:p>
    <w:p w14:paraId="3672BE7D" w14:textId="77777777" w:rsidR="00CE436C" w:rsidRPr="00317F65" w:rsidRDefault="00CE436C" w:rsidP="00CE436C">
      <w:pPr>
        <w:pStyle w:val="ListParagraph"/>
        <w:numPr>
          <w:ilvl w:val="0"/>
          <w:numId w:val="5"/>
        </w:numPr>
        <w:spacing w:line="240" w:lineRule="auto"/>
      </w:pPr>
      <w:r w:rsidRPr="00317F65">
        <w:t>Further research that addresses the future management of TBI.</w:t>
      </w:r>
    </w:p>
    <w:p w14:paraId="6B029BEC" w14:textId="77777777" w:rsidR="00CE436C" w:rsidRPr="00317F65" w:rsidRDefault="00CE436C" w:rsidP="00CE436C">
      <w:pPr>
        <w:pStyle w:val="ListParagraph"/>
        <w:numPr>
          <w:ilvl w:val="0"/>
          <w:numId w:val="5"/>
        </w:numPr>
        <w:spacing w:line="240" w:lineRule="auto"/>
      </w:pPr>
      <w:r w:rsidRPr="00317F65">
        <w:t>Enhance surveillance to monitor the national burden of TBI.</w:t>
      </w:r>
    </w:p>
    <w:p w14:paraId="5E2496C2" w14:textId="77777777" w:rsidR="00CE436C" w:rsidRPr="00317F65" w:rsidRDefault="00CE436C" w:rsidP="00CE436C">
      <w:pPr>
        <w:spacing w:line="240" w:lineRule="auto"/>
        <w:contextualSpacing/>
      </w:pPr>
    </w:p>
    <w:p w14:paraId="3CB86B37" w14:textId="77777777" w:rsidR="00CE436C" w:rsidRPr="0052748D" w:rsidRDefault="00CE436C" w:rsidP="00CE436C">
      <w:pPr>
        <w:spacing w:line="240" w:lineRule="auto"/>
        <w:contextualSpacing/>
        <w:rPr>
          <w:b/>
          <w:bCs/>
        </w:rPr>
      </w:pPr>
      <w:r w:rsidRPr="0052748D">
        <w:rPr>
          <w:b/>
          <w:bCs/>
        </w:rPr>
        <w:t>At the state level, decision-makers can:</w:t>
      </w:r>
    </w:p>
    <w:p w14:paraId="09F5F58D" w14:textId="77777777" w:rsidR="00CE436C" w:rsidRPr="0052748D" w:rsidRDefault="00CE436C" w:rsidP="00CE436C">
      <w:pPr>
        <w:pStyle w:val="ListParagraph"/>
        <w:numPr>
          <w:ilvl w:val="0"/>
          <w:numId w:val="4"/>
        </w:numPr>
        <w:spacing w:line="240" w:lineRule="auto"/>
      </w:pPr>
      <w:r w:rsidRPr="0052748D">
        <w:t>Identify the prevalence of disabilities due to TBI among their residents.</w:t>
      </w:r>
    </w:p>
    <w:p w14:paraId="3BD9CA29" w14:textId="77777777" w:rsidR="00CE436C" w:rsidRPr="0052748D" w:rsidRDefault="00CE436C" w:rsidP="00CE436C">
      <w:pPr>
        <w:pStyle w:val="ListParagraph"/>
        <w:numPr>
          <w:ilvl w:val="0"/>
          <w:numId w:val="4"/>
        </w:numPr>
        <w:spacing w:line="240" w:lineRule="auto"/>
      </w:pPr>
      <w:r w:rsidRPr="0052748D">
        <w:t>Screen for TBI history among persons who receive state-funded health and social services.</w:t>
      </w:r>
    </w:p>
    <w:p w14:paraId="2D2D599E" w14:textId="77777777" w:rsidR="00CE436C" w:rsidRPr="0052748D" w:rsidRDefault="00CE436C" w:rsidP="00CE436C">
      <w:pPr>
        <w:pStyle w:val="ListParagraph"/>
        <w:numPr>
          <w:ilvl w:val="0"/>
          <w:numId w:val="4"/>
        </w:numPr>
        <w:spacing w:line="240" w:lineRule="auto"/>
      </w:pPr>
      <w:r w:rsidRPr="0052748D">
        <w:t>Train health and social service professionals to recognize and minimize the effects of TBI on behavior.</w:t>
      </w:r>
    </w:p>
    <w:p w14:paraId="3FD3CA41" w14:textId="77777777" w:rsidR="00CE436C" w:rsidRPr="0052748D" w:rsidRDefault="00CE436C" w:rsidP="00CE436C">
      <w:pPr>
        <w:pStyle w:val="ListParagraph"/>
        <w:numPr>
          <w:ilvl w:val="0"/>
          <w:numId w:val="4"/>
        </w:numPr>
        <w:spacing w:line="240" w:lineRule="auto"/>
      </w:pPr>
      <w:r w:rsidRPr="0052748D">
        <w:t>Make home and community services more accessible to people with TBI.</w:t>
      </w:r>
    </w:p>
    <w:p w14:paraId="3B0300DF" w14:textId="77777777" w:rsidR="00CE436C" w:rsidRPr="00317F65" w:rsidRDefault="00CE436C" w:rsidP="00CE436C">
      <w:pPr>
        <w:spacing w:line="240" w:lineRule="auto"/>
        <w:contextualSpacing/>
      </w:pPr>
    </w:p>
    <w:p w14:paraId="7D453C01" w14:textId="77777777" w:rsidR="00CE436C" w:rsidRPr="00317F65" w:rsidRDefault="00CE436C" w:rsidP="00CE436C">
      <w:pPr>
        <w:spacing w:line="240" w:lineRule="auto"/>
        <w:contextualSpacing/>
        <w:rPr>
          <w:b/>
          <w:bCs/>
        </w:rPr>
      </w:pPr>
      <w:r w:rsidRPr="00317F65">
        <w:rPr>
          <w:b/>
          <w:bCs/>
        </w:rPr>
        <w:t>Health care providers can:</w:t>
      </w:r>
    </w:p>
    <w:p w14:paraId="641C0020" w14:textId="77777777" w:rsidR="00CE436C" w:rsidRPr="00317F65" w:rsidRDefault="00CE436C" w:rsidP="00CE436C">
      <w:pPr>
        <w:pStyle w:val="ListParagraph"/>
        <w:numPr>
          <w:ilvl w:val="0"/>
          <w:numId w:val="3"/>
        </w:numPr>
        <w:spacing w:line="240" w:lineRule="auto"/>
      </w:pPr>
      <w:r w:rsidRPr="00317F65">
        <w:t>Determine if their patients have experienced TBI and understand the impact of TBI on the current health status of patients.</w:t>
      </w:r>
    </w:p>
    <w:p w14:paraId="213DBEF1" w14:textId="77777777" w:rsidR="00CE436C" w:rsidRPr="00317F65" w:rsidRDefault="00CE436C" w:rsidP="00CE436C">
      <w:pPr>
        <w:pStyle w:val="ListParagraph"/>
        <w:numPr>
          <w:ilvl w:val="0"/>
          <w:numId w:val="3"/>
        </w:numPr>
        <w:spacing w:line="240" w:lineRule="auto"/>
      </w:pPr>
      <w:r w:rsidRPr="00317F65">
        <w:t>Screen for and treat common, late-developing problems, such as depression, substance misuse, and weight gain.</w:t>
      </w:r>
    </w:p>
    <w:p w14:paraId="58D2EBEE" w14:textId="77777777" w:rsidR="00CE436C" w:rsidRPr="00317F65" w:rsidRDefault="00CE436C" w:rsidP="00CE436C">
      <w:pPr>
        <w:pStyle w:val="ListParagraph"/>
        <w:numPr>
          <w:ilvl w:val="0"/>
          <w:numId w:val="3"/>
        </w:numPr>
        <w:spacing w:line="240" w:lineRule="auto"/>
      </w:pPr>
      <w:r w:rsidRPr="00317F65">
        <w:t>Encourage lifestyles that promote brain health.</w:t>
      </w:r>
    </w:p>
    <w:p w14:paraId="2EB1F522" w14:textId="77777777" w:rsidR="00CE436C" w:rsidRPr="00317F65" w:rsidRDefault="00CE436C" w:rsidP="00CE436C">
      <w:pPr>
        <w:pStyle w:val="ListParagraph"/>
        <w:numPr>
          <w:ilvl w:val="0"/>
          <w:numId w:val="3"/>
        </w:numPr>
        <w:spacing w:line="240" w:lineRule="auto"/>
      </w:pPr>
      <w:r w:rsidRPr="00317F65">
        <w:lastRenderedPageBreak/>
        <w:t>Educate patients and their families to prevent or reduce late-occurring problems.</w:t>
      </w:r>
    </w:p>
    <w:p w14:paraId="2B81B913" w14:textId="77777777" w:rsidR="00CE436C" w:rsidRPr="00317F65" w:rsidRDefault="00CE436C" w:rsidP="00CE436C">
      <w:pPr>
        <w:spacing w:line="480" w:lineRule="auto"/>
        <w:contextualSpacing/>
        <w:rPr>
          <w:rFonts w:eastAsia="Times New Roman" w:cs="Times New Roman"/>
          <w:szCs w:val="24"/>
        </w:rPr>
      </w:pPr>
    </w:p>
    <w:p w14:paraId="2DF5C753" w14:textId="7929C290" w:rsidR="00D77815" w:rsidRPr="00317F65" w:rsidRDefault="00D77815" w:rsidP="006A1004">
      <w:pPr>
        <w:spacing w:line="480" w:lineRule="auto"/>
        <w:ind w:firstLine="720"/>
        <w:contextualSpacing/>
        <w:rPr>
          <w:rFonts w:eastAsia="Times New Roman" w:cs="Times New Roman"/>
          <w:szCs w:val="24"/>
        </w:rPr>
      </w:pPr>
      <w:r w:rsidRPr="00317F65">
        <w:rPr>
          <w:rFonts w:eastAsia="Times New Roman" w:cs="Times New Roman"/>
          <w:szCs w:val="24"/>
        </w:rPr>
        <w:br w:type="page"/>
      </w:r>
    </w:p>
    <w:p w14:paraId="5B551DA3" w14:textId="3B0445C7" w:rsidR="003D4B17" w:rsidRPr="005F0273" w:rsidRDefault="00327B7E" w:rsidP="005F0273">
      <w:pPr>
        <w:pStyle w:val="Heading3"/>
        <w:jc w:val="center"/>
        <w:rPr>
          <w:color w:val="auto"/>
        </w:rPr>
      </w:pPr>
      <w:r w:rsidRPr="005F0273">
        <w:rPr>
          <w:color w:val="auto"/>
        </w:rPr>
        <w:lastRenderedPageBreak/>
        <w:t>References</w:t>
      </w:r>
    </w:p>
    <w:p w14:paraId="2D363893" w14:textId="164F2D66" w:rsidR="00E51109" w:rsidRPr="00317F65" w:rsidRDefault="00E51109" w:rsidP="00E51109">
      <w:pPr>
        <w:spacing w:line="480" w:lineRule="auto"/>
        <w:ind w:left="720" w:hanging="720"/>
        <w:contextualSpacing/>
        <w:textAlignment w:val="baseline"/>
      </w:pPr>
      <w:r w:rsidRPr="00317F65">
        <w:t>American Psychiatric Association. (</w:t>
      </w:r>
      <w:r w:rsidR="00AF63C6" w:rsidRPr="00317F65">
        <w:t>2022</w:t>
      </w:r>
      <w:r w:rsidRPr="00317F65">
        <w:t>).</w:t>
      </w:r>
      <w:r w:rsidRPr="00317F65">
        <w:rPr>
          <w:rStyle w:val="apple-converted-space"/>
        </w:rPr>
        <w:t> </w:t>
      </w:r>
      <w:r w:rsidRPr="00317F65">
        <w:rPr>
          <w:rStyle w:val="ncitalic"/>
          <w:i/>
          <w:iCs/>
          <w:bdr w:val="none" w:sz="0" w:space="0" w:color="auto" w:frame="1"/>
        </w:rPr>
        <w:t>Diagnostic and statistical manual of mental disorders</w:t>
      </w:r>
      <w:r w:rsidR="00AF63C6" w:rsidRPr="00317F65">
        <w:rPr>
          <w:rStyle w:val="ncitalic"/>
          <w:i/>
          <w:iCs/>
          <w:bdr w:val="none" w:sz="0" w:space="0" w:color="auto" w:frame="1"/>
        </w:rPr>
        <w:t xml:space="preserve"> – Text Revision</w:t>
      </w:r>
      <w:r w:rsidRPr="00317F65">
        <w:t xml:space="preserve"> (5th ed.</w:t>
      </w:r>
      <w:r w:rsidR="002007D1" w:rsidRPr="00317F65">
        <w:t xml:space="preserve"> TR</w:t>
      </w:r>
      <w:r w:rsidRPr="00317F65">
        <w:t>). Washington, DC: American Psychiatric Association.</w:t>
      </w:r>
    </w:p>
    <w:p w14:paraId="1425216B" w14:textId="77777777" w:rsidR="00E51109" w:rsidRPr="00317F65" w:rsidRDefault="00E51109" w:rsidP="00E51109">
      <w:pPr>
        <w:spacing w:line="480" w:lineRule="auto"/>
        <w:ind w:left="720" w:hanging="720"/>
        <w:contextualSpacing/>
      </w:pPr>
      <w:r w:rsidRPr="00317F65">
        <w:t xml:space="preserve">Belanger, H. G., Curtiss, G., Demery, J. A., </w:t>
      </w:r>
      <w:proofErr w:type="spellStart"/>
      <w:r w:rsidRPr="00317F65">
        <w:t>Lebowitz</w:t>
      </w:r>
      <w:proofErr w:type="spellEnd"/>
      <w:r w:rsidRPr="00317F65">
        <w:t xml:space="preserve">, B. K., &amp; </w:t>
      </w:r>
      <w:proofErr w:type="spellStart"/>
      <w:r w:rsidRPr="00317F65">
        <w:t>Vanderploeg</w:t>
      </w:r>
      <w:proofErr w:type="spellEnd"/>
      <w:r w:rsidRPr="00317F65">
        <w:t xml:space="preserve">, R. D. (2005). Factors moderating neuropsychological outcomes following mild traumatic brain injury: A meta-analysis. </w:t>
      </w:r>
      <w:r w:rsidRPr="00317F65">
        <w:rPr>
          <w:i/>
          <w:iCs/>
        </w:rPr>
        <w:t>Journal of the International Neuropsychological Society, 11</w:t>
      </w:r>
      <w:r w:rsidRPr="00317F65">
        <w:t>(3), 215-227. https://doi.org/10.1017/S1355617705050277</w:t>
      </w:r>
    </w:p>
    <w:p w14:paraId="6F7FBA51" w14:textId="288F6CF5" w:rsidR="00E51109" w:rsidRPr="00317F65" w:rsidRDefault="00E51109" w:rsidP="00E51109">
      <w:pPr>
        <w:pStyle w:val="Default"/>
        <w:spacing w:line="480" w:lineRule="auto"/>
        <w:ind w:left="720" w:hanging="720"/>
        <w:contextualSpacing/>
        <w:rPr>
          <w:szCs w:val="23"/>
        </w:rPr>
      </w:pPr>
      <w:r w:rsidRPr="00317F65">
        <w:rPr>
          <w:szCs w:val="23"/>
        </w:rPr>
        <w:t xml:space="preserve">Center for Disease Control and Prevention (2019). Surveillance Report of Traumatic Brain Injury-related Emergency Department Visits, Hospitalizations, and Deaths—United States, 2014. </w:t>
      </w:r>
      <w:r w:rsidRPr="00317F65">
        <w:rPr>
          <w:i/>
          <w:iCs/>
          <w:szCs w:val="23"/>
        </w:rPr>
        <w:t>Centers for Disease Control and Prevention, U.S. Department of Health and Human Services</w:t>
      </w:r>
      <w:r w:rsidRPr="00317F65">
        <w:rPr>
          <w:szCs w:val="23"/>
        </w:rPr>
        <w:t xml:space="preserve">. Center for Substance Abuse Treatment. (2010). Treating clients with traumatic brain injury. </w:t>
      </w:r>
      <w:r w:rsidRPr="00317F65">
        <w:rPr>
          <w:i/>
          <w:iCs/>
          <w:szCs w:val="23"/>
        </w:rPr>
        <w:t>Substance Abuse Treatment Advisory, 9</w:t>
      </w:r>
      <w:r w:rsidRPr="00317F65">
        <w:rPr>
          <w:szCs w:val="23"/>
        </w:rPr>
        <w:t>, 1-8.</w:t>
      </w:r>
    </w:p>
    <w:p w14:paraId="2153C893" w14:textId="37587237" w:rsidR="00D47096" w:rsidRPr="00317F65" w:rsidRDefault="00D47096" w:rsidP="00E51109">
      <w:pPr>
        <w:pStyle w:val="Default"/>
        <w:spacing w:line="480" w:lineRule="auto"/>
        <w:ind w:left="720" w:hanging="720"/>
        <w:contextualSpacing/>
        <w:rPr>
          <w:szCs w:val="23"/>
        </w:rPr>
      </w:pPr>
      <w:r w:rsidRPr="00317F65">
        <w:rPr>
          <w:szCs w:val="23"/>
        </w:rPr>
        <w:t xml:space="preserve">Centers </w:t>
      </w:r>
      <w:proofErr w:type="spellStart"/>
      <w:r w:rsidRPr="00317F65">
        <w:rPr>
          <w:szCs w:val="23"/>
        </w:rPr>
        <w:t>or</w:t>
      </w:r>
      <w:proofErr w:type="spellEnd"/>
      <w:r w:rsidRPr="00317F65">
        <w:rPr>
          <w:szCs w:val="23"/>
        </w:rPr>
        <w:t xml:space="preserve"> Disease Control and Prevention (2022). State injury indicators report: Instructions for preparing 2020 data. Retrieved from </w:t>
      </w:r>
      <w:hyperlink r:id="rId16" w:history="1">
        <w:r w:rsidRPr="00317F65">
          <w:rPr>
            <w:rStyle w:val="Hyperlink"/>
            <w:szCs w:val="23"/>
          </w:rPr>
          <w:t>https://www.cdc.gov/injury/pdfs/2020_state_injury_indicator_instructions-508.pdf</w:t>
        </w:r>
      </w:hyperlink>
      <w:r w:rsidRPr="00317F65">
        <w:rPr>
          <w:szCs w:val="23"/>
        </w:rPr>
        <w:t xml:space="preserve"> </w:t>
      </w:r>
    </w:p>
    <w:p w14:paraId="121BBB53" w14:textId="77777777" w:rsidR="00E51109" w:rsidRPr="00317F65" w:rsidRDefault="00E51109" w:rsidP="00E51109">
      <w:pPr>
        <w:spacing w:line="480" w:lineRule="auto"/>
        <w:ind w:left="720" w:hanging="720"/>
        <w:contextualSpacing/>
        <w:rPr>
          <w:color w:val="0000FF"/>
          <w:szCs w:val="23"/>
        </w:rPr>
      </w:pPr>
      <w:r w:rsidRPr="00317F65">
        <w:rPr>
          <w:szCs w:val="23"/>
        </w:rPr>
        <w:t xml:space="preserve">Corrigan, J. D., Bogner, J., &amp; Holloman, C. (2012). Lifetime history of traumatic brain injury among persons with substance use disorders. </w:t>
      </w:r>
      <w:r w:rsidRPr="00317F65">
        <w:rPr>
          <w:i/>
          <w:iCs/>
          <w:szCs w:val="23"/>
        </w:rPr>
        <w:t>Brain Injury, 26</w:t>
      </w:r>
      <w:r w:rsidRPr="00317F65">
        <w:rPr>
          <w:szCs w:val="23"/>
        </w:rPr>
        <w:t xml:space="preserve">, 139–150. </w:t>
      </w:r>
      <w:hyperlink r:id="rId17" w:history="1">
        <w:r w:rsidRPr="00317F65">
          <w:rPr>
            <w:rStyle w:val="Hyperlink"/>
            <w:szCs w:val="23"/>
          </w:rPr>
          <w:t>https://doi.org/10.3109/02699052.2011.648705</w:t>
        </w:r>
      </w:hyperlink>
    </w:p>
    <w:p w14:paraId="4CEE2968" w14:textId="77777777" w:rsidR="00E51109" w:rsidRPr="00317F65" w:rsidRDefault="00E51109" w:rsidP="00E51109">
      <w:pPr>
        <w:spacing w:line="480" w:lineRule="auto"/>
        <w:ind w:left="720" w:hanging="720"/>
        <w:contextualSpacing/>
      </w:pPr>
      <w:bookmarkStart w:id="7" w:name="_Hlk46713599"/>
      <w:r w:rsidRPr="00317F65">
        <w:t xml:space="preserve">Dams-O’Connor, K., Cantor, J. B., Brown, N., </w:t>
      </w:r>
      <w:proofErr w:type="spellStart"/>
      <w:r w:rsidRPr="00317F65">
        <w:t>Dijkers</w:t>
      </w:r>
      <w:proofErr w:type="spellEnd"/>
      <w:r w:rsidRPr="00317F65">
        <w:t xml:space="preserve">, M. P., Spielman, L. A., &amp; Gordon, W. A. (2016). Screening for Traumatic Brain Injury: Findings and public health implications. </w:t>
      </w:r>
      <w:r w:rsidRPr="00317F65">
        <w:rPr>
          <w:i/>
          <w:iCs/>
        </w:rPr>
        <w:t>Journal of Head Trauma Rehabilitation</w:t>
      </w:r>
      <w:r w:rsidRPr="00317F65">
        <w:t xml:space="preserve">, </w:t>
      </w:r>
      <w:r w:rsidRPr="00317F65">
        <w:rPr>
          <w:i/>
          <w:iCs/>
        </w:rPr>
        <w:t>29</w:t>
      </w:r>
      <w:r w:rsidRPr="00317F65">
        <w:t xml:space="preserve">(6), 479-489. </w:t>
      </w:r>
      <w:r w:rsidRPr="00317F65">
        <w:br/>
        <w:t>doi:10.1097/HTR.0000000000000099</w:t>
      </w:r>
    </w:p>
    <w:bookmarkEnd w:id="7"/>
    <w:p w14:paraId="67B754D8" w14:textId="77777777" w:rsidR="00E51109" w:rsidRPr="00317F65" w:rsidRDefault="00E51109" w:rsidP="00E51109">
      <w:pPr>
        <w:spacing w:line="480" w:lineRule="auto"/>
        <w:ind w:left="720" w:hanging="720"/>
        <w:contextualSpacing/>
        <w:rPr>
          <w:color w:val="0000FF"/>
          <w:szCs w:val="23"/>
        </w:rPr>
      </w:pPr>
      <w:r w:rsidRPr="00317F65">
        <w:rPr>
          <w:szCs w:val="23"/>
        </w:rPr>
        <w:t xml:space="preserve">Durand, E., </w:t>
      </w:r>
      <w:proofErr w:type="spellStart"/>
      <w:r w:rsidRPr="00317F65">
        <w:rPr>
          <w:szCs w:val="23"/>
        </w:rPr>
        <w:t>Chevignard</w:t>
      </w:r>
      <w:proofErr w:type="spellEnd"/>
      <w:r w:rsidRPr="00317F65">
        <w:rPr>
          <w:szCs w:val="23"/>
        </w:rPr>
        <w:t xml:space="preserve">, M., </w:t>
      </w:r>
      <w:proofErr w:type="spellStart"/>
      <w:r w:rsidRPr="00317F65">
        <w:rPr>
          <w:szCs w:val="23"/>
        </w:rPr>
        <w:t>Ruet</w:t>
      </w:r>
      <w:proofErr w:type="spellEnd"/>
      <w:r w:rsidRPr="00317F65">
        <w:rPr>
          <w:szCs w:val="23"/>
        </w:rPr>
        <w:t xml:space="preserve">, A., </w:t>
      </w:r>
      <w:proofErr w:type="spellStart"/>
      <w:r w:rsidRPr="00317F65">
        <w:rPr>
          <w:szCs w:val="23"/>
        </w:rPr>
        <w:t>Dereix</w:t>
      </w:r>
      <w:proofErr w:type="spellEnd"/>
      <w:r w:rsidRPr="00317F65">
        <w:rPr>
          <w:szCs w:val="23"/>
        </w:rPr>
        <w:t xml:space="preserve">, A., Jourdan, C., &amp; </w:t>
      </w:r>
      <w:proofErr w:type="spellStart"/>
      <w:r w:rsidRPr="00317F65">
        <w:rPr>
          <w:szCs w:val="23"/>
        </w:rPr>
        <w:t>Pradat</w:t>
      </w:r>
      <w:proofErr w:type="spellEnd"/>
      <w:r w:rsidRPr="00317F65">
        <w:rPr>
          <w:szCs w:val="23"/>
        </w:rPr>
        <w:t xml:space="preserve">-Diehl, P. (2017). History of traumatic brain injury in prison populations: A systematic review. </w:t>
      </w:r>
      <w:r w:rsidRPr="00317F65">
        <w:rPr>
          <w:i/>
          <w:iCs/>
          <w:szCs w:val="23"/>
        </w:rPr>
        <w:t xml:space="preserve">Annals of </w:t>
      </w:r>
      <w:r w:rsidRPr="00317F65">
        <w:rPr>
          <w:i/>
          <w:iCs/>
          <w:szCs w:val="23"/>
        </w:rPr>
        <w:lastRenderedPageBreak/>
        <w:t>Physical and Rehabilitation Medicine, 60</w:t>
      </w:r>
      <w:r w:rsidRPr="00317F65">
        <w:rPr>
          <w:szCs w:val="23"/>
        </w:rPr>
        <w:t xml:space="preserve">, 95–101. </w:t>
      </w:r>
      <w:hyperlink r:id="rId18" w:history="1">
        <w:r w:rsidRPr="00317F65">
          <w:rPr>
            <w:rStyle w:val="Hyperlink"/>
            <w:szCs w:val="23"/>
          </w:rPr>
          <w:t>https://doi.org/10.1016/j.rehab.2017.02.003</w:t>
        </w:r>
      </w:hyperlink>
    </w:p>
    <w:p w14:paraId="7F3EC90B" w14:textId="77777777" w:rsidR="00E51109" w:rsidRPr="00317F65" w:rsidRDefault="00E51109" w:rsidP="00E51109">
      <w:pPr>
        <w:spacing w:line="480" w:lineRule="auto"/>
        <w:ind w:left="720" w:hanging="720"/>
        <w:contextualSpacing/>
      </w:pPr>
      <w:proofErr w:type="spellStart"/>
      <w:r w:rsidRPr="00317F65">
        <w:t>Gioia</w:t>
      </w:r>
      <w:proofErr w:type="spellEnd"/>
      <w:r w:rsidRPr="00317F65">
        <w:t xml:space="preserve">, G., &amp; Collins, M. (2006). Acute Concussion Evaluation (ACE): Physician/clinician office version. </w:t>
      </w:r>
      <w:r w:rsidRPr="00317F65">
        <w:rPr>
          <w:i/>
          <w:iCs/>
        </w:rPr>
        <w:t>Heads Up: Brain Injury In Your Practice toolkit, Centers for Disease Control and Prevention (CDC)</w:t>
      </w:r>
      <w:r w:rsidRPr="00317F65">
        <w:t>.</w:t>
      </w:r>
    </w:p>
    <w:p w14:paraId="26B39E63" w14:textId="77777777" w:rsidR="00E51109" w:rsidRPr="00317F65" w:rsidRDefault="00E51109" w:rsidP="00E51109">
      <w:pPr>
        <w:pStyle w:val="Default"/>
        <w:spacing w:line="480" w:lineRule="auto"/>
        <w:ind w:left="720" w:hanging="720"/>
        <w:contextualSpacing/>
        <w:rPr>
          <w:color w:val="0000FF"/>
          <w:szCs w:val="23"/>
        </w:rPr>
      </w:pPr>
      <w:proofErr w:type="spellStart"/>
      <w:r w:rsidRPr="00317F65">
        <w:rPr>
          <w:szCs w:val="23"/>
        </w:rPr>
        <w:t>Greve</w:t>
      </w:r>
      <w:proofErr w:type="spellEnd"/>
      <w:r w:rsidRPr="00317F65">
        <w:rPr>
          <w:szCs w:val="23"/>
        </w:rPr>
        <w:t xml:space="preserve">, M. W., &amp; Zink, B. J. (2009). Pathophysiology of traumatic brain injury. Mount Sinai Journal of Medicine, 76(2), 97–104. </w:t>
      </w:r>
      <w:hyperlink r:id="rId19" w:history="1">
        <w:r w:rsidRPr="00317F65">
          <w:rPr>
            <w:rStyle w:val="Hyperlink"/>
            <w:szCs w:val="23"/>
          </w:rPr>
          <w:t>http://dx.doi.org/10.1002/msj.20104</w:t>
        </w:r>
      </w:hyperlink>
    </w:p>
    <w:p w14:paraId="53D00B50" w14:textId="77777777" w:rsidR="00E51109" w:rsidRPr="00317F65" w:rsidRDefault="00E51109" w:rsidP="00E51109">
      <w:pPr>
        <w:spacing w:line="480" w:lineRule="auto"/>
        <w:ind w:left="720" w:hanging="720"/>
        <w:contextualSpacing/>
      </w:pPr>
      <w:bookmarkStart w:id="8" w:name="_Hlk99893443"/>
      <w:r w:rsidRPr="00317F65">
        <w:t xml:space="preserve">Ignacio, D. A., &amp; </w:t>
      </w:r>
      <w:proofErr w:type="spellStart"/>
      <w:r w:rsidRPr="00317F65">
        <w:t>Serpas</w:t>
      </w:r>
      <w:proofErr w:type="spellEnd"/>
      <w:r w:rsidRPr="00317F65">
        <w:t>, D. G. (2020). Lost in translation: A call to action addressing the disparities in postinjury rehabilitation for community-dwelling survivors of Traumatic Brain Injury</w:t>
      </w:r>
      <w:r w:rsidRPr="00317F65">
        <w:rPr>
          <w:i/>
          <w:iCs/>
        </w:rPr>
        <w:t>. APA Division 56: Journal of Trauma Psychology</w:t>
      </w:r>
      <w:r w:rsidRPr="00317F65">
        <w:t>, 22-24.</w:t>
      </w:r>
    </w:p>
    <w:bookmarkEnd w:id="8"/>
    <w:p w14:paraId="6F4EE39C" w14:textId="77777777" w:rsidR="00E51109" w:rsidRPr="00317F65" w:rsidRDefault="00E51109" w:rsidP="00E51109">
      <w:pPr>
        <w:pStyle w:val="Default"/>
        <w:spacing w:line="480" w:lineRule="auto"/>
        <w:ind w:left="720" w:hanging="720"/>
        <w:contextualSpacing/>
        <w:rPr>
          <w:szCs w:val="23"/>
        </w:rPr>
      </w:pPr>
      <w:r w:rsidRPr="00317F65">
        <w:rPr>
          <w:szCs w:val="23"/>
        </w:rPr>
        <w:t xml:space="preserve">Mayo, C. D., </w:t>
      </w:r>
      <w:proofErr w:type="spellStart"/>
      <w:r w:rsidRPr="00317F65">
        <w:rPr>
          <w:szCs w:val="23"/>
        </w:rPr>
        <w:t>Scarapicchhia</w:t>
      </w:r>
      <w:proofErr w:type="spellEnd"/>
      <w:r w:rsidRPr="00317F65">
        <w:rPr>
          <w:szCs w:val="23"/>
        </w:rPr>
        <w:t xml:space="preserve">, V., Robinson, L. K. &amp; </w:t>
      </w:r>
      <w:proofErr w:type="spellStart"/>
      <w:r w:rsidRPr="00317F65">
        <w:rPr>
          <w:szCs w:val="23"/>
        </w:rPr>
        <w:t>Gawryluk</w:t>
      </w:r>
      <w:proofErr w:type="spellEnd"/>
      <w:r w:rsidRPr="00317F65">
        <w:rPr>
          <w:szCs w:val="23"/>
        </w:rPr>
        <w:t xml:space="preserve">, J. R. (2019). Neuropsychological assessment of traumatic brain injury: Current ethical challenges and recommendations for future practice. Applied Neuropsychology of Adults, 26(4), 383–391. </w:t>
      </w:r>
      <w:r w:rsidRPr="00317F65">
        <w:rPr>
          <w:color w:val="0000FF"/>
          <w:szCs w:val="23"/>
        </w:rPr>
        <w:t>https://doi.org/10.1080/23279095.2017.1416472</w:t>
      </w:r>
    </w:p>
    <w:p w14:paraId="407ED8EC" w14:textId="77777777" w:rsidR="00E51109" w:rsidRPr="00317F65" w:rsidRDefault="00E51109" w:rsidP="00E51109">
      <w:pPr>
        <w:spacing w:line="480" w:lineRule="auto"/>
        <w:ind w:left="720" w:hanging="720"/>
        <w:contextualSpacing/>
        <w:rPr>
          <w:color w:val="000000"/>
        </w:rPr>
      </w:pPr>
      <w:r w:rsidRPr="00317F65">
        <w:rPr>
          <w:color w:val="000000"/>
        </w:rPr>
        <w:t xml:space="preserve">National Association of State Head Injury Administrators NASHIA (2014). TBI/ABI HCBS Waiver programs and other options for long-term services and supports. </w:t>
      </w:r>
      <w:r w:rsidRPr="00317F65">
        <w:rPr>
          <w:color w:val="000000"/>
        </w:rPr>
        <w:br/>
        <w:t xml:space="preserve">Retrieved from </w:t>
      </w:r>
      <w:hyperlink r:id="rId20" w:history="1">
        <w:r w:rsidRPr="00317F65">
          <w:rPr>
            <w:rStyle w:val="Hyperlink"/>
          </w:rPr>
          <w:t>www.nashia.org/pdf/tbi_hcbs_waiver_ltss_overview.pdf</w:t>
        </w:r>
      </w:hyperlink>
    </w:p>
    <w:p w14:paraId="5D54BC4F" w14:textId="77777777" w:rsidR="00E51109" w:rsidRPr="00317F65" w:rsidRDefault="00E51109" w:rsidP="00E51109">
      <w:pPr>
        <w:spacing w:line="480" w:lineRule="auto"/>
        <w:ind w:left="720" w:hanging="720"/>
        <w:contextualSpacing/>
      </w:pPr>
      <w:bookmarkStart w:id="9" w:name="_Hlk99893452"/>
      <w:r w:rsidRPr="00317F65">
        <w:t xml:space="preserve">Rao, V. A., Bechtold, K. T., Arciniegas, D. B., </w:t>
      </w:r>
      <w:proofErr w:type="spellStart"/>
      <w:r w:rsidRPr="00317F65">
        <w:t>Samus</w:t>
      </w:r>
      <w:proofErr w:type="spellEnd"/>
      <w:r w:rsidRPr="00317F65">
        <w:t xml:space="preserve">, Q. M., </w:t>
      </w:r>
      <w:proofErr w:type="spellStart"/>
      <w:r w:rsidRPr="00317F65">
        <w:t>Albreecht</w:t>
      </w:r>
      <w:proofErr w:type="spellEnd"/>
      <w:r w:rsidRPr="00317F65">
        <w:t xml:space="preserve">, J., Pugh, B. T., Jacoby, A., &amp; </w:t>
      </w:r>
      <w:proofErr w:type="spellStart"/>
      <w:r w:rsidRPr="00317F65">
        <w:t>Buenaver</w:t>
      </w:r>
      <w:proofErr w:type="spellEnd"/>
      <w:r w:rsidRPr="00317F65">
        <w:t xml:space="preserve">, L. (2020). Establishment of a patient-centered outcomes research network for individuals with TBI and neuropsychiatric symptoms. </w:t>
      </w:r>
      <w:r w:rsidRPr="00317F65">
        <w:rPr>
          <w:i/>
          <w:iCs/>
        </w:rPr>
        <w:t>Brain Injury</w:t>
      </w:r>
      <w:r w:rsidRPr="00317F65">
        <w:t xml:space="preserve">, </w:t>
      </w:r>
      <w:r w:rsidRPr="00317F65">
        <w:rPr>
          <w:i/>
          <w:iCs/>
        </w:rPr>
        <w:t>34</w:t>
      </w:r>
      <w:r w:rsidRPr="00317F65">
        <w:t xml:space="preserve">(4), 548-555. doi:10.1080/02699052.2020.1725980 </w:t>
      </w:r>
    </w:p>
    <w:bookmarkEnd w:id="9"/>
    <w:p w14:paraId="16C91617" w14:textId="77777777" w:rsidR="00E51109" w:rsidRPr="00317F65" w:rsidRDefault="00E51109" w:rsidP="00E51109">
      <w:pPr>
        <w:spacing w:line="480" w:lineRule="auto"/>
        <w:ind w:left="720" w:hanging="720"/>
        <w:contextualSpacing/>
        <w:rPr>
          <w:color w:val="0000FF"/>
          <w:szCs w:val="23"/>
        </w:rPr>
      </w:pPr>
      <w:r w:rsidRPr="00317F65">
        <w:rPr>
          <w:szCs w:val="23"/>
        </w:rPr>
        <w:t xml:space="preserve">Schofield, P. W., </w:t>
      </w:r>
      <w:proofErr w:type="spellStart"/>
      <w:r w:rsidRPr="00317F65">
        <w:rPr>
          <w:szCs w:val="23"/>
        </w:rPr>
        <w:t>Malacova</w:t>
      </w:r>
      <w:proofErr w:type="spellEnd"/>
      <w:r w:rsidRPr="00317F65">
        <w:rPr>
          <w:szCs w:val="23"/>
        </w:rPr>
        <w:t xml:space="preserve">, E., Preen, D. B., </w:t>
      </w:r>
      <w:proofErr w:type="spellStart"/>
      <w:r w:rsidRPr="00317F65">
        <w:rPr>
          <w:szCs w:val="23"/>
        </w:rPr>
        <w:t>D’Este</w:t>
      </w:r>
      <w:proofErr w:type="spellEnd"/>
      <w:r w:rsidRPr="00317F65">
        <w:rPr>
          <w:szCs w:val="23"/>
        </w:rPr>
        <w:t xml:space="preserve">, C., Tate, R., Reekie, J. Wand, H., &amp; Butler, T. (2015). Does traumatic brain injury lead to criminality? A whole-population </w:t>
      </w:r>
      <w:r w:rsidRPr="00317F65">
        <w:rPr>
          <w:szCs w:val="23"/>
        </w:rPr>
        <w:lastRenderedPageBreak/>
        <w:t xml:space="preserve">retrospective cohort study using linked data. </w:t>
      </w:r>
      <w:proofErr w:type="spellStart"/>
      <w:r w:rsidRPr="00317F65">
        <w:rPr>
          <w:i/>
          <w:iCs/>
          <w:szCs w:val="23"/>
        </w:rPr>
        <w:t>PLoS</w:t>
      </w:r>
      <w:proofErr w:type="spellEnd"/>
      <w:r w:rsidRPr="00317F65">
        <w:rPr>
          <w:i/>
          <w:iCs/>
          <w:szCs w:val="23"/>
        </w:rPr>
        <w:t xml:space="preserve"> ONE, 19</w:t>
      </w:r>
      <w:r w:rsidRPr="00317F65">
        <w:rPr>
          <w:szCs w:val="23"/>
        </w:rPr>
        <w:t xml:space="preserve">, e0132558. </w:t>
      </w:r>
      <w:hyperlink r:id="rId21" w:history="1">
        <w:r w:rsidRPr="00317F65">
          <w:rPr>
            <w:rStyle w:val="Hyperlink"/>
            <w:szCs w:val="23"/>
          </w:rPr>
          <w:t>http://dx.doi.org/10.1371/journal.pone.0132558</w:t>
        </w:r>
      </w:hyperlink>
    </w:p>
    <w:p w14:paraId="3B613FB5" w14:textId="77777777" w:rsidR="00E51109" w:rsidRPr="00317F65" w:rsidRDefault="00E51109" w:rsidP="00E51109">
      <w:pPr>
        <w:spacing w:line="480" w:lineRule="auto"/>
        <w:ind w:left="720" w:hanging="720"/>
        <w:contextualSpacing/>
        <w:rPr>
          <w:szCs w:val="23"/>
        </w:rPr>
      </w:pPr>
      <w:r w:rsidRPr="00317F65">
        <w:rPr>
          <w:szCs w:val="23"/>
        </w:rPr>
        <w:t xml:space="preserve">Stubbs, J. L., Thornton, A. E., </w:t>
      </w:r>
      <w:proofErr w:type="spellStart"/>
      <w:r w:rsidRPr="00317F65">
        <w:rPr>
          <w:szCs w:val="23"/>
        </w:rPr>
        <w:t>Sevick</w:t>
      </w:r>
      <w:proofErr w:type="spellEnd"/>
      <w:r w:rsidRPr="00317F65">
        <w:rPr>
          <w:szCs w:val="23"/>
        </w:rPr>
        <w:t xml:space="preserve">, J. M., </w:t>
      </w:r>
      <w:proofErr w:type="spellStart"/>
      <w:r w:rsidRPr="00317F65">
        <w:rPr>
          <w:szCs w:val="23"/>
        </w:rPr>
        <w:t>Silverbeg</w:t>
      </w:r>
      <w:proofErr w:type="spellEnd"/>
      <w:r w:rsidRPr="00317F65">
        <w:rPr>
          <w:szCs w:val="23"/>
        </w:rPr>
        <w:t xml:space="preserve">, N. D., Barr, A. M., </w:t>
      </w:r>
      <w:proofErr w:type="spellStart"/>
      <w:r w:rsidRPr="00317F65">
        <w:rPr>
          <w:szCs w:val="23"/>
        </w:rPr>
        <w:t>Honer</w:t>
      </w:r>
      <w:proofErr w:type="spellEnd"/>
      <w:r w:rsidRPr="00317F65">
        <w:rPr>
          <w:szCs w:val="23"/>
        </w:rPr>
        <w:t xml:space="preserve">, W. G., &amp; Panenka, W. J. (2019). Traumatic brain injury in homeless and marginally housed individuals: A systematic review and meta-analysis. </w:t>
      </w:r>
      <w:r w:rsidRPr="00317F65">
        <w:rPr>
          <w:i/>
          <w:iCs/>
          <w:szCs w:val="23"/>
        </w:rPr>
        <w:t>S2468-2667</w:t>
      </w:r>
      <w:r w:rsidRPr="00317F65">
        <w:rPr>
          <w:szCs w:val="23"/>
        </w:rPr>
        <w:t>, 30225–30227.</w:t>
      </w:r>
    </w:p>
    <w:p w14:paraId="1CD5C3F2" w14:textId="77777777" w:rsidR="00E51109" w:rsidRPr="00317F65" w:rsidRDefault="00E51109" w:rsidP="00E51109">
      <w:pPr>
        <w:spacing w:line="480" w:lineRule="auto"/>
        <w:ind w:left="720" w:hanging="720"/>
        <w:contextualSpacing/>
      </w:pPr>
      <w:proofErr w:type="spellStart"/>
      <w:r w:rsidRPr="00317F65">
        <w:t>Theadom</w:t>
      </w:r>
      <w:proofErr w:type="spellEnd"/>
      <w:r w:rsidRPr="00317F65">
        <w:t>, A., McDonald, S., Starkey, N., Barker-</w:t>
      </w:r>
      <w:proofErr w:type="spellStart"/>
      <w:r w:rsidRPr="00317F65">
        <w:t>Collo</w:t>
      </w:r>
      <w:proofErr w:type="spellEnd"/>
      <w:r w:rsidRPr="00317F65">
        <w:t xml:space="preserve">, S., Jones, K. M., </w:t>
      </w:r>
      <w:proofErr w:type="spellStart"/>
      <w:r w:rsidRPr="00317F65">
        <w:t>Ameratunga</w:t>
      </w:r>
      <w:proofErr w:type="spellEnd"/>
      <w:r w:rsidRPr="00317F65">
        <w:t xml:space="preserve">, S., … &amp; </w:t>
      </w:r>
      <w:proofErr w:type="spellStart"/>
      <w:r w:rsidRPr="00317F65">
        <w:t>Feigin</w:t>
      </w:r>
      <w:proofErr w:type="spellEnd"/>
      <w:r w:rsidRPr="00317F65">
        <w:t xml:space="preserve">, V. L. (2019). Social cognition four years after mild-TBI: An age-matched prospective longitudinal cohort study. </w:t>
      </w:r>
      <w:r w:rsidRPr="00317F65">
        <w:rPr>
          <w:i/>
          <w:iCs/>
        </w:rPr>
        <w:t>Neuropsychology, 33</w:t>
      </w:r>
      <w:r w:rsidRPr="00317F65">
        <w:t xml:space="preserve">(4), 560–567. </w:t>
      </w:r>
      <w:hyperlink r:id="rId22" w:history="1">
        <w:r w:rsidRPr="00317F65">
          <w:rPr>
            <w:rStyle w:val="Hyperlink"/>
          </w:rPr>
          <w:t>http://dx.doi.org/10.1037/neu0000516</w:t>
        </w:r>
      </w:hyperlink>
      <w:r w:rsidRPr="00317F65">
        <w:t xml:space="preserve"> </w:t>
      </w:r>
    </w:p>
    <w:p w14:paraId="4FCACF70" w14:textId="77777777" w:rsidR="00E51109" w:rsidRPr="00317F65" w:rsidRDefault="00E51109" w:rsidP="00E51109">
      <w:pPr>
        <w:spacing w:line="480" w:lineRule="auto"/>
        <w:ind w:left="720" w:hanging="720"/>
        <w:contextualSpacing/>
      </w:pPr>
      <w:r w:rsidRPr="00317F65">
        <w:t xml:space="preserve">United States Census Bureau (2016). 2011-2015 American Community Survey, 5-year Estimate. Retrieved from </w:t>
      </w:r>
      <w:hyperlink r:id="rId23" w:history="1">
        <w:r w:rsidRPr="00317F65">
          <w:rPr>
            <w:rStyle w:val="Hyperlink"/>
          </w:rPr>
          <w:t>www.census.gov/programs-surveys/geography/guidance/geo-areas/urban-rural.html</w:t>
        </w:r>
      </w:hyperlink>
    </w:p>
    <w:p w14:paraId="3284E231" w14:textId="523BEEBD" w:rsidR="00E51109" w:rsidRPr="00317F65" w:rsidRDefault="00E51109" w:rsidP="00E51109">
      <w:pPr>
        <w:spacing w:line="480" w:lineRule="auto"/>
        <w:ind w:left="720" w:hanging="720"/>
        <w:contextualSpacing/>
        <w:rPr>
          <w:color w:val="000000"/>
        </w:rPr>
      </w:pPr>
      <w:proofErr w:type="spellStart"/>
      <w:r w:rsidRPr="00317F65">
        <w:rPr>
          <w:color w:val="000000"/>
        </w:rPr>
        <w:t>Vanderploeg</w:t>
      </w:r>
      <w:proofErr w:type="spellEnd"/>
      <w:r w:rsidRPr="00317F65">
        <w:rPr>
          <w:color w:val="000000"/>
        </w:rPr>
        <w:t xml:space="preserve">, R. D., Belanger, H. G., Curtiss, G., Bowles, A. O., &amp; Cooper, D. B. (2019). Reconceptualizing rehabilitation of individuals with chronic symptoms following mild traumatic brain injury. </w:t>
      </w:r>
      <w:r w:rsidRPr="00317F65">
        <w:rPr>
          <w:i/>
          <w:iCs/>
          <w:color w:val="000000"/>
        </w:rPr>
        <w:t>Rehabilitation Psychology, 64</w:t>
      </w:r>
      <w:r w:rsidRPr="00317F65">
        <w:rPr>
          <w:color w:val="000000"/>
        </w:rPr>
        <w:t xml:space="preserve">(1), 1–12. </w:t>
      </w:r>
      <w:hyperlink r:id="rId24" w:history="1">
        <w:r w:rsidR="00443FD3" w:rsidRPr="00317F65">
          <w:rPr>
            <w:rStyle w:val="Hyperlink"/>
          </w:rPr>
          <w:t>http://dx.doi.org/10.1037/rep0000255</w:t>
        </w:r>
      </w:hyperlink>
    </w:p>
    <w:p w14:paraId="3B7D3376" w14:textId="4958512A" w:rsidR="00443FD3" w:rsidRPr="00317F65" w:rsidRDefault="00443FD3" w:rsidP="00443FD3">
      <w:pPr>
        <w:spacing w:line="480" w:lineRule="auto"/>
        <w:ind w:left="720" w:hanging="720"/>
        <w:contextualSpacing/>
      </w:pPr>
      <w:r w:rsidRPr="00317F65">
        <w:t xml:space="preserve">Vos, P. E., </w:t>
      </w:r>
      <w:proofErr w:type="spellStart"/>
      <w:r w:rsidRPr="00317F65">
        <w:t>Alekseenko</w:t>
      </w:r>
      <w:proofErr w:type="spellEnd"/>
      <w:r w:rsidRPr="00317F65">
        <w:t xml:space="preserve">, Y., </w:t>
      </w:r>
      <w:proofErr w:type="spellStart"/>
      <w:r w:rsidRPr="00317F65">
        <w:t>Battistin</w:t>
      </w:r>
      <w:proofErr w:type="spellEnd"/>
      <w:r w:rsidRPr="00317F65">
        <w:t xml:space="preserve">, L., </w:t>
      </w:r>
      <w:proofErr w:type="spellStart"/>
      <w:r w:rsidRPr="00317F65">
        <w:t>Ehler</w:t>
      </w:r>
      <w:proofErr w:type="spellEnd"/>
      <w:r w:rsidRPr="00317F65">
        <w:t xml:space="preserve">, E., </w:t>
      </w:r>
      <w:proofErr w:type="spellStart"/>
      <w:r w:rsidRPr="00317F65">
        <w:t>Gerstenbrand</w:t>
      </w:r>
      <w:proofErr w:type="spellEnd"/>
      <w:r w:rsidRPr="00317F65">
        <w:t xml:space="preserve">, F., </w:t>
      </w:r>
      <w:proofErr w:type="spellStart"/>
      <w:r w:rsidRPr="00317F65">
        <w:t>Muresanu</w:t>
      </w:r>
      <w:proofErr w:type="spellEnd"/>
      <w:r w:rsidRPr="00317F65">
        <w:t xml:space="preserve">, D. F., ... &amp; von Wild, K. (2012). Mild traumatic brain injury. </w:t>
      </w:r>
      <w:r w:rsidRPr="00317F65">
        <w:rPr>
          <w:i/>
          <w:iCs/>
        </w:rPr>
        <w:t>European Journal of Neurology, 19</w:t>
      </w:r>
      <w:r w:rsidRPr="00317F65">
        <w:t xml:space="preserve">(2), 191–198. </w:t>
      </w:r>
      <w:hyperlink r:id="rId25" w:history="1">
        <w:r w:rsidRPr="00317F65">
          <w:rPr>
            <w:rStyle w:val="Hyperlink"/>
          </w:rPr>
          <w:t>http://dx.doi.org/10.1111/j.1468-1331.2011.03581.x</w:t>
        </w:r>
      </w:hyperlink>
      <w:r w:rsidRPr="00317F65">
        <w:t xml:space="preserve"> </w:t>
      </w:r>
    </w:p>
    <w:p w14:paraId="2EE637DC" w14:textId="77777777" w:rsidR="00E51109" w:rsidRPr="00317F65" w:rsidRDefault="00E51109" w:rsidP="00E51109">
      <w:pPr>
        <w:spacing w:line="480" w:lineRule="auto"/>
        <w:ind w:left="720" w:hanging="720"/>
        <w:contextualSpacing/>
      </w:pPr>
      <w:bookmarkStart w:id="10" w:name="_Hlk57496845"/>
      <w:r w:rsidRPr="00317F65">
        <w:t xml:space="preserve">Weiner, S., Beall, J., Aguilar-Curry, C. M., Chui, D. (2020). SB-855 Health coverage: mental health or substance abuse disorders. Retrieved from </w:t>
      </w:r>
      <w:hyperlink r:id="rId26" w:history="1">
        <w:r w:rsidRPr="00317F65">
          <w:rPr>
            <w:rStyle w:val="Hyperlink"/>
          </w:rPr>
          <w:t>http://leginfo.legislature.ca.gov/faces/billTextClient.xhtml?bill_id=201920200SB855</w:t>
        </w:r>
      </w:hyperlink>
    </w:p>
    <w:bookmarkEnd w:id="10"/>
    <w:p w14:paraId="4BA11812" w14:textId="4F189C01" w:rsidR="006B7F50" w:rsidRPr="00317F65" w:rsidRDefault="006B7F50">
      <w:r w:rsidRPr="00317F65">
        <w:br w:type="page"/>
      </w:r>
    </w:p>
    <w:p w14:paraId="16427A4E" w14:textId="39E00466" w:rsidR="006B7F50" w:rsidRPr="00317F65" w:rsidRDefault="006B7F50" w:rsidP="002F536F">
      <w:pPr>
        <w:spacing w:line="480" w:lineRule="auto"/>
        <w:ind w:left="720" w:hanging="720"/>
        <w:contextualSpacing/>
      </w:pPr>
      <w:r w:rsidRPr="00317F65">
        <w:lastRenderedPageBreak/>
        <w:t>Table 1</w:t>
      </w:r>
    </w:p>
    <w:p w14:paraId="62158EBA" w14:textId="0A9C0B2B" w:rsidR="006B7F50" w:rsidRPr="00317F65" w:rsidRDefault="006B7F50" w:rsidP="002F536F">
      <w:pPr>
        <w:spacing w:line="480" w:lineRule="auto"/>
        <w:ind w:left="720" w:hanging="720"/>
        <w:contextualSpacing/>
      </w:pPr>
      <w:r w:rsidRPr="00317F65">
        <w:t>Centers for Disease Control’s proposed TBI Case Definition ICD 10 Diagnostic codes.</w:t>
      </w:r>
    </w:p>
    <w:p w14:paraId="7E25A1EF" w14:textId="384FC437" w:rsidR="00B94FE3" w:rsidRPr="00317F65" w:rsidRDefault="006B7F50" w:rsidP="002F536F">
      <w:pPr>
        <w:spacing w:line="480" w:lineRule="auto"/>
        <w:ind w:left="720" w:hanging="720"/>
        <w:contextualSpacing/>
      </w:pPr>
      <w:r w:rsidRPr="00317F65">
        <w:rPr>
          <w:noProof/>
        </w:rPr>
        <w:drawing>
          <wp:inline distT="0" distB="0" distL="0" distR="0" wp14:anchorId="606D89DB" wp14:editId="35D37788">
            <wp:extent cx="5943600" cy="3349625"/>
            <wp:effectExtent l="0" t="0" r="0" b="3175"/>
            <wp:docPr id="123906" name="Picture 1" descr="A screenshot of a medical report&#10;&#10;Includes proposed TBI Case Definition Diagnosis Codes for non-fatal hospitalizations">
              <a:extLst xmlns:a="http://schemas.openxmlformats.org/drawingml/2006/main">
                <a:ext uri="{FF2B5EF4-FFF2-40B4-BE49-F238E27FC236}">
                  <a16:creationId xmlns:a16="http://schemas.microsoft.com/office/drawing/2014/main" id="{2D272B58-39E6-404F-9235-EB7DA19161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06" name="Picture 1" descr="A screenshot of a medical report&#10;&#10;Includes proposed TBI Case Definition Diagnosis Codes for non-fatal hospitalizations">
                      <a:extLst>
                        <a:ext uri="{FF2B5EF4-FFF2-40B4-BE49-F238E27FC236}">
                          <a16:creationId xmlns:a16="http://schemas.microsoft.com/office/drawing/2014/main" id="{2D272B58-39E6-404F-9235-EB7DA1916133}"/>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349625"/>
                    </a:xfrm>
                    <a:prstGeom prst="rect">
                      <a:avLst/>
                    </a:prstGeom>
                    <a:noFill/>
                    <a:ln>
                      <a:noFill/>
                    </a:ln>
                  </pic:spPr>
                </pic:pic>
              </a:graphicData>
            </a:graphic>
          </wp:inline>
        </w:drawing>
      </w:r>
    </w:p>
    <w:p w14:paraId="672749D5" w14:textId="0300AE47" w:rsidR="00BB3966" w:rsidRPr="00317F65" w:rsidRDefault="00BB3966">
      <w:r w:rsidRPr="00317F65">
        <w:br w:type="page"/>
      </w:r>
    </w:p>
    <w:p w14:paraId="376CA58C" w14:textId="7E2E641D" w:rsidR="00BB3966" w:rsidRPr="00317F65" w:rsidRDefault="00BB3966" w:rsidP="00BB3966">
      <w:r w:rsidRPr="00317F65">
        <w:rPr>
          <w:b/>
        </w:rPr>
        <w:lastRenderedPageBreak/>
        <w:t xml:space="preserve">Table </w:t>
      </w:r>
      <w:r w:rsidR="006F6AD5">
        <w:rPr>
          <w:b/>
        </w:rPr>
        <w:t>2</w:t>
      </w:r>
      <w:r w:rsidRPr="00317F65">
        <w:rPr>
          <w:b/>
        </w:rPr>
        <w:t>.</w:t>
      </w:r>
      <w:r w:rsidRPr="00317F65">
        <w:t xml:space="preserve"> Population and Respondent Distributions by Gender and Age</w:t>
      </w:r>
    </w:p>
    <w:tbl>
      <w:tblPr>
        <w:tblStyle w:val="TableGrid"/>
        <w:tblW w:w="5000" w:type="pct"/>
        <w:tblLook w:val="04A0" w:firstRow="1" w:lastRow="0" w:firstColumn="1" w:lastColumn="0" w:noHBand="0" w:noVBand="1"/>
      </w:tblPr>
      <w:tblGrid>
        <w:gridCol w:w="1557"/>
        <w:gridCol w:w="1561"/>
        <w:gridCol w:w="1558"/>
        <w:gridCol w:w="1560"/>
        <w:gridCol w:w="1558"/>
        <w:gridCol w:w="1556"/>
      </w:tblGrid>
      <w:tr w:rsidR="00BB3966" w:rsidRPr="00317F65" w14:paraId="3AEF94F6" w14:textId="77777777" w:rsidTr="00346D95">
        <w:trPr>
          <w:trHeight w:val="290"/>
        </w:trPr>
        <w:tc>
          <w:tcPr>
            <w:tcW w:w="833" w:type="pct"/>
            <w:noWrap/>
            <w:hideMark/>
          </w:tcPr>
          <w:p w14:paraId="5E17ACBF" w14:textId="77777777" w:rsidR="00BB3966" w:rsidRPr="00317F65" w:rsidRDefault="00BB3966" w:rsidP="00593FED">
            <w:pPr>
              <w:jc w:val="center"/>
              <w:rPr>
                <w:rFonts w:eastAsia="Times New Roman"/>
                <w:b/>
                <w:bCs/>
                <w:color w:val="000000"/>
              </w:rPr>
            </w:pPr>
            <w:r w:rsidRPr="00317F65">
              <w:rPr>
                <w:rFonts w:eastAsia="Times New Roman"/>
                <w:b/>
                <w:bCs/>
                <w:color w:val="000000"/>
              </w:rPr>
              <w:t>Gender</w:t>
            </w:r>
          </w:p>
        </w:tc>
        <w:tc>
          <w:tcPr>
            <w:tcW w:w="835" w:type="pct"/>
            <w:noWrap/>
            <w:hideMark/>
          </w:tcPr>
          <w:p w14:paraId="4D4B00C4" w14:textId="77777777" w:rsidR="00BB3966" w:rsidRPr="00317F65" w:rsidRDefault="00BB3966" w:rsidP="00593FED">
            <w:pPr>
              <w:jc w:val="center"/>
              <w:rPr>
                <w:rFonts w:eastAsia="Times New Roman"/>
                <w:b/>
                <w:bCs/>
                <w:color w:val="000000"/>
              </w:rPr>
            </w:pPr>
            <w:r w:rsidRPr="00317F65">
              <w:rPr>
                <w:rFonts w:eastAsia="Times New Roman"/>
                <w:b/>
                <w:bCs/>
                <w:color w:val="000000"/>
              </w:rPr>
              <w:t>Age</w:t>
            </w:r>
          </w:p>
        </w:tc>
        <w:tc>
          <w:tcPr>
            <w:tcW w:w="1667" w:type="pct"/>
            <w:gridSpan w:val="2"/>
            <w:noWrap/>
            <w:hideMark/>
          </w:tcPr>
          <w:p w14:paraId="51692FD3" w14:textId="77777777" w:rsidR="00BB3966" w:rsidRPr="00317F65" w:rsidRDefault="00BB3966" w:rsidP="00593FED">
            <w:pPr>
              <w:jc w:val="center"/>
              <w:rPr>
                <w:rFonts w:eastAsia="Times New Roman"/>
                <w:b/>
                <w:bCs/>
                <w:color w:val="000000"/>
              </w:rPr>
            </w:pPr>
            <w:r w:rsidRPr="00317F65">
              <w:rPr>
                <w:rFonts w:eastAsia="Times New Roman"/>
                <w:b/>
                <w:bCs/>
                <w:color w:val="000000"/>
              </w:rPr>
              <w:t>Universe</w:t>
            </w:r>
          </w:p>
        </w:tc>
        <w:tc>
          <w:tcPr>
            <w:tcW w:w="1665" w:type="pct"/>
            <w:gridSpan w:val="2"/>
            <w:noWrap/>
            <w:hideMark/>
          </w:tcPr>
          <w:p w14:paraId="4B5C9C93" w14:textId="77777777" w:rsidR="00BB3966" w:rsidRPr="00317F65" w:rsidRDefault="00BB3966" w:rsidP="00593FED">
            <w:pPr>
              <w:jc w:val="center"/>
              <w:rPr>
                <w:rFonts w:eastAsia="Times New Roman"/>
                <w:b/>
                <w:bCs/>
                <w:color w:val="000000"/>
              </w:rPr>
            </w:pPr>
            <w:r w:rsidRPr="00317F65">
              <w:rPr>
                <w:rFonts w:eastAsia="Times New Roman"/>
                <w:b/>
                <w:bCs/>
                <w:color w:val="000000"/>
              </w:rPr>
              <w:t>Respondents</w:t>
            </w:r>
          </w:p>
        </w:tc>
      </w:tr>
      <w:tr w:rsidR="00346D95" w:rsidRPr="00317F65" w14:paraId="5FC7C8C6" w14:textId="77777777" w:rsidTr="00346D95">
        <w:trPr>
          <w:trHeight w:val="290"/>
        </w:trPr>
        <w:tc>
          <w:tcPr>
            <w:tcW w:w="833" w:type="pct"/>
            <w:vMerge w:val="restart"/>
            <w:noWrap/>
            <w:hideMark/>
          </w:tcPr>
          <w:p w14:paraId="143267E1" w14:textId="77777777" w:rsidR="00346D95" w:rsidRPr="00317F65" w:rsidRDefault="00346D95" w:rsidP="00593FED">
            <w:pPr>
              <w:jc w:val="center"/>
              <w:rPr>
                <w:rFonts w:eastAsia="Times New Roman"/>
                <w:color w:val="000000"/>
              </w:rPr>
            </w:pPr>
            <w:r w:rsidRPr="00317F65">
              <w:rPr>
                <w:rFonts w:eastAsia="Times New Roman"/>
                <w:color w:val="000000"/>
              </w:rPr>
              <w:t>Male</w:t>
            </w:r>
          </w:p>
        </w:tc>
        <w:tc>
          <w:tcPr>
            <w:tcW w:w="835" w:type="pct"/>
            <w:noWrap/>
            <w:hideMark/>
          </w:tcPr>
          <w:p w14:paraId="6CC7D34A" w14:textId="77777777" w:rsidR="00346D95" w:rsidRPr="00317F65" w:rsidRDefault="00346D95" w:rsidP="00593FED">
            <w:pPr>
              <w:jc w:val="center"/>
              <w:rPr>
                <w:rFonts w:eastAsia="Times New Roman"/>
                <w:color w:val="000000"/>
              </w:rPr>
            </w:pPr>
            <w:r w:rsidRPr="00317F65">
              <w:rPr>
                <w:rFonts w:eastAsia="Times New Roman"/>
                <w:color w:val="000000"/>
              </w:rPr>
              <w:t>18 - 24</w:t>
            </w:r>
          </w:p>
        </w:tc>
        <w:tc>
          <w:tcPr>
            <w:tcW w:w="833" w:type="pct"/>
            <w:noWrap/>
            <w:hideMark/>
          </w:tcPr>
          <w:p w14:paraId="4901B2B2" w14:textId="77777777" w:rsidR="00346D95" w:rsidRPr="00317F65" w:rsidRDefault="00346D95" w:rsidP="00593FED">
            <w:pPr>
              <w:jc w:val="center"/>
              <w:rPr>
                <w:rFonts w:eastAsia="Times New Roman"/>
                <w:color w:val="000000"/>
              </w:rPr>
            </w:pPr>
            <w:r w:rsidRPr="00317F65">
              <w:rPr>
                <w:color w:val="000000"/>
              </w:rPr>
              <w:t>1,851,911</w:t>
            </w:r>
          </w:p>
        </w:tc>
        <w:tc>
          <w:tcPr>
            <w:tcW w:w="834" w:type="pct"/>
            <w:noWrap/>
            <w:hideMark/>
          </w:tcPr>
          <w:p w14:paraId="61313765" w14:textId="77777777" w:rsidR="00346D95" w:rsidRPr="00317F65" w:rsidRDefault="00346D95" w:rsidP="00593FED">
            <w:pPr>
              <w:jc w:val="center"/>
              <w:rPr>
                <w:rFonts w:eastAsia="Times New Roman"/>
                <w:color w:val="000000"/>
              </w:rPr>
            </w:pPr>
            <w:r w:rsidRPr="00317F65">
              <w:rPr>
                <w:color w:val="000000"/>
              </w:rPr>
              <w:t>6.1%</w:t>
            </w:r>
          </w:p>
        </w:tc>
        <w:tc>
          <w:tcPr>
            <w:tcW w:w="833" w:type="pct"/>
            <w:noWrap/>
            <w:hideMark/>
          </w:tcPr>
          <w:p w14:paraId="38270AA3" w14:textId="77777777" w:rsidR="00346D95" w:rsidRPr="00317F65" w:rsidRDefault="00346D95" w:rsidP="00593FED">
            <w:pPr>
              <w:jc w:val="center"/>
              <w:rPr>
                <w:rFonts w:eastAsia="Times New Roman"/>
                <w:color w:val="000000"/>
              </w:rPr>
            </w:pPr>
            <w:r w:rsidRPr="00317F65">
              <w:rPr>
                <w:color w:val="000000"/>
              </w:rPr>
              <w:t>23</w:t>
            </w:r>
          </w:p>
        </w:tc>
        <w:tc>
          <w:tcPr>
            <w:tcW w:w="832" w:type="pct"/>
            <w:noWrap/>
            <w:hideMark/>
          </w:tcPr>
          <w:p w14:paraId="4CCFED19" w14:textId="77777777" w:rsidR="00346D95" w:rsidRPr="00317F65" w:rsidRDefault="00346D95" w:rsidP="00593FED">
            <w:pPr>
              <w:jc w:val="center"/>
              <w:rPr>
                <w:rFonts w:eastAsia="Times New Roman"/>
                <w:color w:val="000000"/>
              </w:rPr>
            </w:pPr>
            <w:r w:rsidRPr="00317F65">
              <w:rPr>
                <w:color w:val="000000"/>
              </w:rPr>
              <w:t>2.2%</w:t>
            </w:r>
          </w:p>
        </w:tc>
      </w:tr>
      <w:tr w:rsidR="00346D95" w:rsidRPr="00317F65" w14:paraId="04E69F51" w14:textId="77777777" w:rsidTr="00346D95">
        <w:trPr>
          <w:trHeight w:val="290"/>
        </w:trPr>
        <w:tc>
          <w:tcPr>
            <w:tcW w:w="833" w:type="pct"/>
            <w:vMerge/>
            <w:hideMark/>
          </w:tcPr>
          <w:p w14:paraId="0E6E34F7" w14:textId="77777777" w:rsidR="00346D95" w:rsidRPr="00317F65" w:rsidRDefault="00346D95" w:rsidP="00593FED">
            <w:pPr>
              <w:rPr>
                <w:rFonts w:eastAsia="Times New Roman"/>
                <w:color w:val="000000"/>
              </w:rPr>
            </w:pPr>
          </w:p>
        </w:tc>
        <w:tc>
          <w:tcPr>
            <w:tcW w:w="835" w:type="pct"/>
            <w:noWrap/>
            <w:hideMark/>
          </w:tcPr>
          <w:p w14:paraId="34F2A3D3" w14:textId="77777777" w:rsidR="00346D95" w:rsidRPr="00317F65" w:rsidRDefault="00346D95" w:rsidP="00593FED">
            <w:pPr>
              <w:jc w:val="center"/>
              <w:rPr>
                <w:rFonts w:eastAsia="Times New Roman"/>
                <w:color w:val="000000"/>
              </w:rPr>
            </w:pPr>
            <w:r w:rsidRPr="00317F65">
              <w:rPr>
                <w:rFonts w:eastAsia="Times New Roman"/>
                <w:color w:val="000000"/>
              </w:rPr>
              <w:t>25 - 34</w:t>
            </w:r>
          </w:p>
        </w:tc>
        <w:tc>
          <w:tcPr>
            <w:tcW w:w="833" w:type="pct"/>
            <w:noWrap/>
            <w:hideMark/>
          </w:tcPr>
          <w:p w14:paraId="5B83A30D" w14:textId="77777777" w:rsidR="00346D95" w:rsidRPr="00317F65" w:rsidRDefault="00346D95" w:rsidP="00593FED">
            <w:pPr>
              <w:jc w:val="center"/>
              <w:rPr>
                <w:rFonts w:eastAsia="Times New Roman"/>
                <w:color w:val="000000"/>
              </w:rPr>
            </w:pPr>
            <w:r w:rsidRPr="00317F65">
              <w:rPr>
                <w:color w:val="000000"/>
              </w:rPr>
              <w:t>3,050,941</w:t>
            </w:r>
          </w:p>
        </w:tc>
        <w:tc>
          <w:tcPr>
            <w:tcW w:w="834" w:type="pct"/>
            <w:noWrap/>
            <w:hideMark/>
          </w:tcPr>
          <w:p w14:paraId="64131BE9" w14:textId="77777777" w:rsidR="00346D95" w:rsidRPr="00317F65" w:rsidRDefault="00346D95" w:rsidP="00593FED">
            <w:pPr>
              <w:jc w:val="center"/>
              <w:rPr>
                <w:rFonts w:eastAsia="Times New Roman"/>
                <w:color w:val="000000"/>
              </w:rPr>
            </w:pPr>
            <w:r w:rsidRPr="00317F65">
              <w:rPr>
                <w:color w:val="000000"/>
              </w:rPr>
              <w:t>10.0%</w:t>
            </w:r>
          </w:p>
        </w:tc>
        <w:tc>
          <w:tcPr>
            <w:tcW w:w="833" w:type="pct"/>
            <w:noWrap/>
            <w:hideMark/>
          </w:tcPr>
          <w:p w14:paraId="4C22B2F4" w14:textId="77777777" w:rsidR="00346D95" w:rsidRPr="00317F65" w:rsidRDefault="00346D95" w:rsidP="00593FED">
            <w:pPr>
              <w:jc w:val="center"/>
              <w:rPr>
                <w:rFonts w:eastAsia="Times New Roman"/>
                <w:color w:val="000000"/>
              </w:rPr>
            </w:pPr>
            <w:r w:rsidRPr="00317F65">
              <w:rPr>
                <w:color w:val="000000"/>
              </w:rPr>
              <w:t>51</w:t>
            </w:r>
          </w:p>
        </w:tc>
        <w:tc>
          <w:tcPr>
            <w:tcW w:w="832" w:type="pct"/>
            <w:noWrap/>
            <w:hideMark/>
          </w:tcPr>
          <w:p w14:paraId="6A381766" w14:textId="77777777" w:rsidR="00346D95" w:rsidRPr="00317F65" w:rsidRDefault="00346D95" w:rsidP="00593FED">
            <w:pPr>
              <w:jc w:val="center"/>
              <w:rPr>
                <w:rFonts w:eastAsia="Times New Roman"/>
                <w:color w:val="000000"/>
              </w:rPr>
            </w:pPr>
            <w:r w:rsidRPr="00317F65">
              <w:rPr>
                <w:color w:val="000000"/>
              </w:rPr>
              <w:t>4.8%</w:t>
            </w:r>
          </w:p>
        </w:tc>
      </w:tr>
      <w:tr w:rsidR="00346D95" w:rsidRPr="00317F65" w14:paraId="46816FE5" w14:textId="77777777" w:rsidTr="00346D95">
        <w:trPr>
          <w:trHeight w:val="290"/>
        </w:trPr>
        <w:tc>
          <w:tcPr>
            <w:tcW w:w="833" w:type="pct"/>
            <w:vMerge/>
            <w:hideMark/>
          </w:tcPr>
          <w:p w14:paraId="1E7A9230" w14:textId="77777777" w:rsidR="00346D95" w:rsidRPr="00317F65" w:rsidRDefault="00346D95" w:rsidP="00593FED">
            <w:pPr>
              <w:rPr>
                <w:rFonts w:eastAsia="Times New Roman"/>
                <w:color w:val="000000"/>
              </w:rPr>
            </w:pPr>
          </w:p>
        </w:tc>
        <w:tc>
          <w:tcPr>
            <w:tcW w:w="835" w:type="pct"/>
            <w:noWrap/>
            <w:hideMark/>
          </w:tcPr>
          <w:p w14:paraId="5F46F1E9" w14:textId="77777777" w:rsidR="00346D95" w:rsidRPr="00317F65" w:rsidRDefault="00346D95" w:rsidP="00593FED">
            <w:pPr>
              <w:jc w:val="center"/>
              <w:rPr>
                <w:rFonts w:eastAsia="Times New Roman"/>
                <w:color w:val="000000"/>
              </w:rPr>
            </w:pPr>
            <w:r w:rsidRPr="00317F65">
              <w:rPr>
                <w:rFonts w:eastAsia="Times New Roman"/>
                <w:color w:val="000000"/>
              </w:rPr>
              <w:t>35 - 44</w:t>
            </w:r>
          </w:p>
        </w:tc>
        <w:tc>
          <w:tcPr>
            <w:tcW w:w="833" w:type="pct"/>
            <w:noWrap/>
            <w:hideMark/>
          </w:tcPr>
          <w:p w14:paraId="3FBB5382" w14:textId="77777777" w:rsidR="00346D95" w:rsidRPr="00317F65" w:rsidRDefault="00346D95" w:rsidP="00593FED">
            <w:pPr>
              <w:jc w:val="center"/>
              <w:rPr>
                <w:rFonts w:eastAsia="Times New Roman"/>
                <w:color w:val="000000"/>
              </w:rPr>
            </w:pPr>
            <w:r w:rsidRPr="00317F65">
              <w:rPr>
                <w:color w:val="000000"/>
              </w:rPr>
              <w:t>2,637,220</w:t>
            </w:r>
          </w:p>
        </w:tc>
        <w:tc>
          <w:tcPr>
            <w:tcW w:w="834" w:type="pct"/>
            <w:noWrap/>
            <w:hideMark/>
          </w:tcPr>
          <w:p w14:paraId="107F703B" w14:textId="77777777" w:rsidR="00346D95" w:rsidRPr="00317F65" w:rsidRDefault="00346D95" w:rsidP="00593FED">
            <w:pPr>
              <w:jc w:val="center"/>
              <w:rPr>
                <w:rFonts w:eastAsia="Times New Roman"/>
                <w:color w:val="000000"/>
              </w:rPr>
            </w:pPr>
            <w:r w:rsidRPr="00317F65">
              <w:rPr>
                <w:color w:val="000000"/>
              </w:rPr>
              <w:t>8.7%</w:t>
            </w:r>
          </w:p>
        </w:tc>
        <w:tc>
          <w:tcPr>
            <w:tcW w:w="833" w:type="pct"/>
            <w:noWrap/>
            <w:hideMark/>
          </w:tcPr>
          <w:p w14:paraId="04013E49" w14:textId="77777777" w:rsidR="00346D95" w:rsidRPr="00317F65" w:rsidRDefault="00346D95" w:rsidP="00593FED">
            <w:pPr>
              <w:jc w:val="center"/>
              <w:rPr>
                <w:rFonts w:eastAsia="Times New Roman"/>
                <w:color w:val="000000"/>
              </w:rPr>
            </w:pPr>
            <w:r w:rsidRPr="00317F65">
              <w:rPr>
                <w:color w:val="000000"/>
              </w:rPr>
              <w:t>77</w:t>
            </w:r>
          </w:p>
        </w:tc>
        <w:tc>
          <w:tcPr>
            <w:tcW w:w="832" w:type="pct"/>
            <w:noWrap/>
            <w:hideMark/>
          </w:tcPr>
          <w:p w14:paraId="3EBF287F" w14:textId="77777777" w:rsidR="00346D95" w:rsidRPr="00317F65" w:rsidRDefault="00346D95" w:rsidP="00593FED">
            <w:pPr>
              <w:jc w:val="center"/>
              <w:rPr>
                <w:rFonts w:eastAsia="Times New Roman"/>
                <w:color w:val="000000"/>
              </w:rPr>
            </w:pPr>
            <w:r w:rsidRPr="00317F65">
              <w:rPr>
                <w:color w:val="000000"/>
              </w:rPr>
              <w:t>7.3%</w:t>
            </w:r>
          </w:p>
        </w:tc>
      </w:tr>
      <w:tr w:rsidR="00346D95" w:rsidRPr="00317F65" w14:paraId="431B41B6" w14:textId="77777777" w:rsidTr="00346D95">
        <w:trPr>
          <w:trHeight w:val="290"/>
        </w:trPr>
        <w:tc>
          <w:tcPr>
            <w:tcW w:w="833" w:type="pct"/>
            <w:vMerge/>
            <w:hideMark/>
          </w:tcPr>
          <w:p w14:paraId="6EAE8346" w14:textId="77777777" w:rsidR="00346D95" w:rsidRPr="00317F65" w:rsidRDefault="00346D95" w:rsidP="00593FED">
            <w:pPr>
              <w:rPr>
                <w:rFonts w:eastAsia="Times New Roman"/>
                <w:color w:val="000000"/>
              </w:rPr>
            </w:pPr>
          </w:p>
        </w:tc>
        <w:tc>
          <w:tcPr>
            <w:tcW w:w="835" w:type="pct"/>
            <w:noWrap/>
            <w:hideMark/>
          </w:tcPr>
          <w:p w14:paraId="37EF0187" w14:textId="77777777" w:rsidR="00346D95" w:rsidRPr="00317F65" w:rsidRDefault="00346D95" w:rsidP="00593FED">
            <w:pPr>
              <w:jc w:val="center"/>
              <w:rPr>
                <w:rFonts w:eastAsia="Times New Roman"/>
                <w:color w:val="000000"/>
              </w:rPr>
            </w:pPr>
            <w:r w:rsidRPr="00317F65">
              <w:rPr>
                <w:rFonts w:eastAsia="Times New Roman"/>
                <w:color w:val="000000"/>
              </w:rPr>
              <w:t>45 - 54</w:t>
            </w:r>
          </w:p>
        </w:tc>
        <w:tc>
          <w:tcPr>
            <w:tcW w:w="833" w:type="pct"/>
            <w:noWrap/>
            <w:hideMark/>
          </w:tcPr>
          <w:p w14:paraId="671A5D80" w14:textId="77777777" w:rsidR="00346D95" w:rsidRPr="00317F65" w:rsidRDefault="00346D95" w:rsidP="00593FED">
            <w:pPr>
              <w:jc w:val="center"/>
              <w:rPr>
                <w:rFonts w:eastAsia="Times New Roman"/>
                <w:color w:val="000000"/>
              </w:rPr>
            </w:pPr>
            <w:r w:rsidRPr="00317F65">
              <w:rPr>
                <w:color w:val="000000"/>
              </w:rPr>
              <w:t>2,394,874</w:t>
            </w:r>
          </w:p>
        </w:tc>
        <w:tc>
          <w:tcPr>
            <w:tcW w:w="834" w:type="pct"/>
            <w:noWrap/>
            <w:hideMark/>
          </w:tcPr>
          <w:p w14:paraId="7981DFF2" w14:textId="77777777" w:rsidR="00346D95" w:rsidRPr="00317F65" w:rsidRDefault="00346D95" w:rsidP="00593FED">
            <w:pPr>
              <w:jc w:val="center"/>
              <w:rPr>
                <w:rFonts w:eastAsia="Times New Roman"/>
                <w:color w:val="000000"/>
              </w:rPr>
            </w:pPr>
            <w:r w:rsidRPr="00317F65">
              <w:rPr>
                <w:color w:val="000000"/>
              </w:rPr>
              <w:t>7.9%</w:t>
            </w:r>
          </w:p>
        </w:tc>
        <w:tc>
          <w:tcPr>
            <w:tcW w:w="833" w:type="pct"/>
            <w:noWrap/>
            <w:hideMark/>
          </w:tcPr>
          <w:p w14:paraId="06794F10" w14:textId="77777777" w:rsidR="00346D95" w:rsidRPr="00317F65" w:rsidRDefault="00346D95" w:rsidP="00593FED">
            <w:pPr>
              <w:jc w:val="center"/>
              <w:rPr>
                <w:rFonts w:eastAsia="Times New Roman"/>
                <w:color w:val="000000"/>
              </w:rPr>
            </w:pPr>
            <w:r w:rsidRPr="00317F65">
              <w:rPr>
                <w:color w:val="000000"/>
              </w:rPr>
              <w:t>60</w:t>
            </w:r>
          </w:p>
        </w:tc>
        <w:tc>
          <w:tcPr>
            <w:tcW w:w="832" w:type="pct"/>
            <w:noWrap/>
            <w:hideMark/>
          </w:tcPr>
          <w:p w14:paraId="76DACDEF" w14:textId="77777777" w:rsidR="00346D95" w:rsidRPr="00317F65" w:rsidRDefault="00346D95" w:rsidP="00593FED">
            <w:pPr>
              <w:jc w:val="center"/>
              <w:rPr>
                <w:rFonts w:eastAsia="Times New Roman"/>
                <w:color w:val="000000"/>
              </w:rPr>
            </w:pPr>
            <w:r w:rsidRPr="00317F65">
              <w:rPr>
                <w:color w:val="000000"/>
              </w:rPr>
              <w:t>5.7%</w:t>
            </w:r>
          </w:p>
        </w:tc>
      </w:tr>
      <w:tr w:rsidR="00346D95" w:rsidRPr="00317F65" w14:paraId="5DBC4E63" w14:textId="77777777" w:rsidTr="00346D95">
        <w:trPr>
          <w:trHeight w:val="290"/>
        </w:trPr>
        <w:tc>
          <w:tcPr>
            <w:tcW w:w="833" w:type="pct"/>
            <w:vMerge/>
            <w:hideMark/>
          </w:tcPr>
          <w:p w14:paraId="07B4AE93" w14:textId="77777777" w:rsidR="00346D95" w:rsidRPr="00317F65" w:rsidRDefault="00346D95" w:rsidP="00593FED">
            <w:pPr>
              <w:rPr>
                <w:rFonts w:eastAsia="Times New Roman"/>
                <w:color w:val="000000"/>
              </w:rPr>
            </w:pPr>
          </w:p>
        </w:tc>
        <w:tc>
          <w:tcPr>
            <w:tcW w:w="835" w:type="pct"/>
            <w:noWrap/>
            <w:hideMark/>
          </w:tcPr>
          <w:p w14:paraId="3999ED82" w14:textId="77777777" w:rsidR="00346D95" w:rsidRPr="00317F65" w:rsidRDefault="00346D95" w:rsidP="00593FED">
            <w:pPr>
              <w:jc w:val="center"/>
              <w:rPr>
                <w:rFonts w:eastAsia="Times New Roman"/>
                <w:color w:val="000000"/>
              </w:rPr>
            </w:pPr>
            <w:r w:rsidRPr="00317F65">
              <w:rPr>
                <w:rFonts w:eastAsia="Times New Roman"/>
                <w:color w:val="000000"/>
              </w:rPr>
              <w:t>55 - 64</w:t>
            </w:r>
          </w:p>
        </w:tc>
        <w:tc>
          <w:tcPr>
            <w:tcW w:w="833" w:type="pct"/>
            <w:noWrap/>
            <w:hideMark/>
          </w:tcPr>
          <w:p w14:paraId="61395F3A" w14:textId="77777777" w:rsidR="00346D95" w:rsidRPr="00317F65" w:rsidRDefault="00346D95" w:rsidP="00593FED">
            <w:pPr>
              <w:jc w:val="center"/>
              <w:rPr>
                <w:rFonts w:eastAsia="Times New Roman"/>
                <w:color w:val="000000"/>
              </w:rPr>
            </w:pPr>
            <w:r w:rsidRPr="00317F65">
              <w:rPr>
                <w:color w:val="000000"/>
              </w:rPr>
              <w:t>2,396,447</w:t>
            </w:r>
          </w:p>
        </w:tc>
        <w:tc>
          <w:tcPr>
            <w:tcW w:w="834" w:type="pct"/>
            <w:noWrap/>
            <w:hideMark/>
          </w:tcPr>
          <w:p w14:paraId="71072D74" w14:textId="77777777" w:rsidR="00346D95" w:rsidRPr="00317F65" w:rsidRDefault="00346D95" w:rsidP="00593FED">
            <w:pPr>
              <w:jc w:val="center"/>
              <w:rPr>
                <w:rFonts w:eastAsia="Times New Roman"/>
                <w:color w:val="000000"/>
              </w:rPr>
            </w:pPr>
            <w:r w:rsidRPr="00317F65">
              <w:rPr>
                <w:color w:val="000000"/>
              </w:rPr>
              <w:t>7.9%</w:t>
            </w:r>
          </w:p>
        </w:tc>
        <w:tc>
          <w:tcPr>
            <w:tcW w:w="833" w:type="pct"/>
            <w:noWrap/>
            <w:hideMark/>
          </w:tcPr>
          <w:p w14:paraId="3B679EDF" w14:textId="77777777" w:rsidR="00346D95" w:rsidRPr="00317F65" w:rsidRDefault="00346D95" w:rsidP="00593FED">
            <w:pPr>
              <w:jc w:val="center"/>
              <w:rPr>
                <w:rFonts w:eastAsia="Times New Roman"/>
                <w:color w:val="000000"/>
              </w:rPr>
            </w:pPr>
            <w:r w:rsidRPr="00317F65">
              <w:rPr>
                <w:color w:val="000000"/>
              </w:rPr>
              <w:t>85</w:t>
            </w:r>
          </w:p>
        </w:tc>
        <w:tc>
          <w:tcPr>
            <w:tcW w:w="832" w:type="pct"/>
            <w:noWrap/>
            <w:hideMark/>
          </w:tcPr>
          <w:p w14:paraId="1146A1DD" w14:textId="77777777" w:rsidR="00346D95" w:rsidRPr="00317F65" w:rsidRDefault="00346D95" w:rsidP="00593FED">
            <w:pPr>
              <w:jc w:val="center"/>
              <w:rPr>
                <w:rFonts w:eastAsia="Times New Roman"/>
                <w:color w:val="000000"/>
              </w:rPr>
            </w:pPr>
            <w:r w:rsidRPr="00317F65">
              <w:rPr>
                <w:color w:val="000000"/>
              </w:rPr>
              <w:t>8.0%</w:t>
            </w:r>
          </w:p>
        </w:tc>
      </w:tr>
      <w:tr w:rsidR="00346D95" w:rsidRPr="00317F65" w14:paraId="4BE26FC9" w14:textId="77777777" w:rsidTr="00346D95">
        <w:trPr>
          <w:trHeight w:val="290"/>
        </w:trPr>
        <w:tc>
          <w:tcPr>
            <w:tcW w:w="833" w:type="pct"/>
            <w:vMerge/>
            <w:hideMark/>
          </w:tcPr>
          <w:p w14:paraId="1C180129" w14:textId="77777777" w:rsidR="00346D95" w:rsidRPr="00317F65" w:rsidRDefault="00346D95" w:rsidP="00593FED">
            <w:pPr>
              <w:rPr>
                <w:rFonts w:eastAsia="Times New Roman"/>
                <w:color w:val="000000"/>
              </w:rPr>
            </w:pPr>
          </w:p>
        </w:tc>
        <w:tc>
          <w:tcPr>
            <w:tcW w:w="835" w:type="pct"/>
            <w:noWrap/>
            <w:hideMark/>
          </w:tcPr>
          <w:p w14:paraId="5FF14986" w14:textId="77777777" w:rsidR="00346D95" w:rsidRPr="00317F65" w:rsidRDefault="00346D95" w:rsidP="00593FED">
            <w:pPr>
              <w:jc w:val="center"/>
              <w:rPr>
                <w:rFonts w:eastAsia="Times New Roman"/>
                <w:color w:val="000000"/>
              </w:rPr>
            </w:pPr>
            <w:r w:rsidRPr="00317F65">
              <w:rPr>
                <w:rFonts w:eastAsia="Times New Roman"/>
                <w:color w:val="000000"/>
              </w:rPr>
              <w:t>65+</w:t>
            </w:r>
          </w:p>
        </w:tc>
        <w:tc>
          <w:tcPr>
            <w:tcW w:w="833" w:type="pct"/>
            <w:noWrap/>
            <w:hideMark/>
          </w:tcPr>
          <w:p w14:paraId="469E8C65" w14:textId="77777777" w:rsidR="00346D95" w:rsidRPr="00317F65" w:rsidRDefault="00346D95" w:rsidP="00593FED">
            <w:pPr>
              <w:jc w:val="center"/>
              <w:rPr>
                <w:rFonts w:eastAsia="Times New Roman"/>
                <w:color w:val="000000"/>
              </w:rPr>
            </w:pPr>
            <w:r w:rsidRPr="00317F65">
              <w:rPr>
                <w:color w:val="000000"/>
              </w:rPr>
              <w:t>2,741,622</w:t>
            </w:r>
          </w:p>
        </w:tc>
        <w:tc>
          <w:tcPr>
            <w:tcW w:w="834" w:type="pct"/>
            <w:noWrap/>
            <w:hideMark/>
          </w:tcPr>
          <w:p w14:paraId="4B7CDC0D" w14:textId="77777777" w:rsidR="00346D95" w:rsidRPr="00317F65" w:rsidRDefault="00346D95" w:rsidP="00593FED">
            <w:pPr>
              <w:jc w:val="center"/>
              <w:rPr>
                <w:rFonts w:eastAsia="Times New Roman"/>
                <w:color w:val="000000"/>
              </w:rPr>
            </w:pPr>
            <w:r w:rsidRPr="00317F65">
              <w:rPr>
                <w:color w:val="000000"/>
              </w:rPr>
              <w:t>9.0%</w:t>
            </w:r>
          </w:p>
        </w:tc>
        <w:tc>
          <w:tcPr>
            <w:tcW w:w="833" w:type="pct"/>
            <w:noWrap/>
            <w:hideMark/>
          </w:tcPr>
          <w:p w14:paraId="1012C501" w14:textId="77777777" w:rsidR="00346D95" w:rsidRPr="00317F65" w:rsidRDefault="00346D95" w:rsidP="00593FED">
            <w:pPr>
              <w:jc w:val="center"/>
              <w:rPr>
                <w:rFonts w:eastAsia="Times New Roman"/>
                <w:color w:val="000000"/>
              </w:rPr>
            </w:pPr>
            <w:r w:rsidRPr="00317F65">
              <w:rPr>
                <w:color w:val="000000"/>
              </w:rPr>
              <w:t>157</w:t>
            </w:r>
          </w:p>
        </w:tc>
        <w:tc>
          <w:tcPr>
            <w:tcW w:w="832" w:type="pct"/>
            <w:noWrap/>
            <w:hideMark/>
          </w:tcPr>
          <w:p w14:paraId="3B1C6884" w14:textId="77777777" w:rsidR="00346D95" w:rsidRPr="00317F65" w:rsidRDefault="00346D95" w:rsidP="00593FED">
            <w:pPr>
              <w:jc w:val="center"/>
              <w:rPr>
                <w:rFonts w:eastAsia="Times New Roman"/>
                <w:color w:val="000000"/>
              </w:rPr>
            </w:pPr>
            <w:r w:rsidRPr="00317F65">
              <w:rPr>
                <w:color w:val="000000"/>
              </w:rPr>
              <w:t>14.9%</w:t>
            </w:r>
          </w:p>
        </w:tc>
      </w:tr>
      <w:tr w:rsidR="00BB3966" w:rsidRPr="00317F65" w14:paraId="3DD4F3F3" w14:textId="77777777" w:rsidTr="00346D95">
        <w:trPr>
          <w:trHeight w:val="290"/>
        </w:trPr>
        <w:tc>
          <w:tcPr>
            <w:tcW w:w="833" w:type="pct"/>
            <w:vMerge w:val="restart"/>
            <w:noWrap/>
            <w:hideMark/>
          </w:tcPr>
          <w:p w14:paraId="48E75812" w14:textId="77777777" w:rsidR="00BB3966" w:rsidRPr="00317F65" w:rsidRDefault="00BB3966" w:rsidP="00593FED">
            <w:pPr>
              <w:jc w:val="center"/>
              <w:rPr>
                <w:rFonts w:eastAsia="Times New Roman"/>
                <w:color w:val="000000"/>
              </w:rPr>
            </w:pPr>
            <w:r w:rsidRPr="00317F65">
              <w:rPr>
                <w:rFonts w:eastAsia="Times New Roman"/>
                <w:color w:val="000000"/>
              </w:rPr>
              <w:t>Female</w:t>
            </w:r>
          </w:p>
        </w:tc>
        <w:tc>
          <w:tcPr>
            <w:tcW w:w="835" w:type="pct"/>
            <w:noWrap/>
            <w:hideMark/>
          </w:tcPr>
          <w:p w14:paraId="6E2A9383" w14:textId="77777777" w:rsidR="00BB3966" w:rsidRPr="00317F65" w:rsidRDefault="00BB3966" w:rsidP="00593FED">
            <w:pPr>
              <w:jc w:val="center"/>
              <w:rPr>
                <w:rFonts w:eastAsia="Times New Roman"/>
                <w:color w:val="000000"/>
              </w:rPr>
            </w:pPr>
            <w:r w:rsidRPr="00317F65">
              <w:rPr>
                <w:rFonts w:eastAsia="Times New Roman"/>
                <w:color w:val="000000"/>
              </w:rPr>
              <w:t>18 - 24</w:t>
            </w:r>
          </w:p>
        </w:tc>
        <w:tc>
          <w:tcPr>
            <w:tcW w:w="833" w:type="pct"/>
            <w:noWrap/>
            <w:hideMark/>
          </w:tcPr>
          <w:p w14:paraId="7269F4C9" w14:textId="77777777" w:rsidR="00BB3966" w:rsidRPr="00317F65" w:rsidRDefault="00BB3966" w:rsidP="00593FED">
            <w:pPr>
              <w:jc w:val="center"/>
              <w:rPr>
                <w:rFonts w:eastAsia="Times New Roman"/>
                <w:color w:val="000000"/>
              </w:rPr>
            </w:pPr>
            <w:r w:rsidRPr="00317F65">
              <w:rPr>
                <w:color w:val="000000"/>
              </w:rPr>
              <w:t>1,762,971</w:t>
            </w:r>
          </w:p>
        </w:tc>
        <w:tc>
          <w:tcPr>
            <w:tcW w:w="834" w:type="pct"/>
            <w:noWrap/>
            <w:hideMark/>
          </w:tcPr>
          <w:p w14:paraId="65E0A7F2" w14:textId="77777777" w:rsidR="00BB3966" w:rsidRPr="00317F65" w:rsidRDefault="00BB3966" w:rsidP="00593FED">
            <w:pPr>
              <w:jc w:val="center"/>
              <w:rPr>
                <w:rFonts w:eastAsia="Times New Roman"/>
                <w:color w:val="000000"/>
              </w:rPr>
            </w:pPr>
            <w:r w:rsidRPr="00317F65">
              <w:rPr>
                <w:color w:val="000000"/>
              </w:rPr>
              <w:t>5.8%</w:t>
            </w:r>
          </w:p>
        </w:tc>
        <w:tc>
          <w:tcPr>
            <w:tcW w:w="833" w:type="pct"/>
            <w:noWrap/>
            <w:hideMark/>
          </w:tcPr>
          <w:p w14:paraId="7697E287" w14:textId="77777777" w:rsidR="00BB3966" w:rsidRPr="00317F65" w:rsidRDefault="00BB3966" w:rsidP="00593FED">
            <w:pPr>
              <w:jc w:val="center"/>
              <w:rPr>
                <w:rFonts w:eastAsia="Times New Roman"/>
                <w:color w:val="000000"/>
              </w:rPr>
            </w:pPr>
            <w:r w:rsidRPr="00317F65">
              <w:rPr>
                <w:color w:val="000000"/>
              </w:rPr>
              <w:t>35</w:t>
            </w:r>
          </w:p>
        </w:tc>
        <w:tc>
          <w:tcPr>
            <w:tcW w:w="832" w:type="pct"/>
            <w:noWrap/>
            <w:hideMark/>
          </w:tcPr>
          <w:p w14:paraId="3BDA394C" w14:textId="77777777" w:rsidR="00BB3966" w:rsidRPr="00317F65" w:rsidRDefault="00BB3966" w:rsidP="00593FED">
            <w:pPr>
              <w:jc w:val="center"/>
              <w:rPr>
                <w:rFonts w:eastAsia="Times New Roman"/>
                <w:color w:val="000000"/>
              </w:rPr>
            </w:pPr>
            <w:r w:rsidRPr="00317F65">
              <w:rPr>
                <w:color w:val="000000"/>
              </w:rPr>
              <w:t>3.3%</w:t>
            </w:r>
          </w:p>
        </w:tc>
      </w:tr>
      <w:tr w:rsidR="00BB3966" w:rsidRPr="00317F65" w14:paraId="24F3104E" w14:textId="77777777" w:rsidTr="00346D95">
        <w:trPr>
          <w:trHeight w:val="290"/>
        </w:trPr>
        <w:tc>
          <w:tcPr>
            <w:tcW w:w="833" w:type="pct"/>
            <w:vMerge/>
            <w:hideMark/>
          </w:tcPr>
          <w:p w14:paraId="2D9F74DD" w14:textId="77777777" w:rsidR="00BB3966" w:rsidRPr="00317F65" w:rsidRDefault="00BB3966" w:rsidP="00593FED">
            <w:pPr>
              <w:rPr>
                <w:rFonts w:eastAsia="Times New Roman"/>
                <w:color w:val="000000"/>
              </w:rPr>
            </w:pPr>
          </w:p>
        </w:tc>
        <w:tc>
          <w:tcPr>
            <w:tcW w:w="835" w:type="pct"/>
            <w:noWrap/>
            <w:hideMark/>
          </w:tcPr>
          <w:p w14:paraId="595315FB" w14:textId="77777777" w:rsidR="00BB3966" w:rsidRPr="00317F65" w:rsidRDefault="00BB3966" w:rsidP="00593FED">
            <w:pPr>
              <w:jc w:val="center"/>
              <w:rPr>
                <w:rFonts w:eastAsia="Times New Roman"/>
                <w:color w:val="000000"/>
              </w:rPr>
            </w:pPr>
            <w:r w:rsidRPr="00317F65">
              <w:rPr>
                <w:rFonts w:eastAsia="Times New Roman"/>
                <w:color w:val="000000"/>
              </w:rPr>
              <w:t>25 - 34</w:t>
            </w:r>
          </w:p>
        </w:tc>
        <w:tc>
          <w:tcPr>
            <w:tcW w:w="833" w:type="pct"/>
            <w:noWrap/>
            <w:hideMark/>
          </w:tcPr>
          <w:p w14:paraId="637F13E6" w14:textId="77777777" w:rsidR="00BB3966" w:rsidRPr="00317F65" w:rsidRDefault="00BB3966" w:rsidP="00593FED">
            <w:pPr>
              <w:jc w:val="center"/>
              <w:rPr>
                <w:rFonts w:eastAsia="Times New Roman"/>
                <w:color w:val="000000"/>
              </w:rPr>
            </w:pPr>
            <w:r w:rsidRPr="00317F65">
              <w:rPr>
                <w:color w:val="000000"/>
              </w:rPr>
              <w:t>2,826,256</w:t>
            </w:r>
          </w:p>
        </w:tc>
        <w:tc>
          <w:tcPr>
            <w:tcW w:w="834" w:type="pct"/>
            <w:noWrap/>
            <w:hideMark/>
          </w:tcPr>
          <w:p w14:paraId="1D2B56F8" w14:textId="77777777" w:rsidR="00BB3966" w:rsidRPr="00317F65" w:rsidRDefault="00BB3966" w:rsidP="00593FED">
            <w:pPr>
              <w:jc w:val="center"/>
              <w:rPr>
                <w:rFonts w:eastAsia="Times New Roman"/>
                <w:color w:val="000000"/>
              </w:rPr>
            </w:pPr>
            <w:r w:rsidRPr="00317F65">
              <w:rPr>
                <w:color w:val="000000"/>
              </w:rPr>
              <w:t>9.3%</w:t>
            </w:r>
          </w:p>
        </w:tc>
        <w:tc>
          <w:tcPr>
            <w:tcW w:w="833" w:type="pct"/>
            <w:noWrap/>
            <w:hideMark/>
          </w:tcPr>
          <w:p w14:paraId="22B4179A" w14:textId="77777777" w:rsidR="00BB3966" w:rsidRPr="00317F65" w:rsidRDefault="00BB3966" w:rsidP="00593FED">
            <w:pPr>
              <w:jc w:val="center"/>
              <w:rPr>
                <w:rFonts w:eastAsia="Times New Roman"/>
                <w:color w:val="000000"/>
              </w:rPr>
            </w:pPr>
            <w:r w:rsidRPr="00317F65">
              <w:rPr>
                <w:color w:val="000000"/>
              </w:rPr>
              <w:t>93</w:t>
            </w:r>
          </w:p>
        </w:tc>
        <w:tc>
          <w:tcPr>
            <w:tcW w:w="832" w:type="pct"/>
            <w:noWrap/>
            <w:hideMark/>
          </w:tcPr>
          <w:p w14:paraId="71FA2890" w14:textId="77777777" w:rsidR="00BB3966" w:rsidRPr="00317F65" w:rsidRDefault="00BB3966" w:rsidP="00593FED">
            <w:pPr>
              <w:jc w:val="center"/>
              <w:rPr>
                <w:rFonts w:eastAsia="Times New Roman"/>
                <w:color w:val="000000"/>
              </w:rPr>
            </w:pPr>
            <w:r w:rsidRPr="00317F65">
              <w:rPr>
                <w:color w:val="000000"/>
              </w:rPr>
              <w:t>8.8%</w:t>
            </w:r>
          </w:p>
        </w:tc>
      </w:tr>
      <w:tr w:rsidR="00BB3966" w:rsidRPr="00317F65" w14:paraId="05FF75FA" w14:textId="77777777" w:rsidTr="00346D95">
        <w:trPr>
          <w:trHeight w:val="290"/>
        </w:trPr>
        <w:tc>
          <w:tcPr>
            <w:tcW w:w="833" w:type="pct"/>
            <w:vMerge/>
            <w:hideMark/>
          </w:tcPr>
          <w:p w14:paraId="1BC53AB5" w14:textId="77777777" w:rsidR="00BB3966" w:rsidRPr="00317F65" w:rsidRDefault="00BB3966" w:rsidP="00593FED">
            <w:pPr>
              <w:rPr>
                <w:rFonts w:eastAsia="Times New Roman"/>
                <w:color w:val="000000"/>
              </w:rPr>
            </w:pPr>
          </w:p>
        </w:tc>
        <w:tc>
          <w:tcPr>
            <w:tcW w:w="835" w:type="pct"/>
            <w:noWrap/>
            <w:hideMark/>
          </w:tcPr>
          <w:p w14:paraId="7869F855" w14:textId="77777777" w:rsidR="00BB3966" w:rsidRPr="00317F65" w:rsidRDefault="00BB3966" w:rsidP="00593FED">
            <w:pPr>
              <w:jc w:val="center"/>
              <w:rPr>
                <w:rFonts w:eastAsia="Times New Roman"/>
                <w:color w:val="000000"/>
              </w:rPr>
            </w:pPr>
            <w:r w:rsidRPr="00317F65">
              <w:rPr>
                <w:rFonts w:eastAsia="Times New Roman"/>
                <w:color w:val="000000"/>
              </w:rPr>
              <w:t>35 - 44</w:t>
            </w:r>
          </w:p>
        </w:tc>
        <w:tc>
          <w:tcPr>
            <w:tcW w:w="833" w:type="pct"/>
            <w:noWrap/>
            <w:hideMark/>
          </w:tcPr>
          <w:p w14:paraId="1468D921" w14:textId="77777777" w:rsidR="00BB3966" w:rsidRPr="00317F65" w:rsidRDefault="00BB3966" w:rsidP="00593FED">
            <w:pPr>
              <w:jc w:val="center"/>
              <w:rPr>
                <w:rFonts w:eastAsia="Times New Roman"/>
                <w:color w:val="000000"/>
              </w:rPr>
            </w:pPr>
            <w:r w:rsidRPr="00317F65">
              <w:rPr>
                <w:color w:val="000000"/>
              </w:rPr>
              <w:t>2,615,318</w:t>
            </w:r>
          </w:p>
        </w:tc>
        <w:tc>
          <w:tcPr>
            <w:tcW w:w="834" w:type="pct"/>
            <w:noWrap/>
            <w:hideMark/>
          </w:tcPr>
          <w:p w14:paraId="155E9165" w14:textId="77777777" w:rsidR="00BB3966" w:rsidRPr="00317F65" w:rsidRDefault="00BB3966" w:rsidP="00593FED">
            <w:pPr>
              <w:jc w:val="center"/>
              <w:rPr>
                <w:rFonts w:eastAsia="Times New Roman"/>
                <w:color w:val="000000"/>
              </w:rPr>
            </w:pPr>
            <w:r w:rsidRPr="00317F65">
              <w:rPr>
                <w:color w:val="000000"/>
              </w:rPr>
              <w:t>8.6%</w:t>
            </w:r>
          </w:p>
        </w:tc>
        <w:tc>
          <w:tcPr>
            <w:tcW w:w="833" w:type="pct"/>
            <w:noWrap/>
            <w:hideMark/>
          </w:tcPr>
          <w:p w14:paraId="67FC9154" w14:textId="77777777" w:rsidR="00BB3966" w:rsidRPr="00317F65" w:rsidRDefault="00BB3966" w:rsidP="00593FED">
            <w:pPr>
              <w:jc w:val="center"/>
              <w:rPr>
                <w:rFonts w:eastAsia="Times New Roman"/>
                <w:color w:val="000000"/>
              </w:rPr>
            </w:pPr>
            <w:r w:rsidRPr="00317F65">
              <w:rPr>
                <w:color w:val="000000"/>
              </w:rPr>
              <w:t>114</w:t>
            </w:r>
          </w:p>
        </w:tc>
        <w:tc>
          <w:tcPr>
            <w:tcW w:w="832" w:type="pct"/>
            <w:noWrap/>
            <w:hideMark/>
          </w:tcPr>
          <w:p w14:paraId="5F6021D9" w14:textId="77777777" w:rsidR="00BB3966" w:rsidRPr="00317F65" w:rsidRDefault="00BB3966" w:rsidP="00593FED">
            <w:pPr>
              <w:jc w:val="center"/>
              <w:rPr>
                <w:rFonts w:eastAsia="Times New Roman"/>
                <w:color w:val="000000"/>
              </w:rPr>
            </w:pPr>
            <w:r w:rsidRPr="00317F65">
              <w:rPr>
                <w:color w:val="000000"/>
              </w:rPr>
              <w:t>10.8%</w:t>
            </w:r>
          </w:p>
        </w:tc>
      </w:tr>
      <w:tr w:rsidR="00BB3966" w:rsidRPr="00317F65" w14:paraId="71AADE86" w14:textId="77777777" w:rsidTr="00346D95">
        <w:trPr>
          <w:trHeight w:val="290"/>
        </w:trPr>
        <w:tc>
          <w:tcPr>
            <w:tcW w:w="833" w:type="pct"/>
            <w:vMerge/>
            <w:hideMark/>
          </w:tcPr>
          <w:p w14:paraId="345D99C4" w14:textId="77777777" w:rsidR="00BB3966" w:rsidRPr="00317F65" w:rsidRDefault="00BB3966" w:rsidP="00593FED">
            <w:pPr>
              <w:rPr>
                <w:rFonts w:eastAsia="Times New Roman"/>
                <w:color w:val="000000"/>
              </w:rPr>
            </w:pPr>
          </w:p>
        </w:tc>
        <w:tc>
          <w:tcPr>
            <w:tcW w:w="835" w:type="pct"/>
            <w:noWrap/>
            <w:hideMark/>
          </w:tcPr>
          <w:p w14:paraId="05E0B28C" w14:textId="77777777" w:rsidR="00BB3966" w:rsidRPr="00317F65" w:rsidRDefault="00BB3966" w:rsidP="00593FED">
            <w:pPr>
              <w:jc w:val="center"/>
              <w:rPr>
                <w:rFonts w:eastAsia="Times New Roman"/>
                <w:color w:val="000000"/>
              </w:rPr>
            </w:pPr>
            <w:r w:rsidRPr="00317F65">
              <w:rPr>
                <w:rFonts w:eastAsia="Times New Roman"/>
                <w:color w:val="000000"/>
              </w:rPr>
              <w:t>45 - 54</w:t>
            </w:r>
          </w:p>
        </w:tc>
        <w:tc>
          <w:tcPr>
            <w:tcW w:w="833" w:type="pct"/>
            <w:noWrap/>
            <w:hideMark/>
          </w:tcPr>
          <w:p w14:paraId="182E5D22" w14:textId="77777777" w:rsidR="00BB3966" w:rsidRPr="00317F65" w:rsidRDefault="00BB3966" w:rsidP="00593FED">
            <w:pPr>
              <w:jc w:val="center"/>
              <w:rPr>
                <w:rFonts w:eastAsia="Times New Roman"/>
                <w:color w:val="000000"/>
              </w:rPr>
            </w:pPr>
            <w:r w:rsidRPr="00317F65">
              <w:rPr>
                <w:color w:val="000000"/>
              </w:rPr>
              <w:t>2,506,217</w:t>
            </w:r>
          </w:p>
        </w:tc>
        <w:tc>
          <w:tcPr>
            <w:tcW w:w="834" w:type="pct"/>
            <w:noWrap/>
            <w:hideMark/>
          </w:tcPr>
          <w:p w14:paraId="45B7A4A3" w14:textId="77777777" w:rsidR="00BB3966" w:rsidRPr="00317F65" w:rsidRDefault="00BB3966" w:rsidP="00593FED">
            <w:pPr>
              <w:jc w:val="center"/>
              <w:rPr>
                <w:rFonts w:eastAsia="Times New Roman"/>
                <w:color w:val="000000"/>
              </w:rPr>
            </w:pPr>
            <w:r w:rsidRPr="00317F65">
              <w:rPr>
                <w:color w:val="000000"/>
              </w:rPr>
              <w:t>8.2%</w:t>
            </w:r>
          </w:p>
        </w:tc>
        <w:tc>
          <w:tcPr>
            <w:tcW w:w="833" w:type="pct"/>
            <w:noWrap/>
            <w:hideMark/>
          </w:tcPr>
          <w:p w14:paraId="3133DF67" w14:textId="77777777" w:rsidR="00BB3966" w:rsidRPr="00317F65" w:rsidRDefault="00BB3966" w:rsidP="00593FED">
            <w:pPr>
              <w:jc w:val="center"/>
              <w:rPr>
                <w:rFonts w:eastAsia="Times New Roman"/>
                <w:color w:val="000000"/>
              </w:rPr>
            </w:pPr>
            <w:r w:rsidRPr="00317F65">
              <w:rPr>
                <w:color w:val="000000"/>
              </w:rPr>
              <w:t>88</w:t>
            </w:r>
          </w:p>
        </w:tc>
        <w:tc>
          <w:tcPr>
            <w:tcW w:w="832" w:type="pct"/>
            <w:noWrap/>
            <w:hideMark/>
          </w:tcPr>
          <w:p w14:paraId="2E0E3242" w14:textId="77777777" w:rsidR="00BB3966" w:rsidRPr="00317F65" w:rsidRDefault="00BB3966" w:rsidP="00593FED">
            <w:pPr>
              <w:jc w:val="center"/>
              <w:rPr>
                <w:rFonts w:eastAsia="Times New Roman"/>
                <w:color w:val="000000"/>
              </w:rPr>
            </w:pPr>
            <w:r w:rsidRPr="00317F65">
              <w:rPr>
                <w:color w:val="000000"/>
              </w:rPr>
              <w:t>8.3%</w:t>
            </w:r>
          </w:p>
        </w:tc>
      </w:tr>
      <w:tr w:rsidR="00BB3966" w:rsidRPr="00317F65" w14:paraId="013373E7" w14:textId="77777777" w:rsidTr="00346D95">
        <w:trPr>
          <w:trHeight w:val="290"/>
        </w:trPr>
        <w:tc>
          <w:tcPr>
            <w:tcW w:w="833" w:type="pct"/>
            <w:vMerge/>
            <w:hideMark/>
          </w:tcPr>
          <w:p w14:paraId="43279EA2" w14:textId="77777777" w:rsidR="00BB3966" w:rsidRPr="00317F65" w:rsidRDefault="00BB3966" w:rsidP="00593FED">
            <w:pPr>
              <w:rPr>
                <w:rFonts w:eastAsia="Times New Roman"/>
                <w:color w:val="000000"/>
              </w:rPr>
            </w:pPr>
          </w:p>
        </w:tc>
        <w:tc>
          <w:tcPr>
            <w:tcW w:w="835" w:type="pct"/>
            <w:noWrap/>
            <w:hideMark/>
          </w:tcPr>
          <w:p w14:paraId="61FD92AD" w14:textId="77777777" w:rsidR="00BB3966" w:rsidRPr="00317F65" w:rsidRDefault="00BB3966" w:rsidP="00593FED">
            <w:pPr>
              <w:jc w:val="center"/>
              <w:rPr>
                <w:rFonts w:eastAsia="Times New Roman"/>
                <w:color w:val="000000"/>
              </w:rPr>
            </w:pPr>
            <w:r w:rsidRPr="00317F65">
              <w:rPr>
                <w:rFonts w:eastAsia="Times New Roman"/>
                <w:color w:val="000000"/>
              </w:rPr>
              <w:t>55 - 64</w:t>
            </w:r>
          </w:p>
        </w:tc>
        <w:tc>
          <w:tcPr>
            <w:tcW w:w="833" w:type="pct"/>
            <w:noWrap/>
            <w:hideMark/>
          </w:tcPr>
          <w:p w14:paraId="57F0F148" w14:textId="77777777" w:rsidR="00BB3966" w:rsidRPr="00317F65" w:rsidRDefault="00BB3966" w:rsidP="00593FED">
            <w:pPr>
              <w:jc w:val="center"/>
              <w:rPr>
                <w:rFonts w:eastAsia="Times New Roman"/>
                <w:color w:val="000000"/>
              </w:rPr>
            </w:pPr>
            <w:r w:rsidRPr="00317F65">
              <w:rPr>
                <w:color w:val="000000"/>
              </w:rPr>
              <w:t>2,400,802</w:t>
            </w:r>
          </w:p>
        </w:tc>
        <w:tc>
          <w:tcPr>
            <w:tcW w:w="834" w:type="pct"/>
            <w:noWrap/>
            <w:hideMark/>
          </w:tcPr>
          <w:p w14:paraId="5165295A" w14:textId="77777777" w:rsidR="00BB3966" w:rsidRPr="00317F65" w:rsidRDefault="00BB3966" w:rsidP="00593FED">
            <w:pPr>
              <w:jc w:val="center"/>
              <w:rPr>
                <w:rFonts w:eastAsia="Times New Roman"/>
                <w:color w:val="000000"/>
              </w:rPr>
            </w:pPr>
            <w:r w:rsidRPr="00317F65">
              <w:rPr>
                <w:color w:val="000000"/>
              </w:rPr>
              <w:t>7.9%</w:t>
            </w:r>
          </w:p>
        </w:tc>
        <w:tc>
          <w:tcPr>
            <w:tcW w:w="833" w:type="pct"/>
            <w:noWrap/>
            <w:hideMark/>
          </w:tcPr>
          <w:p w14:paraId="30F04580" w14:textId="77777777" w:rsidR="00BB3966" w:rsidRPr="00317F65" w:rsidRDefault="00BB3966" w:rsidP="00593FED">
            <w:pPr>
              <w:jc w:val="center"/>
              <w:rPr>
                <w:rFonts w:eastAsia="Times New Roman"/>
                <w:color w:val="000000"/>
              </w:rPr>
            </w:pPr>
            <w:r w:rsidRPr="00317F65">
              <w:rPr>
                <w:color w:val="000000"/>
              </w:rPr>
              <w:t>128</w:t>
            </w:r>
          </w:p>
        </w:tc>
        <w:tc>
          <w:tcPr>
            <w:tcW w:w="832" w:type="pct"/>
            <w:noWrap/>
            <w:hideMark/>
          </w:tcPr>
          <w:p w14:paraId="0CA7173F" w14:textId="77777777" w:rsidR="00BB3966" w:rsidRPr="00317F65" w:rsidRDefault="00BB3966" w:rsidP="00593FED">
            <w:pPr>
              <w:jc w:val="center"/>
              <w:rPr>
                <w:rFonts w:eastAsia="Times New Roman"/>
                <w:color w:val="000000"/>
              </w:rPr>
            </w:pPr>
            <w:r w:rsidRPr="00317F65">
              <w:rPr>
                <w:color w:val="000000"/>
              </w:rPr>
              <w:t>12.1%</w:t>
            </w:r>
          </w:p>
        </w:tc>
      </w:tr>
      <w:tr w:rsidR="00BB3966" w:rsidRPr="00317F65" w14:paraId="263D18D3" w14:textId="77777777" w:rsidTr="00346D95">
        <w:trPr>
          <w:trHeight w:val="300"/>
        </w:trPr>
        <w:tc>
          <w:tcPr>
            <w:tcW w:w="833" w:type="pct"/>
            <w:vMerge/>
            <w:hideMark/>
          </w:tcPr>
          <w:p w14:paraId="2DF2183F" w14:textId="77777777" w:rsidR="00BB3966" w:rsidRPr="00317F65" w:rsidRDefault="00BB3966" w:rsidP="00593FED">
            <w:pPr>
              <w:rPr>
                <w:rFonts w:eastAsia="Times New Roman"/>
                <w:color w:val="000000"/>
              </w:rPr>
            </w:pPr>
          </w:p>
        </w:tc>
        <w:tc>
          <w:tcPr>
            <w:tcW w:w="835" w:type="pct"/>
            <w:noWrap/>
            <w:hideMark/>
          </w:tcPr>
          <w:p w14:paraId="3B98ECA0" w14:textId="77777777" w:rsidR="00BB3966" w:rsidRPr="00317F65" w:rsidRDefault="00BB3966" w:rsidP="00593FED">
            <w:pPr>
              <w:jc w:val="center"/>
              <w:rPr>
                <w:rFonts w:eastAsia="Times New Roman"/>
                <w:color w:val="000000"/>
              </w:rPr>
            </w:pPr>
            <w:r w:rsidRPr="00317F65">
              <w:rPr>
                <w:rFonts w:eastAsia="Times New Roman"/>
                <w:color w:val="000000"/>
              </w:rPr>
              <w:t>65+</w:t>
            </w:r>
          </w:p>
        </w:tc>
        <w:tc>
          <w:tcPr>
            <w:tcW w:w="833" w:type="pct"/>
            <w:noWrap/>
            <w:hideMark/>
          </w:tcPr>
          <w:p w14:paraId="74BA7CE4" w14:textId="77777777" w:rsidR="00BB3966" w:rsidRPr="00317F65" w:rsidRDefault="00BB3966" w:rsidP="00593FED">
            <w:pPr>
              <w:jc w:val="center"/>
              <w:rPr>
                <w:rFonts w:eastAsia="Times New Roman"/>
                <w:color w:val="000000"/>
              </w:rPr>
            </w:pPr>
            <w:r w:rsidRPr="00317F65">
              <w:rPr>
                <w:color w:val="000000"/>
              </w:rPr>
              <w:t>3,268,053</w:t>
            </w:r>
          </w:p>
        </w:tc>
        <w:tc>
          <w:tcPr>
            <w:tcW w:w="834" w:type="pct"/>
            <w:noWrap/>
            <w:hideMark/>
          </w:tcPr>
          <w:p w14:paraId="3156395B" w14:textId="77777777" w:rsidR="00BB3966" w:rsidRPr="00317F65" w:rsidRDefault="00BB3966" w:rsidP="00593FED">
            <w:pPr>
              <w:jc w:val="center"/>
              <w:rPr>
                <w:rFonts w:eastAsia="Times New Roman"/>
                <w:color w:val="000000"/>
              </w:rPr>
            </w:pPr>
            <w:r w:rsidRPr="00317F65">
              <w:rPr>
                <w:color w:val="000000"/>
              </w:rPr>
              <w:t>10.7%</w:t>
            </w:r>
          </w:p>
        </w:tc>
        <w:tc>
          <w:tcPr>
            <w:tcW w:w="833" w:type="pct"/>
            <w:noWrap/>
            <w:hideMark/>
          </w:tcPr>
          <w:p w14:paraId="53E31BB8" w14:textId="77777777" w:rsidR="00BB3966" w:rsidRPr="00317F65" w:rsidRDefault="00BB3966" w:rsidP="00593FED">
            <w:pPr>
              <w:jc w:val="center"/>
              <w:rPr>
                <w:rFonts w:eastAsia="Times New Roman"/>
                <w:color w:val="000000"/>
              </w:rPr>
            </w:pPr>
            <w:r w:rsidRPr="00317F65">
              <w:rPr>
                <w:color w:val="000000"/>
              </w:rPr>
              <w:t>146</w:t>
            </w:r>
          </w:p>
        </w:tc>
        <w:tc>
          <w:tcPr>
            <w:tcW w:w="832" w:type="pct"/>
            <w:noWrap/>
            <w:hideMark/>
          </w:tcPr>
          <w:p w14:paraId="4AAB3C82" w14:textId="77777777" w:rsidR="00BB3966" w:rsidRPr="00317F65" w:rsidRDefault="00BB3966" w:rsidP="00593FED">
            <w:pPr>
              <w:jc w:val="center"/>
              <w:rPr>
                <w:rFonts w:eastAsia="Times New Roman"/>
                <w:color w:val="000000"/>
              </w:rPr>
            </w:pPr>
            <w:r w:rsidRPr="00317F65">
              <w:rPr>
                <w:color w:val="000000"/>
              </w:rPr>
              <w:t>13.8%</w:t>
            </w:r>
          </w:p>
        </w:tc>
      </w:tr>
      <w:tr w:rsidR="00BB3966" w:rsidRPr="00317F65" w14:paraId="699661C9" w14:textId="77777777" w:rsidTr="00346D95">
        <w:trPr>
          <w:trHeight w:val="300"/>
        </w:trPr>
        <w:tc>
          <w:tcPr>
            <w:tcW w:w="1667" w:type="pct"/>
            <w:gridSpan w:val="2"/>
            <w:noWrap/>
            <w:hideMark/>
          </w:tcPr>
          <w:p w14:paraId="10EE2914" w14:textId="77777777" w:rsidR="00BB3966" w:rsidRPr="00317F65" w:rsidRDefault="00BB3966" w:rsidP="00593FED">
            <w:pPr>
              <w:jc w:val="center"/>
              <w:rPr>
                <w:rFonts w:eastAsia="Times New Roman"/>
                <w:b/>
                <w:bCs/>
                <w:color w:val="000000"/>
              </w:rPr>
            </w:pPr>
            <w:r w:rsidRPr="00317F65">
              <w:rPr>
                <w:rFonts w:eastAsia="Times New Roman"/>
                <w:b/>
                <w:bCs/>
                <w:color w:val="000000"/>
              </w:rPr>
              <w:t>Total</w:t>
            </w:r>
          </w:p>
        </w:tc>
        <w:tc>
          <w:tcPr>
            <w:tcW w:w="833" w:type="pct"/>
            <w:noWrap/>
            <w:hideMark/>
          </w:tcPr>
          <w:p w14:paraId="1BAA9040" w14:textId="77777777" w:rsidR="00BB3966" w:rsidRPr="00317F65" w:rsidRDefault="00BB3966" w:rsidP="00593FED">
            <w:pPr>
              <w:jc w:val="center"/>
              <w:rPr>
                <w:rFonts w:eastAsia="Times New Roman"/>
                <w:b/>
                <w:bCs/>
                <w:color w:val="000000"/>
              </w:rPr>
            </w:pPr>
            <w:r w:rsidRPr="00317F65">
              <w:rPr>
                <w:rFonts w:eastAsia="Times New Roman"/>
                <w:b/>
                <w:bCs/>
                <w:color w:val="000000"/>
              </w:rPr>
              <w:t>30,452,632</w:t>
            </w:r>
          </w:p>
        </w:tc>
        <w:tc>
          <w:tcPr>
            <w:tcW w:w="834" w:type="pct"/>
            <w:noWrap/>
            <w:hideMark/>
          </w:tcPr>
          <w:p w14:paraId="796CB2A0" w14:textId="77777777" w:rsidR="00BB3966" w:rsidRPr="00317F65" w:rsidRDefault="00BB3966" w:rsidP="00593FED">
            <w:pPr>
              <w:jc w:val="center"/>
              <w:rPr>
                <w:rFonts w:eastAsia="Times New Roman"/>
                <w:b/>
                <w:bCs/>
                <w:color w:val="000000"/>
              </w:rPr>
            </w:pPr>
            <w:r w:rsidRPr="00317F65">
              <w:rPr>
                <w:rFonts w:eastAsia="Times New Roman"/>
                <w:b/>
                <w:bCs/>
                <w:color w:val="000000"/>
              </w:rPr>
              <w:t>100.0%</w:t>
            </w:r>
          </w:p>
        </w:tc>
        <w:tc>
          <w:tcPr>
            <w:tcW w:w="833" w:type="pct"/>
            <w:noWrap/>
            <w:hideMark/>
          </w:tcPr>
          <w:p w14:paraId="5A0D99FC" w14:textId="77777777" w:rsidR="00BB3966" w:rsidRPr="00317F65" w:rsidRDefault="00BB3966" w:rsidP="00593FED">
            <w:pPr>
              <w:jc w:val="center"/>
              <w:rPr>
                <w:rFonts w:eastAsia="Times New Roman"/>
                <w:b/>
                <w:bCs/>
                <w:color w:val="000000"/>
              </w:rPr>
            </w:pPr>
            <w:r w:rsidRPr="00317F65">
              <w:rPr>
                <w:b/>
                <w:bCs/>
                <w:color w:val="000000"/>
              </w:rPr>
              <w:t>1,057</w:t>
            </w:r>
          </w:p>
        </w:tc>
        <w:tc>
          <w:tcPr>
            <w:tcW w:w="832" w:type="pct"/>
            <w:noWrap/>
            <w:hideMark/>
          </w:tcPr>
          <w:p w14:paraId="56D94E1C" w14:textId="77777777" w:rsidR="00BB3966" w:rsidRPr="00317F65" w:rsidRDefault="00BB3966" w:rsidP="00593FED">
            <w:pPr>
              <w:jc w:val="center"/>
              <w:rPr>
                <w:rFonts w:eastAsia="Times New Roman"/>
                <w:b/>
                <w:bCs/>
                <w:color w:val="000000"/>
              </w:rPr>
            </w:pPr>
            <w:r w:rsidRPr="00317F65">
              <w:rPr>
                <w:b/>
                <w:bCs/>
                <w:color w:val="000000"/>
              </w:rPr>
              <w:t>100.0%</w:t>
            </w:r>
          </w:p>
        </w:tc>
      </w:tr>
    </w:tbl>
    <w:p w14:paraId="48A69D13" w14:textId="77777777" w:rsidR="00BB3966" w:rsidRPr="00317F65" w:rsidRDefault="00BB3966" w:rsidP="00BB3966">
      <w:pPr>
        <w:spacing w:before="240"/>
        <w:rPr>
          <w:b/>
        </w:rPr>
      </w:pPr>
    </w:p>
    <w:p w14:paraId="71E9B1E0" w14:textId="77777777" w:rsidR="00BB3966" w:rsidRPr="00317F65" w:rsidRDefault="00BB3966">
      <w:pPr>
        <w:rPr>
          <w:b/>
        </w:rPr>
      </w:pPr>
      <w:r w:rsidRPr="00317F65">
        <w:rPr>
          <w:b/>
        </w:rPr>
        <w:br w:type="page"/>
      </w:r>
    </w:p>
    <w:p w14:paraId="49323F26" w14:textId="6C140C87" w:rsidR="00BB3966" w:rsidRPr="00317F65" w:rsidRDefault="00BB3966" w:rsidP="00BB3966">
      <w:pPr>
        <w:spacing w:before="240"/>
      </w:pPr>
      <w:r w:rsidRPr="00317F65">
        <w:rPr>
          <w:b/>
        </w:rPr>
        <w:lastRenderedPageBreak/>
        <w:t xml:space="preserve">Table </w:t>
      </w:r>
      <w:r w:rsidR="006F6AD5">
        <w:rPr>
          <w:b/>
        </w:rPr>
        <w:t>3</w:t>
      </w:r>
      <w:r w:rsidRPr="00317F65">
        <w:rPr>
          <w:b/>
        </w:rPr>
        <w:t>.</w:t>
      </w:r>
      <w:r w:rsidRPr="00317F65">
        <w:t xml:space="preserve"> Population and Respondent Distributions by Gender and Ethnicity</w:t>
      </w:r>
    </w:p>
    <w:tbl>
      <w:tblPr>
        <w:tblStyle w:val="TableGrid"/>
        <w:tblW w:w="5000" w:type="pct"/>
        <w:tblLook w:val="04A0" w:firstRow="1" w:lastRow="0" w:firstColumn="1" w:lastColumn="0" w:noHBand="0" w:noVBand="1"/>
      </w:tblPr>
      <w:tblGrid>
        <w:gridCol w:w="1557"/>
        <w:gridCol w:w="1561"/>
        <w:gridCol w:w="1558"/>
        <w:gridCol w:w="1560"/>
        <w:gridCol w:w="1558"/>
        <w:gridCol w:w="1556"/>
      </w:tblGrid>
      <w:tr w:rsidR="00BB3966" w:rsidRPr="00317F65" w14:paraId="0975CA14" w14:textId="77777777" w:rsidTr="007F6337">
        <w:trPr>
          <w:trHeight w:val="310"/>
        </w:trPr>
        <w:tc>
          <w:tcPr>
            <w:tcW w:w="833" w:type="pct"/>
            <w:noWrap/>
            <w:hideMark/>
          </w:tcPr>
          <w:p w14:paraId="27AD7A8F" w14:textId="77777777" w:rsidR="00BB3966" w:rsidRPr="00317F65" w:rsidRDefault="00BB3966" w:rsidP="00593FED">
            <w:pPr>
              <w:jc w:val="center"/>
              <w:rPr>
                <w:rFonts w:eastAsia="Times New Roman"/>
                <w:b/>
                <w:bCs/>
                <w:color w:val="000000"/>
              </w:rPr>
            </w:pPr>
            <w:r w:rsidRPr="00317F65">
              <w:rPr>
                <w:rFonts w:eastAsia="Times New Roman"/>
                <w:b/>
                <w:bCs/>
                <w:color w:val="000000"/>
              </w:rPr>
              <w:t>Gender</w:t>
            </w:r>
          </w:p>
        </w:tc>
        <w:tc>
          <w:tcPr>
            <w:tcW w:w="834" w:type="pct"/>
            <w:noWrap/>
            <w:hideMark/>
          </w:tcPr>
          <w:p w14:paraId="45438D0D" w14:textId="77777777" w:rsidR="00BB3966" w:rsidRPr="00317F65" w:rsidRDefault="00BB3966" w:rsidP="00593FED">
            <w:pPr>
              <w:jc w:val="center"/>
              <w:rPr>
                <w:rFonts w:eastAsia="Times New Roman"/>
                <w:b/>
                <w:bCs/>
                <w:color w:val="000000"/>
              </w:rPr>
            </w:pPr>
            <w:r w:rsidRPr="00317F65">
              <w:rPr>
                <w:rFonts w:eastAsia="Times New Roman"/>
                <w:b/>
                <w:bCs/>
                <w:color w:val="000000"/>
              </w:rPr>
              <w:t>Ethnicity</w:t>
            </w:r>
          </w:p>
        </w:tc>
        <w:tc>
          <w:tcPr>
            <w:tcW w:w="1667" w:type="pct"/>
            <w:gridSpan w:val="2"/>
            <w:noWrap/>
            <w:hideMark/>
          </w:tcPr>
          <w:p w14:paraId="4B87020A" w14:textId="77777777" w:rsidR="00BB3966" w:rsidRPr="00317F65" w:rsidRDefault="00BB3966" w:rsidP="00593FED">
            <w:pPr>
              <w:jc w:val="center"/>
              <w:rPr>
                <w:rFonts w:eastAsia="Times New Roman"/>
                <w:b/>
                <w:bCs/>
                <w:color w:val="000000"/>
              </w:rPr>
            </w:pPr>
            <w:r w:rsidRPr="00317F65">
              <w:rPr>
                <w:rFonts w:eastAsia="Times New Roman"/>
                <w:b/>
                <w:bCs/>
                <w:color w:val="000000"/>
              </w:rPr>
              <w:t>Universe</w:t>
            </w:r>
          </w:p>
        </w:tc>
        <w:tc>
          <w:tcPr>
            <w:tcW w:w="1666" w:type="pct"/>
            <w:gridSpan w:val="2"/>
            <w:noWrap/>
            <w:hideMark/>
          </w:tcPr>
          <w:p w14:paraId="15661D11" w14:textId="77777777" w:rsidR="00BB3966" w:rsidRPr="00317F65" w:rsidRDefault="00BB3966" w:rsidP="00593FED">
            <w:pPr>
              <w:jc w:val="center"/>
              <w:rPr>
                <w:rFonts w:eastAsia="Times New Roman"/>
                <w:b/>
                <w:bCs/>
                <w:color w:val="000000"/>
              </w:rPr>
            </w:pPr>
            <w:r w:rsidRPr="00317F65">
              <w:rPr>
                <w:rFonts w:eastAsia="Times New Roman"/>
                <w:b/>
                <w:bCs/>
                <w:color w:val="000000"/>
              </w:rPr>
              <w:t>Respondents</w:t>
            </w:r>
          </w:p>
        </w:tc>
      </w:tr>
      <w:tr w:rsidR="00BB3966" w:rsidRPr="00317F65" w14:paraId="7ABBD56C" w14:textId="77777777" w:rsidTr="007F6337">
        <w:trPr>
          <w:trHeight w:val="360"/>
        </w:trPr>
        <w:tc>
          <w:tcPr>
            <w:tcW w:w="833" w:type="pct"/>
            <w:vMerge w:val="restart"/>
            <w:noWrap/>
            <w:hideMark/>
          </w:tcPr>
          <w:p w14:paraId="06D61DE3" w14:textId="77777777" w:rsidR="00BB3966" w:rsidRPr="00317F65" w:rsidRDefault="00BB3966" w:rsidP="00593FED">
            <w:pPr>
              <w:jc w:val="center"/>
              <w:rPr>
                <w:rFonts w:eastAsia="Times New Roman"/>
                <w:color w:val="000000"/>
              </w:rPr>
            </w:pPr>
            <w:r w:rsidRPr="00317F65">
              <w:rPr>
                <w:rFonts w:eastAsia="Times New Roman"/>
                <w:color w:val="000000"/>
              </w:rPr>
              <w:t>Male</w:t>
            </w:r>
          </w:p>
        </w:tc>
        <w:tc>
          <w:tcPr>
            <w:tcW w:w="834" w:type="pct"/>
            <w:noWrap/>
            <w:hideMark/>
          </w:tcPr>
          <w:p w14:paraId="5F453EEA" w14:textId="77777777" w:rsidR="00BB3966" w:rsidRPr="00317F65" w:rsidRDefault="00BB3966" w:rsidP="00593FED">
            <w:pPr>
              <w:jc w:val="center"/>
              <w:rPr>
                <w:rFonts w:eastAsia="Times New Roman"/>
                <w:color w:val="000000"/>
              </w:rPr>
            </w:pPr>
            <w:r w:rsidRPr="00317F65">
              <w:rPr>
                <w:rFonts w:eastAsia="Times New Roman"/>
                <w:color w:val="000000"/>
              </w:rPr>
              <w:t>Hispanic</w:t>
            </w:r>
          </w:p>
        </w:tc>
        <w:tc>
          <w:tcPr>
            <w:tcW w:w="833" w:type="pct"/>
            <w:noWrap/>
            <w:hideMark/>
          </w:tcPr>
          <w:p w14:paraId="7E8B92B6" w14:textId="77777777" w:rsidR="00BB3966" w:rsidRPr="00317F65" w:rsidRDefault="00BB3966" w:rsidP="00593FED">
            <w:pPr>
              <w:jc w:val="center"/>
              <w:rPr>
                <w:rFonts w:eastAsia="Times New Roman"/>
                <w:color w:val="000000"/>
              </w:rPr>
            </w:pPr>
            <w:r w:rsidRPr="00317F65">
              <w:rPr>
                <w:rFonts w:eastAsia="Times New Roman"/>
                <w:color w:val="000000"/>
              </w:rPr>
              <w:t>5,764,518</w:t>
            </w:r>
          </w:p>
        </w:tc>
        <w:tc>
          <w:tcPr>
            <w:tcW w:w="834" w:type="pct"/>
            <w:noWrap/>
            <w:hideMark/>
          </w:tcPr>
          <w:p w14:paraId="4B884C0C" w14:textId="77777777" w:rsidR="00BB3966" w:rsidRPr="00317F65" w:rsidRDefault="00BB3966" w:rsidP="00593FED">
            <w:pPr>
              <w:jc w:val="center"/>
              <w:rPr>
                <w:rFonts w:eastAsia="Times New Roman"/>
                <w:color w:val="000000"/>
              </w:rPr>
            </w:pPr>
            <w:r w:rsidRPr="00317F65">
              <w:rPr>
                <w:rFonts w:eastAsia="Times New Roman"/>
                <w:color w:val="000000"/>
              </w:rPr>
              <w:t>18.9%</w:t>
            </w:r>
          </w:p>
        </w:tc>
        <w:tc>
          <w:tcPr>
            <w:tcW w:w="833" w:type="pct"/>
            <w:noWrap/>
            <w:hideMark/>
          </w:tcPr>
          <w:p w14:paraId="46DA52FB" w14:textId="77777777" w:rsidR="00BB3966" w:rsidRPr="00317F65" w:rsidRDefault="00BB3966" w:rsidP="00593FED">
            <w:pPr>
              <w:jc w:val="center"/>
              <w:rPr>
                <w:rFonts w:eastAsia="Times New Roman"/>
                <w:color w:val="000000"/>
              </w:rPr>
            </w:pPr>
            <w:r w:rsidRPr="00317F65">
              <w:rPr>
                <w:color w:val="000000"/>
              </w:rPr>
              <w:t>60</w:t>
            </w:r>
          </w:p>
        </w:tc>
        <w:tc>
          <w:tcPr>
            <w:tcW w:w="833" w:type="pct"/>
            <w:noWrap/>
            <w:hideMark/>
          </w:tcPr>
          <w:p w14:paraId="40AE533B" w14:textId="77777777" w:rsidR="00BB3966" w:rsidRPr="00317F65" w:rsidRDefault="00BB3966" w:rsidP="00593FED">
            <w:pPr>
              <w:jc w:val="center"/>
              <w:rPr>
                <w:rFonts w:eastAsia="Times New Roman"/>
                <w:color w:val="000000"/>
              </w:rPr>
            </w:pPr>
            <w:r w:rsidRPr="00317F65">
              <w:rPr>
                <w:color w:val="000000"/>
              </w:rPr>
              <w:t>5.7%</w:t>
            </w:r>
          </w:p>
        </w:tc>
      </w:tr>
      <w:tr w:rsidR="00BB3966" w:rsidRPr="00317F65" w14:paraId="17C2DA26" w14:textId="77777777" w:rsidTr="007F6337">
        <w:trPr>
          <w:trHeight w:val="360"/>
        </w:trPr>
        <w:tc>
          <w:tcPr>
            <w:tcW w:w="833" w:type="pct"/>
            <w:vMerge/>
            <w:hideMark/>
          </w:tcPr>
          <w:p w14:paraId="12F78C05" w14:textId="77777777" w:rsidR="00BB3966" w:rsidRPr="00317F65" w:rsidRDefault="00BB3966" w:rsidP="00593FED">
            <w:pPr>
              <w:rPr>
                <w:rFonts w:eastAsia="Times New Roman"/>
                <w:color w:val="000000"/>
              </w:rPr>
            </w:pPr>
          </w:p>
        </w:tc>
        <w:tc>
          <w:tcPr>
            <w:tcW w:w="834" w:type="pct"/>
            <w:noWrap/>
            <w:hideMark/>
          </w:tcPr>
          <w:p w14:paraId="3DC351FD" w14:textId="77777777" w:rsidR="00BB3966" w:rsidRPr="00317F65" w:rsidRDefault="00BB3966" w:rsidP="00593FED">
            <w:pPr>
              <w:jc w:val="center"/>
              <w:rPr>
                <w:rFonts w:eastAsia="Times New Roman"/>
                <w:color w:val="000000"/>
              </w:rPr>
            </w:pPr>
            <w:r w:rsidRPr="00317F65">
              <w:rPr>
                <w:rFonts w:eastAsia="Times New Roman"/>
                <w:color w:val="000000"/>
              </w:rPr>
              <w:t>Others</w:t>
            </w:r>
          </w:p>
        </w:tc>
        <w:tc>
          <w:tcPr>
            <w:tcW w:w="833" w:type="pct"/>
            <w:noWrap/>
            <w:hideMark/>
          </w:tcPr>
          <w:p w14:paraId="092D3D44" w14:textId="77777777" w:rsidR="00BB3966" w:rsidRPr="00317F65" w:rsidRDefault="00BB3966" w:rsidP="00593FED">
            <w:pPr>
              <w:jc w:val="center"/>
              <w:rPr>
                <w:rFonts w:eastAsia="Times New Roman"/>
                <w:color w:val="000000"/>
              </w:rPr>
            </w:pPr>
            <w:r w:rsidRPr="00317F65">
              <w:rPr>
                <w:rFonts w:eastAsia="Times New Roman"/>
                <w:color w:val="000000"/>
              </w:rPr>
              <w:t>9,308,497</w:t>
            </w:r>
          </w:p>
        </w:tc>
        <w:tc>
          <w:tcPr>
            <w:tcW w:w="834" w:type="pct"/>
            <w:noWrap/>
            <w:hideMark/>
          </w:tcPr>
          <w:p w14:paraId="279411D4" w14:textId="77777777" w:rsidR="00BB3966" w:rsidRPr="00317F65" w:rsidRDefault="00BB3966" w:rsidP="00593FED">
            <w:pPr>
              <w:jc w:val="center"/>
              <w:rPr>
                <w:rFonts w:eastAsia="Times New Roman"/>
                <w:color w:val="000000"/>
              </w:rPr>
            </w:pPr>
            <w:r w:rsidRPr="00317F65">
              <w:rPr>
                <w:rFonts w:eastAsia="Times New Roman"/>
                <w:color w:val="000000"/>
              </w:rPr>
              <w:t>30.6%</w:t>
            </w:r>
          </w:p>
        </w:tc>
        <w:tc>
          <w:tcPr>
            <w:tcW w:w="833" w:type="pct"/>
            <w:noWrap/>
            <w:hideMark/>
          </w:tcPr>
          <w:p w14:paraId="767CA75D" w14:textId="77777777" w:rsidR="00BB3966" w:rsidRPr="00317F65" w:rsidRDefault="00BB3966" w:rsidP="00593FED">
            <w:pPr>
              <w:jc w:val="center"/>
              <w:rPr>
                <w:rFonts w:eastAsia="Times New Roman"/>
                <w:color w:val="000000"/>
              </w:rPr>
            </w:pPr>
            <w:r w:rsidRPr="00317F65">
              <w:rPr>
                <w:color w:val="000000"/>
              </w:rPr>
              <w:t>393</w:t>
            </w:r>
          </w:p>
        </w:tc>
        <w:tc>
          <w:tcPr>
            <w:tcW w:w="833" w:type="pct"/>
            <w:noWrap/>
            <w:hideMark/>
          </w:tcPr>
          <w:p w14:paraId="272D8137" w14:textId="77777777" w:rsidR="00BB3966" w:rsidRPr="00317F65" w:rsidRDefault="00BB3966" w:rsidP="00593FED">
            <w:pPr>
              <w:jc w:val="center"/>
              <w:rPr>
                <w:rFonts w:eastAsia="Times New Roman"/>
                <w:color w:val="000000"/>
              </w:rPr>
            </w:pPr>
            <w:r w:rsidRPr="00317F65">
              <w:rPr>
                <w:color w:val="000000"/>
              </w:rPr>
              <w:t>37.2%</w:t>
            </w:r>
          </w:p>
        </w:tc>
      </w:tr>
      <w:tr w:rsidR="00BB3966" w:rsidRPr="00317F65" w14:paraId="1FB457C0" w14:textId="77777777" w:rsidTr="007F6337">
        <w:trPr>
          <w:trHeight w:val="360"/>
        </w:trPr>
        <w:tc>
          <w:tcPr>
            <w:tcW w:w="833" w:type="pct"/>
            <w:vMerge w:val="restart"/>
            <w:noWrap/>
            <w:hideMark/>
          </w:tcPr>
          <w:p w14:paraId="29379C01" w14:textId="77777777" w:rsidR="00BB3966" w:rsidRPr="00317F65" w:rsidRDefault="00BB3966" w:rsidP="00593FED">
            <w:pPr>
              <w:jc w:val="center"/>
              <w:rPr>
                <w:rFonts w:eastAsia="Times New Roman"/>
                <w:color w:val="000000"/>
              </w:rPr>
            </w:pPr>
            <w:r w:rsidRPr="00317F65">
              <w:rPr>
                <w:rFonts w:eastAsia="Times New Roman"/>
                <w:color w:val="000000"/>
              </w:rPr>
              <w:t>Female</w:t>
            </w:r>
          </w:p>
        </w:tc>
        <w:tc>
          <w:tcPr>
            <w:tcW w:w="834" w:type="pct"/>
            <w:noWrap/>
            <w:hideMark/>
          </w:tcPr>
          <w:p w14:paraId="55688EAE" w14:textId="77777777" w:rsidR="00BB3966" w:rsidRPr="00317F65" w:rsidRDefault="00BB3966" w:rsidP="00593FED">
            <w:pPr>
              <w:jc w:val="center"/>
              <w:rPr>
                <w:rFonts w:eastAsia="Times New Roman"/>
                <w:color w:val="000000"/>
              </w:rPr>
            </w:pPr>
            <w:r w:rsidRPr="00317F65">
              <w:rPr>
                <w:rFonts w:eastAsia="Times New Roman"/>
                <w:color w:val="000000"/>
              </w:rPr>
              <w:t>Hispanic</w:t>
            </w:r>
          </w:p>
        </w:tc>
        <w:tc>
          <w:tcPr>
            <w:tcW w:w="833" w:type="pct"/>
            <w:noWrap/>
            <w:hideMark/>
          </w:tcPr>
          <w:p w14:paraId="27368B85" w14:textId="77777777" w:rsidR="00BB3966" w:rsidRPr="00317F65" w:rsidRDefault="00BB3966" w:rsidP="00593FED">
            <w:pPr>
              <w:jc w:val="center"/>
              <w:rPr>
                <w:rFonts w:eastAsia="Times New Roman"/>
                <w:color w:val="000000"/>
              </w:rPr>
            </w:pPr>
            <w:r w:rsidRPr="00317F65">
              <w:rPr>
                <w:rFonts w:eastAsia="Times New Roman"/>
                <w:color w:val="000000"/>
              </w:rPr>
              <w:t>5,590,093</w:t>
            </w:r>
          </w:p>
        </w:tc>
        <w:tc>
          <w:tcPr>
            <w:tcW w:w="834" w:type="pct"/>
            <w:noWrap/>
            <w:hideMark/>
          </w:tcPr>
          <w:p w14:paraId="72932CC7" w14:textId="77777777" w:rsidR="00BB3966" w:rsidRPr="00317F65" w:rsidRDefault="00BB3966" w:rsidP="00593FED">
            <w:pPr>
              <w:jc w:val="center"/>
              <w:rPr>
                <w:rFonts w:eastAsia="Times New Roman"/>
                <w:color w:val="000000"/>
              </w:rPr>
            </w:pPr>
            <w:r w:rsidRPr="00317F65">
              <w:rPr>
                <w:rFonts w:eastAsia="Times New Roman"/>
                <w:color w:val="000000"/>
              </w:rPr>
              <w:t>18.4%</w:t>
            </w:r>
          </w:p>
        </w:tc>
        <w:tc>
          <w:tcPr>
            <w:tcW w:w="833" w:type="pct"/>
            <w:noWrap/>
            <w:hideMark/>
          </w:tcPr>
          <w:p w14:paraId="1329C8BB" w14:textId="77777777" w:rsidR="00BB3966" w:rsidRPr="00317F65" w:rsidRDefault="00BB3966" w:rsidP="00593FED">
            <w:pPr>
              <w:jc w:val="center"/>
              <w:rPr>
                <w:rFonts w:eastAsia="Times New Roman"/>
                <w:color w:val="000000"/>
              </w:rPr>
            </w:pPr>
            <w:r w:rsidRPr="00317F65">
              <w:rPr>
                <w:color w:val="000000"/>
              </w:rPr>
              <w:t>117</w:t>
            </w:r>
          </w:p>
        </w:tc>
        <w:tc>
          <w:tcPr>
            <w:tcW w:w="833" w:type="pct"/>
            <w:noWrap/>
            <w:hideMark/>
          </w:tcPr>
          <w:p w14:paraId="450659EB" w14:textId="77777777" w:rsidR="00BB3966" w:rsidRPr="00317F65" w:rsidRDefault="00BB3966" w:rsidP="00593FED">
            <w:pPr>
              <w:jc w:val="center"/>
              <w:rPr>
                <w:rFonts w:eastAsia="Times New Roman"/>
                <w:color w:val="000000"/>
              </w:rPr>
            </w:pPr>
            <w:r w:rsidRPr="00317F65">
              <w:rPr>
                <w:color w:val="000000"/>
              </w:rPr>
              <w:t>11.1%</w:t>
            </w:r>
          </w:p>
        </w:tc>
      </w:tr>
      <w:tr w:rsidR="00BB3966" w:rsidRPr="00317F65" w14:paraId="4975DBAD" w14:textId="77777777" w:rsidTr="007F6337">
        <w:trPr>
          <w:trHeight w:val="360"/>
        </w:trPr>
        <w:tc>
          <w:tcPr>
            <w:tcW w:w="833" w:type="pct"/>
            <w:vMerge/>
            <w:hideMark/>
          </w:tcPr>
          <w:p w14:paraId="6497303F" w14:textId="77777777" w:rsidR="00BB3966" w:rsidRPr="00317F65" w:rsidRDefault="00BB3966" w:rsidP="00593FED">
            <w:pPr>
              <w:rPr>
                <w:rFonts w:eastAsia="Times New Roman"/>
                <w:color w:val="000000"/>
              </w:rPr>
            </w:pPr>
          </w:p>
        </w:tc>
        <w:tc>
          <w:tcPr>
            <w:tcW w:w="834" w:type="pct"/>
            <w:noWrap/>
            <w:hideMark/>
          </w:tcPr>
          <w:p w14:paraId="1722D661" w14:textId="77777777" w:rsidR="00BB3966" w:rsidRPr="00317F65" w:rsidRDefault="00BB3966" w:rsidP="00593FED">
            <w:pPr>
              <w:jc w:val="center"/>
              <w:rPr>
                <w:rFonts w:eastAsia="Times New Roman"/>
                <w:color w:val="000000"/>
              </w:rPr>
            </w:pPr>
            <w:r w:rsidRPr="00317F65">
              <w:rPr>
                <w:rFonts w:eastAsia="Times New Roman"/>
                <w:color w:val="000000"/>
              </w:rPr>
              <w:t>Others</w:t>
            </w:r>
          </w:p>
        </w:tc>
        <w:tc>
          <w:tcPr>
            <w:tcW w:w="833" w:type="pct"/>
            <w:noWrap/>
            <w:hideMark/>
          </w:tcPr>
          <w:p w14:paraId="2E86F386" w14:textId="77777777" w:rsidR="00BB3966" w:rsidRPr="00317F65" w:rsidRDefault="00BB3966" w:rsidP="00593FED">
            <w:pPr>
              <w:jc w:val="center"/>
              <w:rPr>
                <w:rFonts w:eastAsia="Times New Roman"/>
                <w:color w:val="000000"/>
              </w:rPr>
            </w:pPr>
            <w:r w:rsidRPr="00317F65">
              <w:rPr>
                <w:rFonts w:eastAsia="Times New Roman"/>
                <w:color w:val="000000"/>
              </w:rPr>
              <w:t>9,789,524</w:t>
            </w:r>
          </w:p>
        </w:tc>
        <w:tc>
          <w:tcPr>
            <w:tcW w:w="834" w:type="pct"/>
            <w:noWrap/>
            <w:hideMark/>
          </w:tcPr>
          <w:p w14:paraId="0A391C92" w14:textId="77777777" w:rsidR="00BB3966" w:rsidRPr="00317F65" w:rsidRDefault="00BB3966" w:rsidP="00593FED">
            <w:pPr>
              <w:jc w:val="center"/>
              <w:rPr>
                <w:rFonts w:eastAsia="Times New Roman"/>
                <w:color w:val="000000"/>
              </w:rPr>
            </w:pPr>
            <w:r w:rsidRPr="00317F65">
              <w:rPr>
                <w:rFonts w:eastAsia="Times New Roman"/>
                <w:color w:val="000000"/>
              </w:rPr>
              <w:t>32.2%</w:t>
            </w:r>
          </w:p>
        </w:tc>
        <w:tc>
          <w:tcPr>
            <w:tcW w:w="833" w:type="pct"/>
            <w:noWrap/>
            <w:hideMark/>
          </w:tcPr>
          <w:p w14:paraId="4C09CC0E" w14:textId="77777777" w:rsidR="00BB3966" w:rsidRPr="00317F65" w:rsidRDefault="00BB3966" w:rsidP="00593FED">
            <w:pPr>
              <w:jc w:val="center"/>
              <w:rPr>
                <w:rFonts w:eastAsia="Times New Roman"/>
                <w:color w:val="000000"/>
              </w:rPr>
            </w:pPr>
            <w:r w:rsidRPr="00317F65">
              <w:rPr>
                <w:color w:val="000000"/>
              </w:rPr>
              <w:t>487</w:t>
            </w:r>
          </w:p>
        </w:tc>
        <w:tc>
          <w:tcPr>
            <w:tcW w:w="833" w:type="pct"/>
            <w:noWrap/>
            <w:hideMark/>
          </w:tcPr>
          <w:p w14:paraId="2EE605B6" w14:textId="77777777" w:rsidR="00BB3966" w:rsidRPr="00317F65" w:rsidRDefault="00BB3966" w:rsidP="00593FED">
            <w:pPr>
              <w:jc w:val="center"/>
              <w:rPr>
                <w:rFonts w:eastAsia="Times New Roman"/>
                <w:color w:val="000000"/>
              </w:rPr>
            </w:pPr>
            <w:r w:rsidRPr="00317F65">
              <w:rPr>
                <w:color w:val="000000"/>
              </w:rPr>
              <w:t>46.1%</w:t>
            </w:r>
          </w:p>
        </w:tc>
      </w:tr>
      <w:tr w:rsidR="00BB3966" w:rsidRPr="00317F65" w14:paraId="0C62744F" w14:textId="77777777" w:rsidTr="007F6337">
        <w:trPr>
          <w:trHeight w:val="300"/>
        </w:trPr>
        <w:tc>
          <w:tcPr>
            <w:tcW w:w="1668" w:type="pct"/>
            <w:gridSpan w:val="2"/>
            <w:noWrap/>
            <w:hideMark/>
          </w:tcPr>
          <w:p w14:paraId="49795D67" w14:textId="77777777" w:rsidR="00BB3966" w:rsidRPr="00317F65" w:rsidRDefault="00BB3966" w:rsidP="00593FED">
            <w:pPr>
              <w:jc w:val="center"/>
              <w:rPr>
                <w:rFonts w:eastAsia="Times New Roman"/>
                <w:b/>
                <w:bCs/>
                <w:color w:val="000000"/>
              </w:rPr>
            </w:pPr>
            <w:r w:rsidRPr="00317F65">
              <w:rPr>
                <w:rFonts w:eastAsia="Times New Roman"/>
                <w:b/>
                <w:bCs/>
                <w:color w:val="000000"/>
              </w:rPr>
              <w:t>Total</w:t>
            </w:r>
          </w:p>
        </w:tc>
        <w:tc>
          <w:tcPr>
            <w:tcW w:w="833" w:type="pct"/>
            <w:noWrap/>
            <w:hideMark/>
          </w:tcPr>
          <w:p w14:paraId="5001254A" w14:textId="77777777" w:rsidR="00BB3966" w:rsidRPr="00317F65" w:rsidRDefault="00BB3966" w:rsidP="00593FED">
            <w:pPr>
              <w:jc w:val="center"/>
              <w:rPr>
                <w:rFonts w:eastAsia="Times New Roman"/>
                <w:b/>
                <w:bCs/>
                <w:color w:val="000000"/>
              </w:rPr>
            </w:pPr>
            <w:r w:rsidRPr="00317F65">
              <w:rPr>
                <w:rFonts w:eastAsia="Times New Roman"/>
                <w:b/>
                <w:bCs/>
                <w:color w:val="000000"/>
              </w:rPr>
              <w:t>30,452,632</w:t>
            </w:r>
          </w:p>
        </w:tc>
        <w:tc>
          <w:tcPr>
            <w:tcW w:w="834" w:type="pct"/>
            <w:noWrap/>
            <w:hideMark/>
          </w:tcPr>
          <w:p w14:paraId="57005ECC" w14:textId="77777777" w:rsidR="00BB3966" w:rsidRPr="00317F65" w:rsidRDefault="00BB3966" w:rsidP="00593FED">
            <w:pPr>
              <w:jc w:val="center"/>
              <w:rPr>
                <w:rFonts w:eastAsia="Times New Roman"/>
                <w:b/>
                <w:bCs/>
                <w:color w:val="000000"/>
              </w:rPr>
            </w:pPr>
            <w:r w:rsidRPr="00317F65">
              <w:rPr>
                <w:rFonts w:eastAsia="Times New Roman"/>
                <w:b/>
                <w:bCs/>
                <w:color w:val="000000"/>
              </w:rPr>
              <w:t>100.0%</w:t>
            </w:r>
          </w:p>
        </w:tc>
        <w:tc>
          <w:tcPr>
            <w:tcW w:w="833" w:type="pct"/>
            <w:noWrap/>
            <w:hideMark/>
          </w:tcPr>
          <w:p w14:paraId="4441ACEC" w14:textId="77777777" w:rsidR="00BB3966" w:rsidRPr="00317F65" w:rsidRDefault="00BB3966" w:rsidP="00593FED">
            <w:pPr>
              <w:jc w:val="center"/>
              <w:rPr>
                <w:rFonts w:eastAsia="Times New Roman"/>
                <w:b/>
                <w:bCs/>
                <w:color w:val="000000"/>
              </w:rPr>
            </w:pPr>
            <w:r w:rsidRPr="00317F65">
              <w:rPr>
                <w:b/>
                <w:bCs/>
                <w:color w:val="000000"/>
              </w:rPr>
              <w:t>1,057</w:t>
            </w:r>
          </w:p>
        </w:tc>
        <w:tc>
          <w:tcPr>
            <w:tcW w:w="833" w:type="pct"/>
            <w:noWrap/>
            <w:hideMark/>
          </w:tcPr>
          <w:p w14:paraId="2693BA65" w14:textId="77777777" w:rsidR="00BB3966" w:rsidRPr="00317F65" w:rsidRDefault="00BB3966" w:rsidP="00593FED">
            <w:pPr>
              <w:jc w:val="center"/>
              <w:rPr>
                <w:rFonts w:eastAsia="Times New Roman"/>
                <w:b/>
                <w:bCs/>
                <w:color w:val="000000"/>
              </w:rPr>
            </w:pPr>
            <w:r w:rsidRPr="00317F65">
              <w:rPr>
                <w:b/>
                <w:bCs/>
                <w:color w:val="000000"/>
              </w:rPr>
              <w:t>100.0%</w:t>
            </w:r>
          </w:p>
        </w:tc>
      </w:tr>
    </w:tbl>
    <w:p w14:paraId="2FFB4055" w14:textId="77777777" w:rsidR="00BB3966" w:rsidRPr="00317F65" w:rsidRDefault="00BB3966" w:rsidP="00BB3966">
      <w:pPr>
        <w:spacing w:before="240"/>
        <w:rPr>
          <w:b/>
        </w:rPr>
      </w:pPr>
    </w:p>
    <w:p w14:paraId="26FE67E5" w14:textId="77777777" w:rsidR="00BB3966" w:rsidRPr="00317F65" w:rsidRDefault="00BB3966">
      <w:pPr>
        <w:rPr>
          <w:b/>
        </w:rPr>
      </w:pPr>
      <w:r w:rsidRPr="00317F65">
        <w:rPr>
          <w:b/>
        </w:rPr>
        <w:br w:type="page"/>
      </w:r>
    </w:p>
    <w:p w14:paraId="3814B658" w14:textId="1589BED3" w:rsidR="00BB3966" w:rsidRPr="00317F65" w:rsidRDefault="00BB3966" w:rsidP="00BB3966">
      <w:pPr>
        <w:spacing w:before="240"/>
      </w:pPr>
      <w:r w:rsidRPr="00317F65">
        <w:rPr>
          <w:b/>
        </w:rPr>
        <w:lastRenderedPageBreak/>
        <w:t xml:space="preserve">Table </w:t>
      </w:r>
      <w:r w:rsidR="006F6AD5">
        <w:rPr>
          <w:b/>
        </w:rPr>
        <w:t>4</w:t>
      </w:r>
      <w:r w:rsidRPr="00317F65">
        <w:rPr>
          <w:b/>
        </w:rPr>
        <w:t>.</w:t>
      </w:r>
      <w:r w:rsidRPr="00317F65">
        <w:t xml:space="preserve"> Population and Respondent Distributions by Gender and Race</w:t>
      </w:r>
    </w:p>
    <w:tbl>
      <w:tblPr>
        <w:tblStyle w:val="TableGrid"/>
        <w:tblW w:w="5000" w:type="pct"/>
        <w:tblLook w:val="04A0" w:firstRow="1" w:lastRow="0" w:firstColumn="1" w:lastColumn="0" w:noHBand="0" w:noVBand="1"/>
      </w:tblPr>
      <w:tblGrid>
        <w:gridCol w:w="1557"/>
        <w:gridCol w:w="1561"/>
        <w:gridCol w:w="1558"/>
        <w:gridCol w:w="1560"/>
        <w:gridCol w:w="1558"/>
        <w:gridCol w:w="1556"/>
      </w:tblGrid>
      <w:tr w:rsidR="00BB3966" w:rsidRPr="00317F65" w14:paraId="1B8D9D57" w14:textId="77777777" w:rsidTr="007F6337">
        <w:trPr>
          <w:trHeight w:val="310"/>
        </w:trPr>
        <w:tc>
          <w:tcPr>
            <w:tcW w:w="833" w:type="pct"/>
            <w:noWrap/>
            <w:hideMark/>
          </w:tcPr>
          <w:p w14:paraId="0DA417ED" w14:textId="77777777" w:rsidR="00BB3966" w:rsidRPr="00317F65" w:rsidRDefault="00BB3966" w:rsidP="00593FED">
            <w:pPr>
              <w:jc w:val="center"/>
              <w:rPr>
                <w:rFonts w:eastAsia="Times New Roman"/>
                <w:b/>
                <w:bCs/>
                <w:color w:val="000000"/>
              </w:rPr>
            </w:pPr>
            <w:r w:rsidRPr="00317F65">
              <w:rPr>
                <w:rFonts w:eastAsia="Times New Roman"/>
                <w:b/>
                <w:bCs/>
                <w:color w:val="000000"/>
              </w:rPr>
              <w:t>Gender</w:t>
            </w:r>
          </w:p>
        </w:tc>
        <w:tc>
          <w:tcPr>
            <w:tcW w:w="835" w:type="pct"/>
            <w:noWrap/>
            <w:hideMark/>
          </w:tcPr>
          <w:p w14:paraId="6B369D49" w14:textId="77777777" w:rsidR="00BB3966" w:rsidRPr="00317F65" w:rsidRDefault="00BB3966" w:rsidP="00593FED">
            <w:pPr>
              <w:jc w:val="center"/>
              <w:rPr>
                <w:rFonts w:eastAsia="Times New Roman"/>
                <w:b/>
                <w:bCs/>
                <w:color w:val="000000"/>
              </w:rPr>
            </w:pPr>
            <w:r w:rsidRPr="00317F65">
              <w:rPr>
                <w:rFonts w:eastAsia="Times New Roman"/>
                <w:b/>
                <w:bCs/>
                <w:color w:val="000000"/>
              </w:rPr>
              <w:t>Race</w:t>
            </w:r>
          </w:p>
        </w:tc>
        <w:tc>
          <w:tcPr>
            <w:tcW w:w="1667" w:type="pct"/>
            <w:gridSpan w:val="2"/>
            <w:noWrap/>
            <w:hideMark/>
          </w:tcPr>
          <w:p w14:paraId="293CF095" w14:textId="77777777" w:rsidR="00BB3966" w:rsidRPr="00317F65" w:rsidRDefault="00BB3966" w:rsidP="00593FED">
            <w:pPr>
              <w:jc w:val="center"/>
              <w:rPr>
                <w:rFonts w:eastAsia="Times New Roman"/>
                <w:b/>
                <w:bCs/>
                <w:color w:val="000000"/>
                <w:szCs w:val="20"/>
              </w:rPr>
            </w:pPr>
            <w:r w:rsidRPr="00317F65">
              <w:rPr>
                <w:rFonts w:eastAsia="Times New Roman"/>
                <w:b/>
                <w:bCs/>
                <w:color w:val="000000"/>
                <w:szCs w:val="20"/>
              </w:rPr>
              <w:t>Universe</w:t>
            </w:r>
          </w:p>
        </w:tc>
        <w:tc>
          <w:tcPr>
            <w:tcW w:w="1665" w:type="pct"/>
            <w:gridSpan w:val="2"/>
            <w:noWrap/>
            <w:hideMark/>
          </w:tcPr>
          <w:p w14:paraId="21E64FBC" w14:textId="77777777" w:rsidR="00BB3966" w:rsidRPr="00317F65" w:rsidRDefault="00BB3966" w:rsidP="00593FED">
            <w:pPr>
              <w:jc w:val="center"/>
              <w:rPr>
                <w:rFonts w:eastAsia="Times New Roman"/>
                <w:b/>
                <w:bCs/>
                <w:color w:val="000000"/>
              </w:rPr>
            </w:pPr>
            <w:r w:rsidRPr="00317F65">
              <w:rPr>
                <w:rFonts w:eastAsia="Times New Roman"/>
                <w:b/>
                <w:bCs/>
                <w:color w:val="000000"/>
              </w:rPr>
              <w:t>Respondents</w:t>
            </w:r>
          </w:p>
        </w:tc>
      </w:tr>
      <w:tr w:rsidR="00BB3966" w:rsidRPr="00317F65" w14:paraId="3D7A8FCE" w14:textId="77777777" w:rsidTr="007F6337">
        <w:trPr>
          <w:trHeight w:val="300"/>
        </w:trPr>
        <w:tc>
          <w:tcPr>
            <w:tcW w:w="833" w:type="pct"/>
            <w:vMerge w:val="restart"/>
            <w:noWrap/>
            <w:hideMark/>
          </w:tcPr>
          <w:p w14:paraId="22D9D55E" w14:textId="77777777" w:rsidR="00BB3966" w:rsidRPr="00317F65" w:rsidRDefault="00BB3966" w:rsidP="00593FED">
            <w:pPr>
              <w:jc w:val="center"/>
              <w:rPr>
                <w:rFonts w:eastAsia="Times New Roman"/>
                <w:color w:val="000000"/>
              </w:rPr>
            </w:pPr>
            <w:r w:rsidRPr="00317F65">
              <w:rPr>
                <w:rFonts w:eastAsia="Times New Roman"/>
                <w:color w:val="000000"/>
              </w:rPr>
              <w:t>Male</w:t>
            </w:r>
          </w:p>
        </w:tc>
        <w:tc>
          <w:tcPr>
            <w:tcW w:w="835" w:type="pct"/>
            <w:noWrap/>
            <w:hideMark/>
          </w:tcPr>
          <w:p w14:paraId="19DB4AEC" w14:textId="77777777" w:rsidR="00BB3966" w:rsidRPr="00317F65" w:rsidRDefault="00BB3966" w:rsidP="00593FED">
            <w:pPr>
              <w:jc w:val="center"/>
              <w:rPr>
                <w:rFonts w:eastAsia="Times New Roman"/>
                <w:color w:val="000000"/>
                <w:szCs w:val="20"/>
              </w:rPr>
            </w:pPr>
            <w:r w:rsidRPr="00317F65">
              <w:rPr>
                <w:rFonts w:eastAsia="Times New Roman"/>
                <w:color w:val="000000"/>
                <w:szCs w:val="20"/>
              </w:rPr>
              <w:t>White</w:t>
            </w:r>
          </w:p>
        </w:tc>
        <w:tc>
          <w:tcPr>
            <w:tcW w:w="833" w:type="pct"/>
            <w:noWrap/>
            <w:hideMark/>
          </w:tcPr>
          <w:p w14:paraId="0CD5F610" w14:textId="77777777" w:rsidR="00BB3966" w:rsidRPr="00317F65" w:rsidRDefault="00BB3966" w:rsidP="00593FED">
            <w:pPr>
              <w:jc w:val="center"/>
              <w:rPr>
                <w:rFonts w:eastAsia="Times New Roman"/>
                <w:color w:val="000000"/>
              </w:rPr>
            </w:pPr>
            <w:r w:rsidRPr="00317F65">
              <w:rPr>
                <w:rFonts w:eastAsia="Times New Roman"/>
                <w:color w:val="000000"/>
              </w:rPr>
              <w:t>11,135,982</w:t>
            </w:r>
          </w:p>
        </w:tc>
        <w:tc>
          <w:tcPr>
            <w:tcW w:w="834" w:type="pct"/>
            <w:noWrap/>
            <w:hideMark/>
          </w:tcPr>
          <w:p w14:paraId="074D6B61" w14:textId="77777777" w:rsidR="00BB3966" w:rsidRPr="00317F65" w:rsidRDefault="00BB3966" w:rsidP="00593FED">
            <w:pPr>
              <w:jc w:val="center"/>
              <w:rPr>
                <w:rFonts w:eastAsia="Times New Roman"/>
                <w:color w:val="000000"/>
              </w:rPr>
            </w:pPr>
            <w:r w:rsidRPr="00317F65">
              <w:rPr>
                <w:rFonts w:eastAsia="Times New Roman"/>
                <w:color w:val="000000"/>
              </w:rPr>
              <w:t>36.6%</w:t>
            </w:r>
          </w:p>
        </w:tc>
        <w:tc>
          <w:tcPr>
            <w:tcW w:w="833" w:type="pct"/>
            <w:noWrap/>
            <w:hideMark/>
          </w:tcPr>
          <w:p w14:paraId="401D181E" w14:textId="77777777" w:rsidR="00BB3966" w:rsidRPr="00317F65" w:rsidRDefault="00BB3966" w:rsidP="00593FED">
            <w:pPr>
              <w:jc w:val="center"/>
              <w:rPr>
                <w:rFonts w:eastAsia="Times New Roman"/>
                <w:color w:val="000000"/>
              </w:rPr>
            </w:pPr>
            <w:r w:rsidRPr="00317F65">
              <w:rPr>
                <w:color w:val="000000"/>
              </w:rPr>
              <w:t>331</w:t>
            </w:r>
          </w:p>
        </w:tc>
        <w:tc>
          <w:tcPr>
            <w:tcW w:w="832" w:type="pct"/>
            <w:noWrap/>
            <w:hideMark/>
          </w:tcPr>
          <w:p w14:paraId="3733135C" w14:textId="77777777" w:rsidR="00BB3966" w:rsidRPr="00317F65" w:rsidRDefault="00BB3966" w:rsidP="00593FED">
            <w:pPr>
              <w:jc w:val="center"/>
              <w:rPr>
                <w:rFonts w:eastAsia="Times New Roman"/>
                <w:color w:val="000000"/>
              </w:rPr>
            </w:pPr>
            <w:r w:rsidRPr="00317F65">
              <w:rPr>
                <w:color w:val="000000"/>
              </w:rPr>
              <w:t>31.3%</w:t>
            </w:r>
          </w:p>
        </w:tc>
      </w:tr>
      <w:tr w:rsidR="00BB3966" w:rsidRPr="00317F65" w14:paraId="44B02E36" w14:textId="77777777" w:rsidTr="007F6337">
        <w:trPr>
          <w:trHeight w:val="290"/>
        </w:trPr>
        <w:tc>
          <w:tcPr>
            <w:tcW w:w="833" w:type="pct"/>
            <w:vMerge/>
            <w:hideMark/>
          </w:tcPr>
          <w:p w14:paraId="21EBB472" w14:textId="77777777" w:rsidR="00BB3966" w:rsidRPr="00317F65" w:rsidRDefault="00BB3966" w:rsidP="00593FED">
            <w:pPr>
              <w:rPr>
                <w:rFonts w:eastAsia="Times New Roman"/>
                <w:color w:val="000000"/>
              </w:rPr>
            </w:pPr>
          </w:p>
        </w:tc>
        <w:tc>
          <w:tcPr>
            <w:tcW w:w="835" w:type="pct"/>
            <w:noWrap/>
            <w:hideMark/>
          </w:tcPr>
          <w:p w14:paraId="6A762E63" w14:textId="77777777" w:rsidR="00BB3966" w:rsidRPr="00317F65" w:rsidRDefault="00BB3966" w:rsidP="00593FED">
            <w:pPr>
              <w:jc w:val="center"/>
              <w:rPr>
                <w:rFonts w:eastAsia="Times New Roman"/>
                <w:color w:val="000000"/>
                <w:szCs w:val="20"/>
              </w:rPr>
            </w:pPr>
            <w:r w:rsidRPr="00317F65">
              <w:rPr>
                <w:rFonts w:eastAsia="Times New Roman"/>
                <w:color w:val="000000"/>
                <w:szCs w:val="20"/>
              </w:rPr>
              <w:t>Asian</w:t>
            </w:r>
          </w:p>
        </w:tc>
        <w:tc>
          <w:tcPr>
            <w:tcW w:w="833" w:type="pct"/>
            <w:noWrap/>
            <w:hideMark/>
          </w:tcPr>
          <w:p w14:paraId="52DE75EA" w14:textId="77777777" w:rsidR="00BB3966" w:rsidRPr="00317F65" w:rsidRDefault="00BB3966" w:rsidP="00593FED">
            <w:pPr>
              <w:jc w:val="center"/>
              <w:rPr>
                <w:rFonts w:eastAsia="Times New Roman"/>
                <w:color w:val="000000"/>
              </w:rPr>
            </w:pPr>
            <w:r w:rsidRPr="00317F65">
              <w:rPr>
                <w:rFonts w:eastAsia="Times New Roman"/>
                <w:color w:val="000000"/>
              </w:rPr>
              <w:t>2,251,602</w:t>
            </w:r>
          </w:p>
        </w:tc>
        <w:tc>
          <w:tcPr>
            <w:tcW w:w="834" w:type="pct"/>
            <w:noWrap/>
            <w:hideMark/>
          </w:tcPr>
          <w:p w14:paraId="3B5E65B4" w14:textId="77777777" w:rsidR="00BB3966" w:rsidRPr="00317F65" w:rsidRDefault="00BB3966" w:rsidP="00593FED">
            <w:pPr>
              <w:jc w:val="center"/>
              <w:rPr>
                <w:rFonts w:eastAsia="Times New Roman"/>
                <w:color w:val="000000"/>
              </w:rPr>
            </w:pPr>
            <w:r w:rsidRPr="00317F65">
              <w:rPr>
                <w:rFonts w:eastAsia="Times New Roman"/>
                <w:color w:val="000000"/>
              </w:rPr>
              <w:t>7.4%</w:t>
            </w:r>
          </w:p>
        </w:tc>
        <w:tc>
          <w:tcPr>
            <w:tcW w:w="833" w:type="pct"/>
            <w:noWrap/>
            <w:hideMark/>
          </w:tcPr>
          <w:p w14:paraId="2F70801C" w14:textId="77777777" w:rsidR="00BB3966" w:rsidRPr="00317F65" w:rsidRDefault="00BB3966" w:rsidP="00593FED">
            <w:pPr>
              <w:jc w:val="center"/>
              <w:rPr>
                <w:rFonts w:eastAsia="Times New Roman"/>
                <w:color w:val="000000"/>
              </w:rPr>
            </w:pPr>
            <w:r w:rsidRPr="00317F65">
              <w:rPr>
                <w:color w:val="000000"/>
              </w:rPr>
              <w:t>72</w:t>
            </w:r>
          </w:p>
        </w:tc>
        <w:tc>
          <w:tcPr>
            <w:tcW w:w="832" w:type="pct"/>
            <w:noWrap/>
            <w:hideMark/>
          </w:tcPr>
          <w:p w14:paraId="09EF8439" w14:textId="77777777" w:rsidR="00BB3966" w:rsidRPr="00317F65" w:rsidRDefault="00BB3966" w:rsidP="00593FED">
            <w:pPr>
              <w:jc w:val="center"/>
              <w:rPr>
                <w:rFonts w:eastAsia="Times New Roman"/>
                <w:color w:val="000000"/>
              </w:rPr>
            </w:pPr>
            <w:r w:rsidRPr="00317F65">
              <w:rPr>
                <w:color w:val="000000"/>
              </w:rPr>
              <w:t>6.8%</w:t>
            </w:r>
          </w:p>
        </w:tc>
      </w:tr>
      <w:tr w:rsidR="00BB3966" w:rsidRPr="00317F65" w14:paraId="7024DF34" w14:textId="77777777" w:rsidTr="007F6337">
        <w:trPr>
          <w:trHeight w:val="290"/>
        </w:trPr>
        <w:tc>
          <w:tcPr>
            <w:tcW w:w="833" w:type="pct"/>
            <w:vMerge/>
            <w:hideMark/>
          </w:tcPr>
          <w:p w14:paraId="35E9AD9A" w14:textId="77777777" w:rsidR="00BB3966" w:rsidRPr="00317F65" w:rsidRDefault="00BB3966" w:rsidP="00593FED">
            <w:pPr>
              <w:rPr>
                <w:rFonts w:eastAsia="Times New Roman"/>
                <w:color w:val="000000"/>
              </w:rPr>
            </w:pPr>
          </w:p>
        </w:tc>
        <w:tc>
          <w:tcPr>
            <w:tcW w:w="835" w:type="pct"/>
            <w:noWrap/>
            <w:hideMark/>
          </w:tcPr>
          <w:p w14:paraId="60B5BA92" w14:textId="77777777" w:rsidR="00BB3966" w:rsidRPr="00317F65" w:rsidRDefault="00BB3966" w:rsidP="00593FED">
            <w:pPr>
              <w:jc w:val="center"/>
              <w:rPr>
                <w:rFonts w:eastAsia="Times New Roman"/>
                <w:color w:val="000000"/>
                <w:szCs w:val="20"/>
              </w:rPr>
            </w:pPr>
            <w:r w:rsidRPr="00317F65">
              <w:rPr>
                <w:rFonts w:eastAsia="Times New Roman"/>
                <w:color w:val="000000"/>
                <w:szCs w:val="20"/>
              </w:rPr>
              <w:t>Other</w:t>
            </w:r>
          </w:p>
        </w:tc>
        <w:tc>
          <w:tcPr>
            <w:tcW w:w="833" w:type="pct"/>
            <w:noWrap/>
            <w:hideMark/>
          </w:tcPr>
          <w:p w14:paraId="36C353C6" w14:textId="77777777" w:rsidR="00BB3966" w:rsidRPr="00317F65" w:rsidRDefault="00BB3966" w:rsidP="00593FED">
            <w:pPr>
              <w:jc w:val="center"/>
              <w:rPr>
                <w:rFonts w:eastAsia="Times New Roman"/>
                <w:color w:val="000000"/>
              </w:rPr>
            </w:pPr>
            <w:r w:rsidRPr="00317F65">
              <w:rPr>
                <w:rFonts w:eastAsia="Times New Roman"/>
                <w:color w:val="000000"/>
              </w:rPr>
              <w:t>1,685,431</w:t>
            </w:r>
          </w:p>
        </w:tc>
        <w:tc>
          <w:tcPr>
            <w:tcW w:w="834" w:type="pct"/>
            <w:noWrap/>
            <w:hideMark/>
          </w:tcPr>
          <w:p w14:paraId="7E719982" w14:textId="77777777" w:rsidR="00BB3966" w:rsidRPr="00317F65" w:rsidRDefault="00BB3966" w:rsidP="00593FED">
            <w:pPr>
              <w:jc w:val="center"/>
              <w:rPr>
                <w:rFonts w:eastAsia="Times New Roman"/>
                <w:color w:val="000000"/>
              </w:rPr>
            </w:pPr>
            <w:r w:rsidRPr="00317F65">
              <w:rPr>
                <w:rFonts w:eastAsia="Times New Roman"/>
                <w:color w:val="000000"/>
              </w:rPr>
              <w:t>5.5%</w:t>
            </w:r>
          </w:p>
        </w:tc>
        <w:tc>
          <w:tcPr>
            <w:tcW w:w="833" w:type="pct"/>
            <w:noWrap/>
            <w:hideMark/>
          </w:tcPr>
          <w:p w14:paraId="671B1479" w14:textId="77777777" w:rsidR="00BB3966" w:rsidRPr="00317F65" w:rsidRDefault="00BB3966" w:rsidP="00593FED">
            <w:pPr>
              <w:jc w:val="center"/>
              <w:rPr>
                <w:rFonts w:eastAsia="Times New Roman"/>
                <w:color w:val="000000"/>
              </w:rPr>
            </w:pPr>
            <w:r w:rsidRPr="00317F65">
              <w:rPr>
                <w:color w:val="000000"/>
              </w:rPr>
              <w:t>50</w:t>
            </w:r>
          </w:p>
        </w:tc>
        <w:tc>
          <w:tcPr>
            <w:tcW w:w="832" w:type="pct"/>
            <w:noWrap/>
            <w:hideMark/>
          </w:tcPr>
          <w:p w14:paraId="14ED56BA" w14:textId="77777777" w:rsidR="00BB3966" w:rsidRPr="00317F65" w:rsidRDefault="00BB3966" w:rsidP="00593FED">
            <w:pPr>
              <w:jc w:val="center"/>
              <w:rPr>
                <w:rFonts w:eastAsia="Times New Roman"/>
                <w:color w:val="000000"/>
              </w:rPr>
            </w:pPr>
            <w:r w:rsidRPr="00317F65">
              <w:rPr>
                <w:color w:val="000000"/>
              </w:rPr>
              <w:t>4.7%</w:t>
            </w:r>
          </w:p>
        </w:tc>
      </w:tr>
      <w:tr w:rsidR="00BB3966" w:rsidRPr="00317F65" w14:paraId="0E70F4C4" w14:textId="77777777" w:rsidTr="007F6337">
        <w:trPr>
          <w:trHeight w:val="290"/>
        </w:trPr>
        <w:tc>
          <w:tcPr>
            <w:tcW w:w="833" w:type="pct"/>
            <w:vMerge w:val="restart"/>
            <w:noWrap/>
            <w:hideMark/>
          </w:tcPr>
          <w:p w14:paraId="5193D296" w14:textId="77777777" w:rsidR="00BB3966" w:rsidRPr="00317F65" w:rsidRDefault="00BB3966" w:rsidP="00593FED">
            <w:pPr>
              <w:jc w:val="center"/>
              <w:rPr>
                <w:rFonts w:eastAsia="Times New Roman"/>
                <w:color w:val="000000"/>
              </w:rPr>
            </w:pPr>
            <w:r w:rsidRPr="00317F65">
              <w:rPr>
                <w:rFonts w:eastAsia="Times New Roman"/>
                <w:color w:val="000000"/>
              </w:rPr>
              <w:t>Female</w:t>
            </w:r>
          </w:p>
        </w:tc>
        <w:tc>
          <w:tcPr>
            <w:tcW w:w="835" w:type="pct"/>
            <w:noWrap/>
            <w:hideMark/>
          </w:tcPr>
          <w:p w14:paraId="2F02B8B5" w14:textId="77777777" w:rsidR="00BB3966" w:rsidRPr="00317F65" w:rsidRDefault="00BB3966" w:rsidP="00593FED">
            <w:pPr>
              <w:jc w:val="center"/>
              <w:rPr>
                <w:rFonts w:eastAsia="Times New Roman"/>
                <w:color w:val="000000"/>
                <w:szCs w:val="20"/>
              </w:rPr>
            </w:pPr>
            <w:r w:rsidRPr="00317F65">
              <w:rPr>
                <w:rFonts w:eastAsia="Times New Roman"/>
                <w:color w:val="000000"/>
                <w:szCs w:val="20"/>
              </w:rPr>
              <w:t>White</w:t>
            </w:r>
          </w:p>
        </w:tc>
        <w:tc>
          <w:tcPr>
            <w:tcW w:w="833" w:type="pct"/>
            <w:noWrap/>
            <w:hideMark/>
          </w:tcPr>
          <w:p w14:paraId="1674C708" w14:textId="77777777" w:rsidR="00BB3966" w:rsidRPr="00317F65" w:rsidRDefault="00BB3966" w:rsidP="00593FED">
            <w:pPr>
              <w:jc w:val="center"/>
              <w:rPr>
                <w:rFonts w:eastAsia="Times New Roman"/>
                <w:color w:val="000000"/>
                <w:szCs w:val="20"/>
              </w:rPr>
            </w:pPr>
            <w:r w:rsidRPr="00317F65">
              <w:rPr>
                <w:rFonts w:eastAsia="Times New Roman"/>
                <w:color w:val="000000"/>
                <w:szCs w:val="20"/>
              </w:rPr>
              <w:t>10,964,873</w:t>
            </w:r>
          </w:p>
        </w:tc>
        <w:tc>
          <w:tcPr>
            <w:tcW w:w="834" w:type="pct"/>
            <w:noWrap/>
            <w:hideMark/>
          </w:tcPr>
          <w:p w14:paraId="19043821" w14:textId="77777777" w:rsidR="00BB3966" w:rsidRPr="00317F65" w:rsidRDefault="00BB3966" w:rsidP="00593FED">
            <w:pPr>
              <w:jc w:val="center"/>
              <w:rPr>
                <w:rFonts w:eastAsia="Times New Roman"/>
                <w:color w:val="000000"/>
              </w:rPr>
            </w:pPr>
            <w:r w:rsidRPr="00317F65">
              <w:rPr>
                <w:rFonts w:eastAsia="Times New Roman"/>
                <w:color w:val="000000"/>
              </w:rPr>
              <w:t>36.0%</w:t>
            </w:r>
          </w:p>
        </w:tc>
        <w:tc>
          <w:tcPr>
            <w:tcW w:w="833" w:type="pct"/>
            <w:noWrap/>
            <w:hideMark/>
          </w:tcPr>
          <w:p w14:paraId="51EA02A2" w14:textId="77777777" w:rsidR="00BB3966" w:rsidRPr="00317F65" w:rsidRDefault="00BB3966" w:rsidP="00593FED">
            <w:pPr>
              <w:jc w:val="center"/>
              <w:rPr>
                <w:rFonts w:eastAsia="Times New Roman"/>
                <w:color w:val="000000"/>
              </w:rPr>
            </w:pPr>
            <w:r w:rsidRPr="00317F65">
              <w:rPr>
                <w:color w:val="000000"/>
              </w:rPr>
              <w:t>446</w:t>
            </w:r>
          </w:p>
        </w:tc>
        <w:tc>
          <w:tcPr>
            <w:tcW w:w="832" w:type="pct"/>
            <w:noWrap/>
            <w:hideMark/>
          </w:tcPr>
          <w:p w14:paraId="1973E6FB" w14:textId="77777777" w:rsidR="00BB3966" w:rsidRPr="00317F65" w:rsidRDefault="00BB3966" w:rsidP="00593FED">
            <w:pPr>
              <w:jc w:val="center"/>
              <w:rPr>
                <w:rFonts w:eastAsia="Times New Roman"/>
                <w:color w:val="000000"/>
              </w:rPr>
            </w:pPr>
            <w:r w:rsidRPr="00317F65">
              <w:rPr>
                <w:color w:val="000000"/>
              </w:rPr>
              <w:t>42.2%</w:t>
            </w:r>
          </w:p>
        </w:tc>
      </w:tr>
      <w:tr w:rsidR="00BB3966" w:rsidRPr="00317F65" w14:paraId="61B5AA9B" w14:textId="77777777" w:rsidTr="007F6337">
        <w:trPr>
          <w:trHeight w:val="290"/>
        </w:trPr>
        <w:tc>
          <w:tcPr>
            <w:tcW w:w="833" w:type="pct"/>
            <w:vMerge/>
            <w:hideMark/>
          </w:tcPr>
          <w:p w14:paraId="1E6AC4EB" w14:textId="77777777" w:rsidR="00BB3966" w:rsidRPr="00317F65" w:rsidRDefault="00BB3966" w:rsidP="00593FED">
            <w:pPr>
              <w:rPr>
                <w:rFonts w:eastAsia="Times New Roman"/>
                <w:color w:val="000000"/>
              </w:rPr>
            </w:pPr>
          </w:p>
        </w:tc>
        <w:tc>
          <w:tcPr>
            <w:tcW w:w="835" w:type="pct"/>
            <w:noWrap/>
            <w:hideMark/>
          </w:tcPr>
          <w:p w14:paraId="01112A51" w14:textId="77777777" w:rsidR="00BB3966" w:rsidRPr="00317F65" w:rsidRDefault="00BB3966" w:rsidP="00593FED">
            <w:pPr>
              <w:jc w:val="center"/>
              <w:rPr>
                <w:rFonts w:eastAsia="Times New Roman"/>
                <w:color w:val="000000"/>
                <w:szCs w:val="20"/>
              </w:rPr>
            </w:pPr>
            <w:r w:rsidRPr="00317F65">
              <w:rPr>
                <w:rFonts w:eastAsia="Times New Roman"/>
                <w:color w:val="000000"/>
                <w:szCs w:val="20"/>
              </w:rPr>
              <w:t>Asian</w:t>
            </w:r>
          </w:p>
        </w:tc>
        <w:tc>
          <w:tcPr>
            <w:tcW w:w="833" w:type="pct"/>
            <w:noWrap/>
            <w:hideMark/>
          </w:tcPr>
          <w:p w14:paraId="0A9108B8" w14:textId="77777777" w:rsidR="00BB3966" w:rsidRPr="00317F65" w:rsidRDefault="00BB3966" w:rsidP="00593FED">
            <w:pPr>
              <w:jc w:val="center"/>
              <w:rPr>
                <w:rFonts w:eastAsia="Times New Roman"/>
                <w:color w:val="000000"/>
                <w:szCs w:val="20"/>
              </w:rPr>
            </w:pPr>
            <w:r w:rsidRPr="00317F65">
              <w:rPr>
                <w:rFonts w:eastAsia="Times New Roman"/>
                <w:color w:val="000000"/>
                <w:szCs w:val="20"/>
              </w:rPr>
              <w:t>2,723,116</w:t>
            </w:r>
          </w:p>
        </w:tc>
        <w:tc>
          <w:tcPr>
            <w:tcW w:w="834" w:type="pct"/>
            <w:noWrap/>
            <w:hideMark/>
          </w:tcPr>
          <w:p w14:paraId="79084386" w14:textId="77777777" w:rsidR="00BB3966" w:rsidRPr="00317F65" w:rsidRDefault="00BB3966" w:rsidP="00593FED">
            <w:pPr>
              <w:jc w:val="center"/>
              <w:rPr>
                <w:rFonts w:eastAsia="Times New Roman"/>
                <w:color w:val="000000"/>
              </w:rPr>
            </w:pPr>
            <w:r w:rsidRPr="00317F65">
              <w:rPr>
                <w:rFonts w:eastAsia="Times New Roman"/>
                <w:color w:val="000000"/>
              </w:rPr>
              <w:t>8.9%</w:t>
            </w:r>
          </w:p>
        </w:tc>
        <w:tc>
          <w:tcPr>
            <w:tcW w:w="833" w:type="pct"/>
            <w:noWrap/>
            <w:hideMark/>
          </w:tcPr>
          <w:p w14:paraId="4D13585D" w14:textId="77777777" w:rsidR="00BB3966" w:rsidRPr="00317F65" w:rsidRDefault="00BB3966" w:rsidP="00593FED">
            <w:pPr>
              <w:jc w:val="center"/>
              <w:rPr>
                <w:rFonts w:eastAsia="Times New Roman"/>
                <w:color w:val="000000"/>
              </w:rPr>
            </w:pPr>
            <w:r w:rsidRPr="00317F65">
              <w:rPr>
                <w:color w:val="000000"/>
              </w:rPr>
              <w:t>65</w:t>
            </w:r>
          </w:p>
        </w:tc>
        <w:tc>
          <w:tcPr>
            <w:tcW w:w="832" w:type="pct"/>
            <w:noWrap/>
            <w:hideMark/>
          </w:tcPr>
          <w:p w14:paraId="7A31C092" w14:textId="77777777" w:rsidR="00BB3966" w:rsidRPr="00317F65" w:rsidRDefault="00BB3966" w:rsidP="00593FED">
            <w:pPr>
              <w:jc w:val="center"/>
              <w:rPr>
                <w:rFonts w:eastAsia="Times New Roman"/>
                <w:color w:val="000000"/>
              </w:rPr>
            </w:pPr>
            <w:r w:rsidRPr="00317F65">
              <w:rPr>
                <w:color w:val="000000"/>
              </w:rPr>
              <w:t>6.1%</w:t>
            </w:r>
          </w:p>
        </w:tc>
      </w:tr>
      <w:tr w:rsidR="00BB3966" w:rsidRPr="00317F65" w14:paraId="3D79E708" w14:textId="77777777" w:rsidTr="007F6337">
        <w:trPr>
          <w:trHeight w:val="300"/>
        </w:trPr>
        <w:tc>
          <w:tcPr>
            <w:tcW w:w="833" w:type="pct"/>
            <w:vMerge/>
            <w:hideMark/>
          </w:tcPr>
          <w:p w14:paraId="115EE908" w14:textId="77777777" w:rsidR="00BB3966" w:rsidRPr="00317F65" w:rsidRDefault="00BB3966" w:rsidP="00593FED">
            <w:pPr>
              <w:rPr>
                <w:rFonts w:eastAsia="Times New Roman"/>
                <w:color w:val="000000"/>
              </w:rPr>
            </w:pPr>
          </w:p>
        </w:tc>
        <w:tc>
          <w:tcPr>
            <w:tcW w:w="835" w:type="pct"/>
            <w:noWrap/>
            <w:hideMark/>
          </w:tcPr>
          <w:p w14:paraId="011EA0E4" w14:textId="77777777" w:rsidR="00BB3966" w:rsidRPr="00317F65" w:rsidRDefault="00BB3966" w:rsidP="00593FED">
            <w:pPr>
              <w:jc w:val="center"/>
              <w:rPr>
                <w:rFonts w:eastAsia="Times New Roman"/>
                <w:color w:val="000000"/>
                <w:szCs w:val="20"/>
              </w:rPr>
            </w:pPr>
            <w:r w:rsidRPr="00317F65">
              <w:rPr>
                <w:rFonts w:eastAsia="Times New Roman"/>
                <w:color w:val="000000"/>
                <w:szCs w:val="20"/>
              </w:rPr>
              <w:t>Other</w:t>
            </w:r>
          </w:p>
        </w:tc>
        <w:tc>
          <w:tcPr>
            <w:tcW w:w="833" w:type="pct"/>
            <w:noWrap/>
            <w:hideMark/>
          </w:tcPr>
          <w:p w14:paraId="0F0EFB29" w14:textId="77777777" w:rsidR="00BB3966" w:rsidRPr="00317F65" w:rsidRDefault="00BB3966" w:rsidP="00593FED">
            <w:pPr>
              <w:jc w:val="center"/>
              <w:rPr>
                <w:rFonts w:eastAsia="Times New Roman"/>
                <w:color w:val="000000"/>
                <w:szCs w:val="20"/>
              </w:rPr>
            </w:pPr>
            <w:r w:rsidRPr="00317F65">
              <w:rPr>
                <w:rFonts w:eastAsia="Times New Roman"/>
                <w:color w:val="000000"/>
                <w:szCs w:val="20"/>
              </w:rPr>
              <w:t>1,691,628</w:t>
            </w:r>
          </w:p>
        </w:tc>
        <w:tc>
          <w:tcPr>
            <w:tcW w:w="834" w:type="pct"/>
            <w:noWrap/>
            <w:hideMark/>
          </w:tcPr>
          <w:p w14:paraId="4CC60D71" w14:textId="77777777" w:rsidR="00BB3966" w:rsidRPr="00317F65" w:rsidRDefault="00BB3966" w:rsidP="00593FED">
            <w:pPr>
              <w:jc w:val="center"/>
              <w:rPr>
                <w:rFonts w:eastAsia="Times New Roman"/>
                <w:color w:val="000000"/>
              </w:rPr>
            </w:pPr>
            <w:r w:rsidRPr="00317F65">
              <w:rPr>
                <w:rFonts w:eastAsia="Times New Roman"/>
                <w:color w:val="000000"/>
              </w:rPr>
              <w:t>5.6%</w:t>
            </w:r>
          </w:p>
        </w:tc>
        <w:tc>
          <w:tcPr>
            <w:tcW w:w="833" w:type="pct"/>
            <w:noWrap/>
            <w:hideMark/>
          </w:tcPr>
          <w:p w14:paraId="64FE7A35" w14:textId="77777777" w:rsidR="00BB3966" w:rsidRPr="00317F65" w:rsidRDefault="00BB3966" w:rsidP="00593FED">
            <w:pPr>
              <w:jc w:val="center"/>
              <w:rPr>
                <w:rFonts w:eastAsia="Times New Roman"/>
                <w:color w:val="000000"/>
              </w:rPr>
            </w:pPr>
            <w:r w:rsidRPr="00317F65">
              <w:rPr>
                <w:color w:val="000000"/>
              </w:rPr>
              <w:t>93</w:t>
            </w:r>
          </w:p>
        </w:tc>
        <w:tc>
          <w:tcPr>
            <w:tcW w:w="832" w:type="pct"/>
            <w:noWrap/>
            <w:hideMark/>
          </w:tcPr>
          <w:p w14:paraId="11A336CC" w14:textId="77777777" w:rsidR="00BB3966" w:rsidRPr="00317F65" w:rsidRDefault="00BB3966" w:rsidP="00593FED">
            <w:pPr>
              <w:jc w:val="center"/>
              <w:rPr>
                <w:rFonts w:eastAsia="Times New Roman"/>
                <w:color w:val="000000"/>
              </w:rPr>
            </w:pPr>
            <w:r w:rsidRPr="00317F65">
              <w:rPr>
                <w:color w:val="000000"/>
              </w:rPr>
              <w:t>8.8%</w:t>
            </w:r>
          </w:p>
        </w:tc>
      </w:tr>
      <w:tr w:rsidR="00BB3966" w:rsidRPr="00317F65" w14:paraId="184F88DF" w14:textId="77777777" w:rsidTr="007F6337">
        <w:trPr>
          <w:trHeight w:val="300"/>
        </w:trPr>
        <w:tc>
          <w:tcPr>
            <w:tcW w:w="1668" w:type="pct"/>
            <w:gridSpan w:val="2"/>
            <w:noWrap/>
            <w:hideMark/>
          </w:tcPr>
          <w:p w14:paraId="08A0FD38" w14:textId="77777777" w:rsidR="00BB3966" w:rsidRPr="00317F65" w:rsidRDefault="00BB3966" w:rsidP="00593FED">
            <w:pPr>
              <w:jc w:val="center"/>
              <w:rPr>
                <w:rFonts w:eastAsia="Times New Roman"/>
                <w:b/>
                <w:bCs/>
                <w:color w:val="000000"/>
              </w:rPr>
            </w:pPr>
            <w:r w:rsidRPr="00317F65">
              <w:rPr>
                <w:rFonts w:eastAsia="Times New Roman"/>
                <w:b/>
                <w:bCs/>
                <w:color w:val="000000"/>
              </w:rPr>
              <w:t>Total</w:t>
            </w:r>
          </w:p>
        </w:tc>
        <w:tc>
          <w:tcPr>
            <w:tcW w:w="833" w:type="pct"/>
            <w:noWrap/>
            <w:hideMark/>
          </w:tcPr>
          <w:p w14:paraId="231F029F" w14:textId="77777777" w:rsidR="00BB3966" w:rsidRPr="00317F65" w:rsidRDefault="00BB3966" w:rsidP="00593FED">
            <w:pPr>
              <w:jc w:val="center"/>
              <w:rPr>
                <w:rFonts w:eastAsia="Times New Roman"/>
                <w:b/>
                <w:bCs/>
                <w:color w:val="000000"/>
              </w:rPr>
            </w:pPr>
            <w:r w:rsidRPr="00317F65">
              <w:rPr>
                <w:rFonts w:eastAsia="Times New Roman"/>
                <w:b/>
                <w:bCs/>
                <w:color w:val="000000"/>
              </w:rPr>
              <w:t>30,452,632</w:t>
            </w:r>
          </w:p>
        </w:tc>
        <w:tc>
          <w:tcPr>
            <w:tcW w:w="834" w:type="pct"/>
            <w:noWrap/>
            <w:hideMark/>
          </w:tcPr>
          <w:p w14:paraId="77B446DB" w14:textId="77777777" w:rsidR="00BB3966" w:rsidRPr="00317F65" w:rsidRDefault="00BB3966" w:rsidP="00593FED">
            <w:pPr>
              <w:jc w:val="center"/>
              <w:rPr>
                <w:rFonts w:eastAsia="Times New Roman"/>
                <w:b/>
                <w:bCs/>
                <w:color w:val="000000"/>
              </w:rPr>
            </w:pPr>
            <w:r w:rsidRPr="00317F65">
              <w:rPr>
                <w:rFonts w:eastAsia="Times New Roman"/>
                <w:b/>
                <w:bCs/>
                <w:color w:val="000000"/>
              </w:rPr>
              <w:t>100.0%</w:t>
            </w:r>
          </w:p>
        </w:tc>
        <w:tc>
          <w:tcPr>
            <w:tcW w:w="833" w:type="pct"/>
            <w:noWrap/>
            <w:hideMark/>
          </w:tcPr>
          <w:p w14:paraId="5A0F2922" w14:textId="77777777" w:rsidR="00BB3966" w:rsidRPr="00317F65" w:rsidRDefault="00BB3966" w:rsidP="00593FED">
            <w:pPr>
              <w:jc w:val="center"/>
              <w:rPr>
                <w:rFonts w:eastAsia="Times New Roman"/>
                <w:b/>
                <w:bCs/>
                <w:color w:val="000000"/>
              </w:rPr>
            </w:pPr>
            <w:r w:rsidRPr="00317F65">
              <w:rPr>
                <w:b/>
                <w:bCs/>
                <w:color w:val="000000"/>
              </w:rPr>
              <w:t>1,057</w:t>
            </w:r>
          </w:p>
        </w:tc>
        <w:tc>
          <w:tcPr>
            <w:tcW w:w="832" w:type="pct"/>
            <w:noWrap/>
            <w:hideMark/>
          </w:tcPr>
          <w:p w14:paraId="12A9D4A5" w14:textId="77777777" w:rsidR="00BB3966" w:rsidRPr="00317F65" w:rsidRDefault="00BB3966" w:rsidP="00593FED">
            <w:pPr>
              <w:jc w:val="center"/>
              <w:rPr>
                <w:rFonts w:eastAsia="Times New Roman"/>
                <w:b/>
                <w:bCs/>
                <w:color w:val="000000"/>
              </w:rPr>
            </w:pPr>
            <w:r w:rsidRPr="00317F65">
              <w:rPr>
                <w:b/>
                <w:bCs/>
                <w:color w:val="000000"/>
              </w:rPr>
              <w:t>100.0%</w:t>
            </w:r>
          </w:p>
        </w:tc>
      </w:tr>
    </w:tbl>
    <w:p w14:paraId="3FE35563" w14:textId="77777777" w:rsidR="00BB3966" w:rsidRPr="00317F65" w:rsidRDefault="00BB3966" w:rsidP="00BB3966">
      <w:pPr>
        <w:spacing w:before="240"/>
        <w:rPr>
          <w:b/>
        </w:rPr>
      </w:pPr>
    </w:p>
    <w:p w14:paraId="7AE03B97" w14:textId="77777777" w:rsidR="00BB3966" w:rsidRPr="00317F65" w:rsidRDefault="00BB3966">
      <w:pPr>
        <w:rPr>
          <w:b/>
        </w:rPr>
      </w:pPr>
      <w:r w:rsidRPr="00317F65">
        <w:rPr>
          <w:b/>
        </w:rPr>
        <w:br w:type="page"/>
      </w:r>
    </w:p>
    <w:p w14:paraId="3E429F10" w14:textId="410A0102" w:rsidR="00BB3966" w:rsidRPr="00317F65" w:rsidRDefault="00BB3966" w:rsidP="00BB3966">
      <w:pPr>
        <w:spacing w:before="240"/>
      </w:pPr>
      <w:r w:rsidRPr="00317F65">
        <w:rPr>
          <w:b/>
        </w:rPr>
        <w:lastRenderedPageBreak/>
        <w:t xml:space="preserve">Table </w:t>
      </w:r>
      <w:r w:rsidR="006F6AD5">
        <w:rPr>
          <w:b/>
        </w:rPr>
        <w:t>5</w:t>
      </w:r>
      <w:r w:rsidRPr="00317F65">
        <w:rPr>
          <w:b/>
        </w:rPr>
        <w:t>.</w:t>
      </w:r>
      <w:r w:rsidRPr="00317F65">
        <w:t xml:space="preserve"> Population and Respondent Distributions by Gender and Education</w:t>
      </w:r>
    </w:p>
    <w:tbl>
      <w:tblPr>
        <w:tblStyle w:val="TableGrid"/>
        <w:tblW w:w="5000" w:type="pct"/>
        <w:tblLook w:val="04A0" w:firstRow="1" w:lastRow="0" w:firstColumn="1" w:lastColumn="0" w:noHBand="0" w:noVBand="1"/>
      </w:tblPr>
      <w:tblGrid>
        <w:gridCol w:w="1476"/>
        <w:gridCol w:w="1972"/>
        <w:gridCol w:w="1476"/>
        <w:gridCol w:w="1476"/>
        <w:gridCol w:w="1476"/>
        <w:gridCol w:w="1474"/>
      </w:tblGrid>
      <w:tr w:rsidR="00BB3966" w:rsidRPr="00317F65" w14:paraId="44B1FC1D" w14:textId="77777777" w:rsidTr="007F6337">
        <w:trPr>
          <w:trHeight w:val="310"/>
        </w:trPr>
        <w:tc>
          <w:tcPr>
            <w:tcW w:w="821" w:type="pct"/>
            <w:noWrap/>
            <w:hideMark/>
          </w:tcPr>
          <w:p w14:paraId="1CDD10AA" w14:textId="77777777" w:rsidR="00BB3966" w:rsidRPr="00317F65" w:rsidRDefault="00BB3966" w:rsidP="00593FED">
            <w:pPr>
              <w:jc w:val="center"/>
              <w:rPr>
                <w:rFonts w:eastAsia="Times New Roman"/>
                <w:b/>
                <w:bCs/>
                <w:color w:val="000000"/>
              </w:rPr>
            </w:pPr>
            <w:r w:rsidRPr="00317F65">
              <w:rPr>
                <w:rFonts w:eastAsia="Times New Roman"/>
                <w:b/>
                <w:bCs/>
                <w:color w:val="000000"/>
              </w:rPr>
              <w:t>Gender</w:t>
            </w:r>
          </w:p>
        </w:tc>
        <w:tc>
          <w:tcPr>
            <w:tcW w:w="897" w:type="pct"/>
            <w:noWrap/>
            <w:hideMark/>
          </w:tcPr>
          <w:p w14:paraId="67D51A27" w14:textId="77777777" w:rsidR="00BB3966" w:rsidRPr="00317F65" w:rsidRDefault="00BB3966" w:rsidP="00593FED">
            <w:pPr>
              <w:jc w:val="center"/>
              <w:rPr>
                <w:rFonts w:eastAsia="Times New Roman"/>
                <w:b/>
                <w:bCs/>
                <w:color w:val="000000"/>
              </w:rPr>
            </w:pPr>
            <w:r w:rsidRPr="00317F65">
              <w:rPr>
                <w:rFonts w:eastAsia="Times New Roman"/>
                <w:b/>
                <w:bCs/>
                <w:color w:val="000000"/>
              </w:rPr>
              <w:t>Education</w:t>
            </w:r>
          </w:p>
        </w:tc>
        <w:tc>
          <w:tcPr>
            <w:tcW w:w="1642" w:type="pct"/>
            <w:gridSpan w:val="2"/>
            <w:noWrap/>
            <w:hideMark/>
          </w:tcPr>
          <w:p w14:paraId="7559468C" w14:textId="77777777" w:rsidR="00BB3966" w:rsidRPr="00317F65" w:rsidRDefault="00BB3966" w:rsidP="00593FED">
            <w:pPr>
              <w:jc w:val="center"/>
              <w:rPr>
                <w:rFonts w:eastAsia="Times New Roman"/>
                <w:b/>
                <w:bCs/>
                <w:color w:val="000000"/>
              </w:rPr>
            </w:pPr>
            <w:r w:rsidRPr="00317F65">
              <w:rPr>
                <w:rFonts w:eastAsia="Times New Roman"/>
                <w:b/>
                <w:bCs/>
                <w:color w:val="000000"/>
              </w:rPr>
              <w:t>Universe</w:t>
            </w:r>
          </w:p>
        </w:tc>
        <w:tc>
          <w:tcPr>
            <w:tcW w:w="1640" w:type="pct"/>
            <w:gridSpan w:val="2"/>
            <w:noWrap/>
            <w:hideMark/>
          </w:tcPr>
          <w:p w14:paraId="7CF456C7" w14:textId="77777777" w:rsidR="00BB3966" w:rsidRPr="00317F65" w:rsidRDefault="00BB3966" w:rsidP="00593FED">
            <w:pPr>
              <w:jc w:val="center"/>
              <w:rPr>
                <w:rFonts w:eastAsia="Times New Roman"/>
                <w:b/>
                <w:bCs/>
                <w:color w:val="000000"/>
              </w:rPr>
            </w:pPr>
            <w:r w:rsidRPr="00317F65">
              <w:rPr>
                <w:rFonts w:eastAsia="Times New Roman"/>
                <w:b/>
                <w:bCs/>
                <w:color w:val="000000"/>
              </w:rPr>
              <w:t>Respondents</w:t>
            </w:r>
          </w:p>
        </w:tc>
      </w:tr>
      <w:tr w:rsidR="00BB3966" w:rsidRPr="00317F65" w14:paraId="4DD16CA2" w14:textId="77777777" w:rsidTr="007F6337">
        <w:trPr>
          <w:trHeight w:val="300"/>
        </w:trPr>
        <w:tc>
          <w:tcPr>
            <w:tcW w:w="821" w:type="pct"/>
            <w:vMerge w:val="restart"/>
            <w:noWrap/>
            <w:hideMark/>
          </w:tcPr>
          <w:p w14:paraId="7B21CD0F" w14:textId="77777777" w:rsidR="00BB3966" w:rsidRPr="00317F65" w:rsidRDefault="00BB3966" w:rsidP="00593FED">
            <w:pPr>
              <w:jc w:val="center"/>
              <w:rPr>
                <w:rFonts w:eastAsia="Times New Roman"/>
                <w:color w:val="000000"/>
              </w:rPr>
            </w:pPr>
            <w:r w:rsidRPr="00317F65">
              <w:rPr>
                <w:rFonts w:eastAsia="Times New Roman"/>
                <w:color w:val="000000"/>
              </w:rPr>
              <w:t>Male</w:t>
            </w:r>
          </w:p>
        </w:tc>
        <w:tc>
          <w:tcPr>
            <w:tcW w:w="897" w:type="pct"/>
            <w:noWrap/>
            <w:hideMark/>
          </w:tcPr>
          <w:p w14:paraId="5AC4A133" w14:textId="77777777" w:rsidR="00BB3966" w:rsidRPr="00317F65" w:rsidRDefault="00BB3966" w:rsidP="00593FED">
            <w:pPr>
              <w:jc w:val="center"/>
              <w:rPr>
                <w:rFonts w:eastAsia="Times New Roman"/>
                <w:color w:val="000000"/>
                <w:szCs w:val="20"/>
              </w:rPr>
            </w:pPr>
            <w:r w:rsidRPr="00317F65">
              <w:rPr>
                <w:rFonts w:eastAsia="Times New Roman"/>
                <w:color w:val="000000"/>
                <w:szCs w:val="20"/>
              </w:rPr>
              <w:t>UP to HS</w:t>
            </w:r>
          </w:p>
        </w:tc>
        <w:tc>
          <w:tcPr>
            <w:tcW w:w="821" w:type="pct"/>
            <w:noWrap/>
            <w:hideMark/>
          </w:tcPr>
          <w:p w14:paraId="4468F8F8" w14:textId="77777777" w:rsidR="00BB3966" w:rsidRPr="00317F65" w:rsidRDefault="00BB3966" w:rsidP="00593FED">
            <w:pPr>
              <w:jc w:val="center"/>
              <w:rPr>
                <w:rFonts w:eastAsia="Times New Roman"/>
                <w:color w:val="000000"/>
              </w:rPr>
            </w:pPr>
            <w:r w:rsidRPr="00317F65">
              <w:rPr>
                <w:rFonts w:eastAsia="Times New Roman"/>
                <w:color w:val="000000"/>
              </w:rPr>
              <w:t>5,994,080</w:t>
            </w:r>
          </w:p>
        </w:tc>
        <w:tc>
          <w:tcPr>
            <w:tcW w:w="821" w:type="pct"/>
            <w:noWrap/>
            <w:hideMark/>
          </w:tcPr>
          <w:p w14:paraId="0A241AF6" w14:textId="77777777" w:rsidR="00BB3966" w:rsidRPr="00317F65" w:rsidRDefault="00BB3966" w:rsidP="00593FED">
            <w:pPr>
              <w:jc w:val="center"/>
              <w:rPr>
                <w:rFonts w:eastAsia="Times New Roman"/>
                <w:color w:val="000000"/>
              </w:rPr>
            </w:pPr>
            <w:r w:rsidRPr="00317F65">
              <w:rPr>
                <w:rFonts w:eastAsia="Times New Roman"/>
                <w:color w:val="000000"/>
              </w:rPr>
              <w:t>19.7%</w:t>
            </w:r>
          </w:p>
        </w:tc>
        <w:tc>
          <w:tcPr>
            <w:tcW w:w="821" w:type="pct"/>
            <w:noWrap/>
            <w:hideMark/>
          </w:tcPr>
          <w:p w14:paraId="262B132E" w14:textId="77777777" w:rsidR="00BB3966" w:rsidRPr="00317F65" w:rsidRDefault="00BB3966" w:rsidP="00593FED">
            <w:pPr>
              <w:jc w:val="center"/>
              <w:rPr>
                <w:rFonts w:eastAsia="Times New Roman"/>
                <w:color w:val="000000"/>
              </w:rPr>
            </w:pPr>
            <w:r w:rsidRPr="00317F65">
              <w:rPr>
                <w:color w:val="000000"/>
              </w:rPr>
              <w:t>34</w:t>
            </w:r>
          </w:p>
        </w:tc>
        <w:tc>
          <w:tcPr>
            <w:tcW w:w="819" w:type="pct"/>
            <w:noWrap/>
            <w:hideMark/>
          </w:tcPr>
          <w:p w14:paraId="5D8B8DF2" w14:textId="77777777" w:rsidR="00BB3966" w:rsidRPr="00317F65" w:rsidRDefault="00BB3966" w:rsidP="00593FED">
            <w:pPr>
              <w:jc w:val="center"/>
              <w:rPr>
                <w:rFonts w:eastAsia="Times New Roman"/>
                <w:color w:val="000000"/>
              </w:rPr>
            </w:pPr>
            <w:r w:rsidRPr="00317F65">
              <w:rPr>
                <w:color w:val="000000"/>
              </w:rPr>
              <w:t>3.2%</w:t>
            </w:r>
          </w:p>
        </w:tc>
      </w:tr>
      <w:tr w:rsidR="00BB3966" w:rsidRPr="00317F65" w14:paraId="43E3EF27" w14:textId="77777777" w:rsidTr="007F6337">
        <w:trPr>
          <w:trHeight w:val="290"/>
        </w:trPr>
        <w:tc>
          <w:tcPr>
            <w:tcW w:w="821" w:type="pct"/>
            <w:vMerge/>
            <w:hideMark/>
          </w:tcPr>
          <w:p w14:paraId="76415605" w14:textId="77777777" w:rsidR="00BB3966" w:rsidRPr="00317F65" w:rsidRDefault="00BB3966" w:rsidP="00593FED">
            <w:pPr>
              <w:rPr>
                <w:rFonts w:eastAsia="Times New Roman"/>
                <w:color w:val="000000"/>
              </w:rPr>
            </w:pPr>
          </w:p>
        </w:tc>
        <w:tc>
          <w:tcPr>
            <w:tcW w:w="897" w:type="pct"/>
            <w:noWrap/>
            <w:hideMark/>
          </w:tcPr>
          <w:p w14:paraId="438DEF7C" w14:textId="77777777" w:rsidR="00BB3966" w:rsidRPr="00317F65" w:rsidRDefault="00BB3966" w:rsidP="00593FED">
            <w:pPr>
              <w:jc w:val="center"/>
              <w:rPr>
                <w:rFonts w:eastAsia="Times New Roman"/>
                <w:color w:val="000000"/>
                <w:szCs w:val="20"/>
              </w:rPr>
            </w:pPr>
            <w:r w:rsidRPr="00317F65">
              <w:rPr>
                <w:rFonts w:eastAsia="Times New Roman"/>
                <w:color w:val="000000"/>
                <w:szCs w:val="20"/>
              </w:rPr>
              <w:t>Some College</w:t>
            </w:r>
          </w:p>
        </w:tc>
        <w:tc>
          <w:tcPr>
            <w:tcW w:w="821" w:type="pct"/>
            <w:noWrap/>
            <w:hideMark/>
          </w:tcPr>
          <w:p w14:paraId="372930A7" w14:textId="77777777" w:rsidR="00BB3966" w:rsidRPr="00317F65" w:rsidRDefault="00BB3966" w:rsidP="00593FED">
            <w:pPr>
              <w:jc w:val="center"/>
              <w:rPr>
                <w:rFonts w:eastAsia="Times New Roman"/>
                <w:color w:val="000000"/>
              </w:rPr>
            </w:pPr>
            <w:r w:rsidRPr="00317F65">
              <w:rPr>
                <w:rFonts w:eastAsia="Times New Roman"/>
                <w:color w:val="000000"/>
              </w:rPr>
              <w:t>2,771,664</w:t>
            </w:r>
          </w:p>
        </w:tc>
        <w:tc>
          <w:tcPr>
            <w:tcW w:w="821" w:type="pct"/>
            <w:noWrap/>
            <w:hideMark/>
          </w:tcPr>
          <w:p w14:paraId="423C50E2" w14:textId="77777777" w:rsidR="00BB3966" w:rsidRPr="00317F65" w:rsidRDefault="00BB3966" w:rsidP="00593FED">
            <w:pPr>
              <w:jc w:val="center"/>
              <w:rPr>
                <w:rFonts w:eastAsia="Times New Roman"/>
                <w:color w:val="000000"/>
              </w:rPr>
            </w:pPr>
            <w:r w:rsidRPr="00317F65">
              <w:rPr>
                <w:rFonts w:eastAsia="Times New Roman"/>
                <w:color w:val="000000"/>
              </w:rPr>
              <w:t>9.1%</w:t>
            </w:r>
          </w:p>
        </w:tc>
        <w:tc>
          <w:tcPr>
            <w:tcW w:w="821" w:type="pct"/>
            <w:noWrap/>
            <w:hideMark/>
          </w:tcPr>
          <w:p w14:paraId="1EF7BC41" w14:textId="77777777" w:rsidR="00BB3966" w:rsidRPr="00317F65" w:rsidRDefault="00BB3966" w:rsidP="00593FED">
            <w:pPr>
              <w:jc w:val="center"/>
              <w:rPr>
                <w:rFonts w:eastAsia="Times New Roman"/>
                <w:color w:val="000000"/>
              </w:rPr>
            </w:pPr>
            <w:r w:rsidRPr="00317F65">
              <w:rPr>
                <w:color w:val="000000"/>
              </w:rPr>
              <w:t>56</w:t>
            </w:r>
          </w:p>
        </w:tc>
        <w:tc>
          <w:tcPr>
            <w:tcW w:w="819" w:type="pct"/>
            <w:noWrap/>
            <w:hideMark/>
          </w:tcPr>
          <w:p w14:paraId="20FDCE66" w14:textId="77777777" w:rsidR="00BB3966" w:rsidRPr="00317F65" w:rsidRDefault="00BB3966" w:rsidP="00593FED">
            <w:pPr>
              <w:jc w:val="center"/>
              <w:rPr>
                <w:rFonts w:eastAsia="Times New Roman"/>
                <w:color w:val="000000"/>
              </w:rPr>
            </w:pPr>
            <w:r w:rsidRPr="00317F65">
              <w:rPr>
                <w:color w:val="000000"/>
              </w:rPr>
              <w:t>5.3%</w:t>
            </w:r>
          </w:p>
        </w:tc>
      </w:tr>
      <w:tr w:rsidR="00BB3966" w:rsidRPr="00317F65" w14:paraId="3545BCF3" w14:textId="77777777" w:rsidTr="007F6337">
        <w:trPr>
          <w:trHeight w:val="290"/>
        </w:trPr>
        <w:tc>
          <w:tcPr>
            <w:tcW w:w="821" w:type="pct"/>
            <w:vMerge/>
            <w:hideMark/>
          </w:tcPr>
          <w:p w14:paraId="1A5A8BAE" w14:textId="77777777" w:rsidR="00BB3966" w:rsidRPr="00317F65" w:rsidRDefault="00BB3966" w:rsidP="00593FED">
            <w:pPr>
              <w:rPr>
                <w:rFonts w:eastAsia="Times New Roman"/>
                <w:color w:val="000000"/>
              </w:rPr>
            </w:pPr>
          </w:p>
        </w:tc>
        <w:tc>
          <w:tcPr>
            <w:tcW w:w="897" w:type="pct"/>
            <w:noWrap/>
            <w:hideMark/>
          </w:tcPr>
          <w:p w14:paraId="1EAD43E4" w14:textId="77777777" w:rsidR="00BB3966" w:rsidRPr="00317F65" w:rsidRDefault="00BB3966" w:rsidP="00593FED">
            <w:pPr>
              <w:jc w:val="center"/>
              <w:rPr>
                <w:rFonts w:eastAsia="Times New Roman"/>
                <w:color w:val="000000"/>
                <w:szCs w:val="20"/>
              </w:rPr>
            </w:pPr>
            <w:r w:rsidRPr="00317F65">
              <w:rPr>
                <w:rFonts w:eastAsia="Times New Roman"/>
                <w:color w:val="000000"/>
                <w:szCs w:val="20"/>
              </w:rPr>
              <w:t>Associate Degree</w:t>
            </w:r>
          </w:p>
        </w:tc>
        <w:tc>
          <w:tcPr>
            <w:tcW w:w="821" w:type="pct"/>
            <w:noWrap/>
            <w:hideMark/>
          </w:tcPr>
          <w:p w14:paraId="781245B6" w14:textId="77777777" w:rsidR="00BB3966" w:rsidRPr="00317F65" w:rsidRDefault="00BB3966" w:rsidP="00593FED">
            <w:pPr>
              <w:jc w:val="center"/>
              <w:rPr>
                <w:rFonts w:eastAsia="Times New Roman"/>
                <w:color w:val="000000"/>
              </w:rPr>
            </w:pPr>
            <w:r w:rsidRPr="00317F65">
              <w:rPr>
                <w:rFonts w:eastAsia="Times New Roman"/>
                <w:color w:val="000000"/>
              </w:rPr>
              <w:t>1,093,869</w:t>
            </w:r>
          </w:p>
        </w:tc>
        <w:tc>
          <w:tcPr>
            <w:tcW w:w="821" w:type="pct"/>
            <w:noWrap/>
            <w:hideMark/>
          </w:tcPr>
          <w:p w14:paraId="700946AF" w14:textId="77777777" w:rsidR="00BB3966" w:rsidRPr="00317F65" w:rsidRDefault="00BB3966" w:rsidP="00593FED">
            <w:pPr>
              <w:jc w:val="center"/>
              <w:rPr>
                <w:rFonts w:eastAsia="Times New Roman"/>
                <w:color w:val="000000"/>
              </w:rPr>
            </w:pPr>
            <w:r w:rsidRPr="00317F65">
              <w:rPr>
                <w:rFonts w:eastAsia="Times New Roman"/>
                <w:color w:val="000000"/>
              </w:rPr>
              <w:t>3.6%</w:t>
            </w:r>
          </w:p>
        </w:tc>
        <w:tc>
          <w:tcPr>
            <w:tcW w:w="821" w:type="pct"/>
            <w:noWrap/>
            <w:hideMark/>
          </w:tcPr>
          <w:p w14:paraId="2EE9933F" w14:textId="77777777" w:rsidR="00BB3966" w:rsidRPr="00317F65" w:rsidRDefault="00BB3966" w:rsidP="00593FED">
            <w:pPr>
              <w:jc w:val="center"/>
              <w:rPr>
                <w:rFonts w:eastAsia="Times New Roman"/>
                <w:color w:val="000000"/>
              </w:rPr>
            </w:pPr>
            <w:r w:rsidRPr="00317F65">
              <w:rPr>
                <w:color w:val="000000"/>
              </w:rPr>
              <w:t>29</w:t>
            </w:r>
          </w:p>
        </w:tc>
        <w:tc>
          <w:tcPr>
            <w:tcW w:w="819" w:type="pct"/>
            <w:noWrap/>
            <w:hideMark/>
          </w:tcPr>
          <w:p w14:paraId="51C2B279" w14:textId="77777777" w:rsidR="00BB3966" w:rsidRPr="00317F65" w:rsidRDefault="00BB3966" w:rsidP="00593FED">
            <w:pPr>
              <w:jc w:val="center"/>
              <w:rPr>
                <w:rFonts w:eastAsia="Times New Roman"/>
                <w:color w:val="000000"/>
              </w:rPr>
            </w:pPr>
            <w:r w:rsidRPr="00317F65">
              <w:rPr>
                <w:color w:val="000000"/>
              </w:rPr>
              <w:t>2.7%</w:t>
            </w:r>
          </w:p>
        </w:tc>
      </w:tr>
      <w:tr w:rsidR="00BB3966" w:rsidRPr="00317F65" w14:paraId="62BC7461" w14:textId="77777777" w:rsidTr="007F6337">
        <w:trPr>
          <w:trHeight w:val="290"/>
        </w:trPr>
        <w:tc>
          <w:tcPr>
            <w:tcW w:w="821" w:type="pct"/>
            <w:vMerge/>
            <w:hideMark/>
          </w:tcPr>
          <w:p w14:paraId="4F6E8CD2" w14:textId="77777777" w:rsidR="00BB3966" w:rsidRPr="00317F65" w:rsidRDefault="00BB3966" w:rsidP="00593FED">
            <w:pPr>
              <w:rPr>
                <w:rFonts w:eastAsia="Times New Roman"/>
                <w:color w:val="000000"/>
              </w:rPr>
            </w:pPr>
          </w:p>
        </w:tc>
        <w:tc>
          <w:tcPr>
            <w:tcW w:w="897" w:type="pct"/>
            <w:noWrap/>
            <w:hideMark/>
          </w:tcPr>
          <w:p w14:paraId="5F1D2642" w14:textId="77777777" w:rsidR="00BB3966" w:rsidRPr="00317F65" w:rsidRDefault="00BB3966" w:rsidP="00593FED">
            <w:pPr>
              <w:jc w:val="center"/>
              <w:rPr>
                <w:rFonts w:eastAsia="Times New Roman"/>
                <w:color w:val="000000"/>
                <w:szCs w:val="20"/>
              </w:rPr>
            </w:pPr>
            <w:r w:rsidRPr="00317F65">
              <w:rPr>
                <w:rFonts w:eastAsia="Times New Roman"/>
                <w:color w:val="000000"/>
                <w:szCs w:val="20"/>
              </w:rPr>
              <w:t>Bachelor's Degree</w:t>
            </w:r>
          </w:p>
        </w:tc>
        <w:tc>
          <w:tcPr>
            <w:tcW w:w="821" w:type="pct"/>
            <w:noWrap/>
            <w:hideMark/>
          </w:tcPr>
          <w:p w14:paraId="7C51A73C" w14:textId="77777777" w:rsidR="00BB3966" w:rsidRPr="00317F65" w:rsidRDefault="00BB3966" w:rsidP="00593FED">
            <w:pPr>
              <w:jc w:val="center"/>
              <w:rPr>
                <w:rFonts w:eastAsia="Times New Roman"/>
                <w:color w:val="000000"/>
              </w:rPr>
            </w:pPr>
            <w:r w:rsidRPr="00317F65">
              <w:rPr>
                <w:rFonts w:eastAsia="Times New Roman"/>
                <w:color w:val="000000"/>
              </w:rPr>
              <w:t>3,210,004</w:t>
            </w:r>
          </w:p>
        </w:tc>
        <w:tc>
          <w:tcPr>
            <w:tcW w:w="821" w:type="pct"/>
            <w:noWrap/>
            <w:hideMark/>
          </w:tcPr>
          <w:p w14:paraId="6389B343" w14:textId="77777777" w:rsidR="00BB3966" w:rsidRPr="00317F65" w:rsidRDefault="00BB3966" w:rsidP="00593FED">
            <w:pPr>
              <w:jc w:val="center"/>
              <w:rPr>
                <w:rFonts w:eastAsia="Times New Roman"/>
                <w:color w:val="000000"/>
              </w:rPr>
            </w:pPr>
            <w:r w:rsidRPr="00317F65">
              <w:rPr>
                <w:rFonts w:eastAsia="Times New Roman"/>
                <w:color w:val="000000"/>
              </w:rPr>
              <w:t>10.5%</w:t>
            </w:r>
          </w:p>
        </w:tc>
        <w:tc>
          <w:tcPr>
            <w:tcW w:w="821" w:type="pct"/>
            <w:noWrap/>
            <w:hideMark/>
          </w:tcPr>
          <w:p w14:paraId="34AF04F5" w14:textId="77777777" w:rsidR="00BB3966" w:rsidRPr="00317F65" w:rsidRDefault="00BB3966" w:rsidP="00593FED">
            <w:pPr>
              <w:jc w:val="center"/>
              <w:rPr>
                <w:rFonts w:eastAsia="Times New Roman"/>
                <w:color w:val="000000"/>
              </w:rPr>
            </w:pPr>
            <w:r w:rsidRPr="00317F65">
              <w:rPr>
                <w:color w:val="000000"/>
              </w:rPr>
              <w:t>140</w:t>
            </w:r>
          </w:p>
        </w:tc>
        <w:tc>
          <w:tcPr>
            <w:tcW w:w="819" w:type="pct"/>
            <w:noWrap/>
            <w:hideMark/>
          </w:tcPr>
          <w:p w14:paraId="395DE8E5" w14:textId="77777777" w:rsidR="00BB3966" w:rsidRPr="00317F65" w:rsidRDefault="00BB3966" w:rsidP="00593FED">
            <w:pPr>
              <w:jc w:val="center"/>
              <w:rPr>
                <w:rFonts w:eastAsia="Times New Roman"/>
                <w:color w:val="000000"/>
              </w:rPr>
            </w:pPr>
            <w:r w:rsidRPr="00317F65">
              <w:rPr>
                <w:color w:val="000000"/>
              </w:rPr>
              <w:t>13.2%</w:t>
            </w:r>
          </w:p>
        </w:tc>
      </w:tr>
      <w:tr w:rsidR="00BB3966" w:rsidRPr="00317F65" w14:paraId="34A0150C" w14:textId="77777777" w:rsidTr="007F6337">
        <w:trPr>
          <w:trHeight w:val="300"/>
        </w:trPr>
        <w:tc>
          <w:tcPr>
            <w:tcW w:w="821" w:type="pct"/>
            <w:vMerge/>
            <w:hideMark/>
          </w:tcPr>
          <w:p w14:paraId="72C9893F" w14:textId="77777777" w:rsidR="00BB3966" w:rsidRPr="00317F65" w:rsidRDefault="00BB3966" w:rsidP="00593FED">
            <w:pPr>
              <w:rPr>
                <w:rFonts w:eastAsia="Times New Roman"/>
                <w:color w:val="000000"/>
              </w:rPr>
            </w:pPr>
          </w:p>
        </w:tc>
        <w:tc>
          <w:tcPr>
            <w:tcW w:w="897" w:type="pct"/>
            <w:noWrap/>
            <w:hideMark/>
          </w:tcPr>
          <w:p w14:paraId="38A33830" w14:textId="77777777" w:rsidR="00BB3966" w:rsidRPr="00317F65" w:rsidRDefault="00BB3966" w:rsidP="00593FED">
            <w:pPr>
              <w:jc w:val="center"/>
              <w:rPr>
                <w:rFonts w:eastAsia="Times New Roman"/>
                <w:color w:val="000000"/>
                <w:szCs w:val="20"/>
              </w:rPr>
            </w:pPr>
            <w:r w:rsidRPr="00317F65">
              <w:rPr>
                <w:rFonts w:eastAsia="Times New Roman"/>
                <w:color w:val="000000"/>
                <w:szCs w:val="20"/>
              </w:rPr>
              <w:t>Master's+</w:t>
            </w:r>
          </w:p>
        </w:tc>
        <w:tc>
          <w:tcPr>
            <w:tcW w:w="821" w:type="pct"/>
            <w:noWrap/>
            <w:hideMark/>
          </w:tcPr>
          <w:p w14:paraId="68AF5E7B" w14:textId="77777777" w:rsidR="00BB3966" w:rsidRPr="00317F65" w:rsidRDefault="00BB3966" w:rsidP="00593FED">
            <w:pPr>
              <w:jc w:val="center"/>
              <w:rPr>
                <w:rFonts w:eastAsia="Times New Roman"/>
                <w:color w:val="000000"/>
              </w:rPr>
            </w:pPr>
            <w:r w:rsidRPr="00317F65">
              <w:rPr>
                <w:rFonts w:eastAsia="Times New Roman"/>
                <w:color w:val="000000"/>
              </w:rPr>
              <w:t>2,003,398</w:t>
            </w:r>
          </w:p>
        </w:tc>
        <w:tc>
          <w:tcPr>
            <w:tcW w:w="821" w:type="pct"/>
            <w:noWrap/>
            <w:hideMark/>
          </w:tcPr>
          <w:p w14:paraId="2AC874BE" w14:textId="77777777" w:rsidR="00BB3966" w:rsidRPr="00317F65" w:rsidRDefault="00BB3966" w:rsidP="00593FED">
            <w:pPr>
              <w:jc w:val="center"/>
              <w:rPr>
                <w:rFonts w:eastAsia="Times New Roman"/>
                <w:color w:val="000000"/>
              </w:rPr>
            </w:pPr>
            <w:r w:rsidRPr="00317F65">
              <w:rPr>
                <w:rFonts w:eastAsia="Times New Roman"/>
                <w:color w:val="000000"/>
              </w:rPr>
              <w:t>6.6%</w:t>
            </w:r>
          </w:p>
        </w:tc>
        <w:tc>
          <w:tcPr>
            <w:tcW w:w="821" w:type="pct"/>
            <w:noWrap/>
            <w:hideMark/>
          </w:tcPr>
          <w:p w14:paraId="6733719E" w14:textId="77777777" w:rsidR="00BB3966" w:rsidRPr="00317F65" w:rsidRDefault="00BB3966" w:rsidP="00593FED">
            <w:pPr>
              <w:jc w:val="center"/>
              <w:rPr>
                <w:rFonts w:eastAsia="Times New Roman"/>
                <w:color w:val="000000"/>
              </w:rPr>
            </w:pPr>
            <w:r w:rsidRPr="00317F65">
              <w:rPr>
                <w:color w:val="000000"/>
              </w:rPr>
              <w:t>194</w:t>
            </w:r>
          </w:p>
        </w:tc>
        <w:tc>
          <w:tcPr>
            <w:tcW w:w="819" w:type="pct"/>
            <w:noWrap/>
            <w:hideMark/>
          </w:tcPr>
          <w:p w14:paraId="3B9A9703" w14:textId="77777777" w:rsidR="00BB3966" w:rsidRPr="00317F65" w:rsidRDefault="00BB3966" w:rsidP="00593FED">
            <w:pPr>
              <w:jc w:val="center"/>
              <w:rPr>
                <w:rFonts w:eastAsia="Times New Roman"/>
                <w:color w:val="000000"/>
              </w:rPr>
            </w:pPr>
            <w:r w:rsidRPr="00317F65">
              <w:rPr>
                <w:color w:val="000000"/>
              </w:rPr>
              <w:t>18.4%</w:t>
            </w:r>
          </w:p>
        </w:tc>
      </w:tr>
      <w:tr w:rsidR="00BB3966" w:rsidRPr="00317F65" w14:paraId="4F9884D3" w14:textId="77777777" w:rsidTr="007F6337">
        <w:trPr>
          <w:trHeight w:val="300"/>
        </w:trPr>
        <w:tc>
          <w:tcPr>
            <w:tcW w:w="821" w:type="pct"/>
            <w:vMerge w:val="restart"/>
            <w:noWrap/>
            <w:hideMark/>
          </w:tcPr>
          <w:p w14:paraId="7C5447B8" w14:textId="77777777" w:rsidR="00BB3966" w:rsidRPr="00317F65" w:rsidRDefault="00BB3966" w:rsidP="00593FED">
            <w:pPr>
              <w:jc w:val="center"/>
              <w:rPr>
                <w:rFonts w:eastAsia="Times New Roman"/>
                <w:color w:val="000000"/>
              </w:rPr>
            </w:pPr>
            <w:r w:rsidRPr="00317F65">
              <w:rPr>
                <w:rFonts w:eastAsia="Times New Roman"/>
                <w:color w:val="000000"/>
              </w:rPr>
              <w:t>Female</w:t>
            </w:r>
          </w:p>
        </w:tc>
        <w:tc>
          <w:tcPr>
            <w:tcW w:w="897" w:type="pct"/>
            <w:noWrap/>
            <w:hideMark/>
          </w:tcPr>
          <w:p w14:paraId="4850604B" w14:textId="77777777" w:rsidR="00BB3966" w:rsidRPr="00317F65" w:rsidRDefault="00BB3966" w:rsidP="00593FED">
            <w:pPr>
              <w:jc w:val="center"/>
              <w:rPr>
                <w:rFonts w:eastAsia="Times New Roman"/>
                <w:color w:val="000000"/>
                <w:szCs w:val="20"/>
              </w:rPr>
            </w:pPr>
            <w:r w:rsidRPr="00317F65">
              <w:rPr>
                <w:rFonts w:eastAsia="Times New Roman"/>
                <w:color w:val="000000"/>
                <w:szCs w:val="20"/>
              </w:rPr>
              <w:t>UP to HS</w:t>
            </w:r>
          </w:p>
        </w:tc>
        <w:tc>
          <w:tcPr>
            <w:tcW w:w="821" w:type="pct"/>
            <w:noWrap/>
            <w:hideMark/>
          </w:tcPr>
          <w:p w14:paraId="4E8B003A" w14:textId="77777777" w:rsidR="00BB3966" w:rsidRPr="00317F65" w:rsidRDefault="00BB3966" w:rsidP="00593FED">
            <w:pPr>
              <w:jc w:val="center"/>
              <w:rPr>
                <w:rFonts w:eastAsia="Times New Roman"/>
                <w:color w:val="000000"/>
              </w:rPr>
            </w:pPr>
            <w:r w:rsidRPr="00317F65">
              <w:rPr>
                <w:rFonts w:eastAsia="Times New Roman"/>
                <w:color w:val="000000"/>
              </w:rPr>
              <w:t>5,463,515</w:t>
            </w:r>
          </w:p>
        </w:tc>
        <w:tc>
          <w:tcPr>
            <w:tcW w:w="821" w:type="pct"/>
            <w:noWrap/>
            <w:hideMark/>
          </w:tcPr>
          <w:p w14:paraId="459488E3" w14:textId="77777777" w:rsidR="00BB3966" w:rsidRPr="00317F65" w:rsidRDefault="00BB3966" w:rsidP="00593FED">
            <w:pPr>
              <w:jc w:val="center"/>
              <w:rPr>
                <w:rFonts w:eastAsia="Times New Roman"/>
                <w:color w:val="000000"/>
              </w:rPr>
            </w:pPr>
            <w:r w:rsidRPr="00317F65">
              <w:rPr>
                <w:rFonts w:eastAsia="Times New Roman"/>
                <w:color w:val="000000"/>
              </w:rPr>
              <w:t>17.9%</w:t>
            </w:r>
          </w:p>
        </w:tc>
        <w:tc>
          <w:tcPr>
            <w:tcW w:w="821" w:type="pct"/>
            <w:noWrap/>
            <w:hideMark/>
          </w:tcPr>
          <w:p w14:paraId="6E5441CE" w14:textId="77777777" w:rsidR="00BB3966" w:rsidRPr="00317F65" w:rsidRDefault="00BB3966" w:rsidP="00593FED">
            <w:pPr>
              <w:jc w:val="center"/>
              <w:rPr>
                <w:rFonts w:eastAsia="Times New Roman"/>
                <w:color w:val="000000"/>
              </w:rPr>
            </w:pPr>
            <w:r w:rsidRPr="00317F65">
              <w:rPr>
                <w:color w:val="000000"/>
              </w:rPr>
              <w:t>42</w:t>
            </w:r>
          </w:p>
        </w:tc>
        <w:tc>
          <w:tcPr>
            <w:tcW w:w="819" w:type="pct"/>
            <w:noWrap/>
            <w:hideMark/>
          </w:tcPr>
          <w:p w14:paraId="316D77C5" w14:textId="77777777" w:rsidR="00BB3966" w:rsidRPr="00317F65" w:rsidRDefault="00BB3966" w:rsidP="00593FED">
            <w:pPr>
              <w:jc w:val="center"/>
              <w:rPr>
                <w:rFonts w:eastAsia="Times New Roman"/>
                <w:color w:val="000000"/>
              </w:rPr>
            </w:pPr>
            <w:r w:rsidRPr="00317F65">
              <w:rPr>
                <w:color w:val="000000"/>
              </w:rPr>
              <w:t>4.0%</w:t>
            </w:r>
          </w:p>
        </w:tc>
      </w:tr>
      <w:tr w:rsidR="00BB3966" w:rsidRPr="00317F65" w14:paraId="63786615" w14:textId="77777777" w:rsidTr="007F6337">
        <w:trPr>
          <w:trHeight w:val="290"/>
        </w:trPr>
        <w:tc>
          <w:tcPr>
            <w:tcW w:w="821" w:type="pct"/>
            <w:vMerge/>
            <w:hideMark/>
          </w:tcPr>
          <w:p w14:paraId="292C7EB3" w14:textId="77777777" w:rsidR="00BB3966" w:rsidRPr="00317F65" w:rsidRDefault="00BB3966" w:rsidP="00593FED">
            <w:pPr>
              <w:rPr>
                <w:rFonts w:eastAsia="Times New Roman"/>
                <w:color w:val="000000"/>
              </w:rPr>
            </w:pPr>
          </w:p>
        </w:tc>
        <w:tc>
          <w:tcPr>
            <w:tcW w:w="897" w:type="pct"/>
            <w:noWrap/>
            <w:hideMark/>
          </w:tcPr>
          <w:p w14:paraId="2B057005" w14:textId="77777777" w:rsidR="00BB3966" w:rsidRPr="00317F65" w:rsidRDefault="00BB3966" w:rsidP="00593FED">
            <w:pPr>
              <w:jc w:val="center"/>
              <w:rPr>
                <w:rFonts w:eastAsia="Times New Roman"/>
                <w:color w:val="000000"/>
                <w:szCs w:val="20"/>
              </w:rPr>
            </w:pPr>
            <w:r w:rsidRPr="00317F65">
              <w:rPr>
                <w:rFonts w:eastAsia="Times New Roman"/>
                <w:color w:val="000000"/>
                <w:szCs w:val="20"/>
              </w:rPr>
              <w:t>Some College</w:t>
            </w:r>
          </w:p>
        </w:tc>
        <w:tc>
          <w:tcPr>
            <w:tcW w:w="821" w:type="pct"/>
            <w:noWrap/>
            <w:hideMark/>
          </w:tcPr>
          <w:p w14:paraId="0AA7453D" w14:textId="77777777" w:rsidR="00BB3966" w:rsidRPr="00317F65" w:rsidRDefault="00BB3966" w:rsidP="00593FED">
            <w:pPr>
              <w:jc w:val="center"/>
              <w:rPr>
                <w:rFonts w:eastAsia="Times New Roman"/>
                <w:color w:val="000000"/>
              </w:rPr>
            </w:pPr>
            <w:r w:rsidRPr="00317F65">
              <w:rPr>
                <w:rFonts w:eastAsia="Times New Roman"/>
                <w:color w:val="000000"/>
              </w:rPr>
              <w:t>2,714,750</w:t>
            </w:r>
          </w:p>
        </w:tc>
        <w:tc>
          <w:tcPr>
            <w:tcW w:w="821" w:type="pct"/>
            <w:noWrap/>
            <w:hideMark/>
          </w:tcPr>
          <w:p w14:paraId="4E17EB55" w14:textId="77777777" w:rsidR="00BB3966" w:rsidRPr="00317F65" w:rsidRDefault="00BB3966" w:rsidP="00593FED">
            <w:pPr>
              <w:jc w:val="center"/>
              <w:rPr>
                <w:rFonts w:eastAsia="Times New Roman"/>
                <w:color w:val="000000"/>
              </w:rPr>
            </w:pPr>
            <w:r w:rsidRPr="00317F65">
              <w:rPr>
                <w:rFonts w:eastAsia="Times New Roman"/>
                <w:color w:val="000000"/>
              </w:rPr>
              <w:t>8.9%</w:t>
            </w:r>
          </w:p>
        </w:tc>
        <w:tc>
          <w:tcPr>
            <w:tcW w:w="821" w:type="pct"/>
            <w:noWrap/>
            <w:hideMark/>
          </w:tcPr>
          <w:p w14:paraId="06AC023C" w14:textId="77777777" w:rsidR="00BB3966" w:rsidRPr="00317F65" w:rsidRDefault="00BB3966" w:rsidP="00593FED">
            <w:pPr>
              <w:jc w:val="center"/>
              <w:rPr>
                <w:rFonts w:eastAsia="Times New Roman"/>
                <w:color w:val="000000"/>
              </w:rPr>
            </w:pPr>
            <w:r w:rsidRPr="00317F65">
              <w:rPr>
                <w:color w:val="000000"/>
              </w:rPr>
              <w:t>106</w:t>
            </w:r>
          </w:p>
        </w:tc>
        <w:tc>
          <w:tcPr>
            <w:tcW w:w="819" w:type="pct"/>
            <w:noWrap/>
            <w:hideMark/>
          </w:tcPr>
          <w:p w14:paraId="0FDE6FEC" w14:textId="77777777" w:rsidR="00BB3966" w:rsidRPr="00317F65" w:rsidRDefault="00BB3966" w:rsidP="00593FED">
            <w:pPr>
              <w:jc w:val="center"/>
              <w:rPr>
                <w:rFonts w:eastAsia="Times New Roman"/>
                <w:color w:val="000000"/>
              </w:rPr>
            </w:pPr>
            <w:r w:rsidRPr="00317F65">
              <w:rPr>
                <w:color w:val="000000"/>
              </w:rPr>
              <w:t>10.0%</w:t>
            </w:r>
          </w:p>
        </w:tc>
      </w:tr>
      <w:tr w:rsidR="00BB3966" w:rsidRPr="00317F65" w14:paraId="3F44F2EA" w14:textId="77777777" w:rsidTr="007F6337">
        <w:trPr>
          <w:trHeight w:val="290"/>
        </w:trPr>
        <w:tc>
          <w:tcPr>
            <w:tcW w:w="821" w:type="pct"/>
            <w:vMerge/>
            <w:hideMark/>
          </w:tcPr>
          <w:p w14:paraId="1CF11A0F" w14:textId="77777777" w:rsidR="00BB3966" w:rsidRPr="00317F65" w:rsidRDefault="00BB3966" w:rsidP="00593FED">
            <w:pPr>
              <w:rPr>
                <w:rFonts w:eastAsia="Times New Roman"/>
                <w:color w:val="000000"/>
              </w:rPr>
            </w:pPr>
          </w:p>
        </w:tc>
        <w:tc>
          <w:tcPr>
            <w:tcW w:w="897" w:type="pct"/>
            <w:noWrap/>
            <w:hideMark/>
          </w:tcPr>
          <w:p w14:paraId="68817089" w14:textId="77777777" w:rsidR="00BB3966" w:rsidRPr="00317F65" w:rsidRDefault="00BB3966" w:rsidP="00593FED">
            <w:pPr>
              <w:jc w:val="center"/>
              <w:rPr>
                <w:rFonts w:eastAsia="Times New Roman"/>
                <w:color w:val="000000"/>
                <w:szCs w:val="20"/>
              </w:rPr>
            </w:pPr>
            <w:r w:rsidRPr="00317F65">
              <w:rPr>
                <w:rFonts w:eastAsia="Times New Roman"/>
                <w:color w:val="000000"/>
                <w:szCs w:val="20"/>
              </w:rPr>
              <w:t>Associate Degree</w:t>
            </w:r>
          </w:p>
        </w:tc>
        <w:tc>
          <w:tcPr>
            <w:tcW w:w="821" w:type="pct"/>
            <w:noWrap/>
            <w:hideMark/>
          </w:tcPr>
          <w:p w14:paraId="48C735B9" w14:textId="77777777" w:rsidR="00BB3966" w:rsidRPr="00317F65" w:rsidRDefault="00BB3966" w:rsidP="00593FED">
            <w:pPr>
              <w:jc w:val="center"/>
              <w:rPr>
                <w:rFonts w:eastAsia="Times New Roman"/>
                <w:color w:val="000000"/>
              </w:rPr>
            </w:pPr>
            <w:r w:rsidRPr="00317F65">
              <w:rPr>
                <w:rFonts w:eastAsia="Times New Roman"/>
                <w:color w:val="000000"/>
              </w:rPr>
              <w:t>1,472,425</w:t>
            </w:r>
          </w:p>
        </w:tc>
        <w:tc>
          <w:tcPr>
            <w:tcW w:w="821" w:type="pct"/>
            <w:noWrap/>
            <w:hideMark/>
          </w:tcPr>
          <w:p w14:paraId="1D64E103" w14:textId="77777777" w:rsidR="00BB3966" w:rsidRPr="00317F65" w:rsidRDefault="00BB3966" w:rsidP="00593FED">
            <w:pPr>
              <w:jc w:val="center"/>
              <w:rPr>
                <w:rFonts w:eastAsia="Times New Roman"/>
                <w:color w:val="000000"/>
              </w:rPr>
            </w:pPr>
            <w:r w:rsidRPr="00317F65">
              <w:rPr>
                <w:rFonts w:eastAsia="Times New Roman"/>
                <w:color w:val="000000"/>
              </w:rPr>
              <w:t>4.8%</w:t>
            </w:r>
          </w:p>
        </w:tc>
        <w:tc>
          <w:tcPr>
            <w:tcW w:w="821" w:type="pct"/>
            <w:noWrap/>
            <w:hideMark/>
          </w:tcPr>
          <w:p w14:paraId="4218EBA8" w14:textId="77777777" w:rsidR="00BB3966" w:rsidRPr="00317F65" w:rsidRDefault="00BB3966" w:rsidP="00593FED">
            <w:pPr>
              <w:jc w:val="center"/>
              <w:rPr>
                <w:rFonts w:eastAsia="Times New Roman"/>
                <w:color w:val="000000"/>
              </w:rPr>
            </w:pPr>
            <w:r w:rsidRPr="00317F65">
              <w:rPr>
                <w:color w:val="000000"/>
              </w:rPr>
              <w:t>50</w:t>
            </w:r>
          </w:p>
        </w:tc>
        <w:tc>
          <w:tcPr>
            <w:tcW w:w="819" w:type="pct"/>
            <w:noWrap/>
            <w:hideMark/>
          </w:tcPr>
          <w:p w14:paraId="51157561" w14:textId="77777777" w:rsidR="00BB3966" w:rsidRPr="00317F65" w:rsidRDefault="00BB3966" w:rsidP="00593FED">
            <w:pPr>
              <w:jc w:val="center"/>
              <w:rPr>
                <w:rFonts w:eastAsia="Times New Roman"/>
                <w:color w:val="000000"/>
              </w:rPr>
            </w:pPr>
            <w:r w:rsidRPr="00317F65">
              <w:rPr>
                <w:color w:val="000000"/>
              </w:rPr>
              <w:t>4.7%</w:t>
            </w:r>
          </w:p>
        </w:tc>
      </w:tr>
      <w:tr w:rsidR="00BB3966" w:rsidRPr="00317F65" w14:paraId="1918CDD3" w14:textId="77777777" w:rsidTr="007F6337">
        <w:trPr>
          <w:trHeight w:val="290"/>
        </w:trPr>
        <w:tc>
          <w:tcPr>
            <w:tcW w:w="821" w:type="pct"/>
            <w:vMerge/>
            <w:hideMark/>
          </w:tcPr>
          <w:p w14:paraId="5327CB55" w14:textId="77777777" w:rsidR="00BB3966" w:rsidRPr="00317F65" w:rsidRDefault="00BB3966" w:rsidP="00593FED">
            <w:pPr>
              <w:rPr>
                <w:rFonts w:eastAsia="Times New Roman"/>
                <w:color w:val="000000"/>
              </w:rPr>
            </w:pPr>
          </w:p>
        </w:tc>
        <w:tc>
          <w:tcPr>
            <w:tcW w:w="897" w:type="pct"/>
            <w:noWrap/>
            <w:hideMark/>
          </w:tcPr>
          <w:p w14:paraId="38B04AEE" w14:textId="77777777" w:rsidR="00BB3966" w:rsidRPr="00317F65" w:rsidRDefault="00BB3966" w:rsidP="00593FED">
            <w:pPr>
              <w:jc w:val="center"/>
              <w:rPr>
                <w:rFonts w:eastAsia="Times New Roman"/>
                <w:color w:val="000000"/>
                <w:szCs w:val="20"/>
              </w:rPr>
            </w:pPr>
            <w:r w:rsidRPr="00317F65">
              <w:rPr>
                <w:rFonts w:eastAsia="Times New Roman"/>
                <w:color w:val="000000"/>
                <w:szCs w:val="20"/>
              </w:rPr>
              <w:t>Bachelor's Degree</w:t>
            </w:r>
          </w:p>
        </w:tc>
        <w:tc>
          <w:tcPr>
            <w:tcW w:w="821" w:type="pct"/>
            <w:noWrap/>
            <w:hideMark/>
          </w:tcPr>
          <w:p w14:paraId="5E375823" w14:textId="77777777" w:rsidR="00BB3966" w:rsidRPr="00317F65" w:rsidRDefault="00BB3966" w:rsidP="00593FED">
            <w:pPr>
              <w:jc w:val="center"/>
              <w:rPr>
                <w:rFonts w:eastAsia="Times New Roman"/>
                <w:color w:val="000000"/>
              </w:rPr>
            </w:pPr>
            <w:r w:rsidRPr="00317F65">
              <w:rPr>
                <w:rFonts w:eastAsia="Times New Roman"/>
                <w:color w:val="000000"/>
              </w:rPr>
              <w:t>3,693,673</w:t>
            </w:r>
          </w:p>
        </w:tc>
        <w:tc>
          <w:tcPr>
            <w:tcW w:w="821" w:type="pct"/>
            <w:noWrap/>
            <w:hideMark/>
          </w:tcPr>
          <w:p w14:paraId="0C3D2217" w14:textId="77777777" w:rsidR="00BB3966" w:rsidRPr="00317F65" w:rsidRDefault="00BB3966" w:rsidP="00593FED">
            <w:pPr>
              <w:jc w:val="center"/>
              <w:rPr>
                <w:rFonts w:eastAsia="Times New Roman"/>
                <w:color w:val="000000"/>
              </w:rPr>
            </w:pPr>
            <w:r w:rsidRPr="00317F65">
              <w:rPr>
                <w:rFonts w:eastAsia="Times New Roman"/>
                <w:color w:val="000000"/>
              </w:rPr>
              <w:t>12.1%</w:t>
            </w:r>
          </w:p>
        </w:tc>
        <w:tc>
          <w:tcPr>
            <w:tcW w:w="821" w:type="pct"/>
            <w:noWrap/>
            <w:hideMark/>
          </w:tcPr>
          <w:p w14:paraId="20518AFF" w14:textId="77777777" w:rsidR="00BB3966" w:rsidRPr="00317F65" w:rsidRDefault="00BB3966" w:rsidP="00593FED">
            <w:pPr>
              <w:jc w:val="center"/>
              <w:rPr>
                <w:rFonts w:eastAsia="Times New Roman"/>
                <w:color w:val="000000"/>
              </w:rPr>
            </w:pPr>
            <w:r w:rsidRPr="00317F65">
              <w:rPr>
                <w:color w:val="000000"/>
              </w:rPr>
              <w:t>204</w:t>
            </w:r>
          </w:p>
        </w:tc>
        <w:tc>
          <w:tcPr>
            <w:tcW w:w="819" w:type="pct"/>
            <w:noWrap/>
            <w:hideMark/>
          </w:tcPr>
          <w:p w14:paraId="734E2CC7" w14:textId="77777777" w:rsidR="00BB3966" w:rsidRPr="00317F65" w:rsidRDefault="00BB3966" w:rsidP="00593FED">
            <w:pPr>
              <w:jc w:val="center"/>
              <w:rPr>
                <w:rFonts w:eastAsia="Times New Roman"/>
                <w:color w:val="000000"/>
              </w:rPr>
            </w:pPr>
            <w:r w:rsidRPr="00317F65">
              <w:rPr>
                <w:color w:val="000000"/>
              </w:rPr>
              <w:t>19.3%</w:t>
            </w:r>
          </w:p>
        </w:tc>
      </w:tr>
      <w:tr w:rsidR="00BB3966" w:rsidRPr="00317F65" w14:paraId="79CEBAF9" w14:textId="77777777" w:rsidTr="007F6337">
        <w:trPr>
          <w:trHeight w:val="300"/>
        </w:trPr>
        <w:tc>
          <w:tcPr>
            <w:tcW w:w="821" w:type="pct"/>
            <w:vMerge/>
            <w:hideMark/>
          </w:tcPr>
          <w:p w14:paraId="679CD11F" w14:textId="77777777" w:rsidR="00BB3966" w:rsidRPr="00317F65" w:rsidRDefault="00BB3966" w:rsidP="00593FED">
            <w:pPr>
              <w:rPr>
                <w:rFonts w:eastAsia="Times New Roman"/>
                <w:color w:val="000000"/>
              </w:rPr>
            </w:pPr>
          </w:p>
        </w:tc>
        <w:tc>
          <w:tcPr>
            <w:tcW w:w="897" w:type="pct"/>
            <w:noWrap/>
            <w:hideMark/>
          </w:tcPr>
          <w:p w14:paraId="060F7851" w14:textId="77777777" w:rsidR="00BB3966" w:rsidRPr="00317F65" w:rsidRDefault="00BB3966" w:rsidP="00593FED">
            <w:pPr>
              <w:jc w:val="center"/>
              <w:rPr>
                <w:rFonts w:eastAsia="Times New Roman"/>
                <w:color w:val="000000"/>
                <w:szCs w:val="20"/>
              </w:rPr>
            </w:pPr>
            <w:r w:rsidRPr="00317F65">
              <w:rPr>
                <w:rFonts w:eastAsia="Times New Roman"/>
                <w:color w:val="000000"/>
                <w:szCs w:val="20"/>
              </w:rPr>
              <w:t>Master's+</w:t>
            </w:r>
          </w:p>
        </w:tc>
        <w:tc>
          <w:tcPr>
            <w:tcW w:w="821" w:type="pct"/>
            <w:noWrap/>
            <w:hideMark/>
          </w:tcPr>
          <w:p w14:paraId="1A877E0A" w14:textId="77777777" w:rsidR="00BB3966" w:rsidRPr="00317F65" w:rsidRDefault="00BB3966" w:rsidP="00593FED">
            <w:pPr>
              <w:jc w:val="center"/>
              <w:rPr>
                <w:rFonts w:eastAsia="Times New Roman"/>
                <w:color w:val="000000"/>
              </w:rPr>
            </w:pPr>
            <w:r w:rsidRPr="00317F65">
              <w:rPr>
                <w:rFonts w:eastAsia="Times New Roman"/>
                <w:color w:val="000000"/>
              </w:rPr>
              <w:t>2,035,254</w:t>
            </w:r>
          </w:p>
        </w:tc>
        <w:tc>
          <w:tcPr>
            <w:tcW w:w="821" w:type="pct"/>
            <w:noWrap/>
            <w:hideMark/>
          </w:tcPr>
          <w:p w14:paraId="5AFB0B77" w14:textId="77777777" w:rsidR="00BB3966" w:rsidRPr="00317F65" w:rsidRDefault="00BB3966" w:rsidP="00593FED">
            <w:pPr>
              <w:jc w:val="center"/>
              <w:rPr>
                <w:rFonts w:eastAsia="Times New Roman"/>
                <w:color w:val="000000"/>
              </w:rPr>
            </w:pPr>
            <w:r w:rsidRPr="00317F65">
              <w:rPr>
                <w:rFonts w:eastAsia="Times New Roman"/>
                <w:color w:val="000000"/>
              </w:rPr>
              <w:t>6.7%</w:t>
            </w:r>
          </w:p>
        </w:tc>
        <w:tc>
          <w:tcPr>
            <w:tcW w:w="821" w:type="pct"/>
            <w:noWrap/>
            <w:hideMark/>
          </w:tcPr>
          <w:p w14:paraId="6BF3B928" w14:textId="77777777" w:rsidR="00BB3966" w:rsidRPr="00317F65" w:rsidRDefault="00BB3966" w:rsidP="00593FED">
            <w:pPr>
              <w:jc w:val="center"/>
              <w:rPr>
                <w:rFonts w:eastAsia="Times New Roman"/>
                <w:color w:val="000000"/>
              </w:rPr>
            </w:pPr>
            <w:r w:rsidRPr="00317F65">
              <w:rPr>
                <w:color w:val="000000"/>
              </w:rPr>
              <w:t>202</w:t>
            </w:r>
          </w:p>
        </w:tc>
        <w:tc>
          <w:tcPr>
            <w:tcW w:w="819" w:type="pct"/>
            <w:noWrap/>
            <w:hideMark/>
          </w:tcPr>
          <w:p w14:paraId="00132713" w14:textId="77777777" w:rsidR="00BB3966" w:rsidRPr="00317F65" w:rsidRDefault="00BB3966" w:rsidP="00593FED">
            <w:pPr>
              <w:jc w:val="center"/>
              <w:rPr>
                <w:rFonts w:eastAsia="Times New Roman"/>
                <w:color w:val="000000"/>
              </w:rPr>
            </w:pPr>
            <w:r w:rsidRPr="00317F65">
              <w:rPr>
                <w:color w:val="000000"/>
              </w:rPr>
              <w:t>19.1%</w:t>
            </w:r>
          </w:p>
        </w:tc>
      </w:tr>
      <w:tr w:rsidR="00BB3966" w:rsidRPr="00317F65" w14:paraId="6EE5942D" w14:textId="77777777" w:rsidTr="007F6337">
        <w:trPr>
          <w:trHeight w:val="300"/>
        </w:trPr>
        <w:tc>
          <w:tcPr>
            <w:tcW w:w="1718" w:type="pct"/>
            <w:gridSpan w:val="2"/>
            <w:noWrap/>
            <w:hideMark/>
          </w:tcPr>
          <w:p w14:paraId="0AE7CFB5" w14:textId="77777777" w:rsidR="00BB3966" w:rsidRPr="00317F65" w:rsidRDefault="00BB3966" w:rsidP="00593FED">
            <w:pPr>
              <w:jc w:val="center"/>
              <w:rPr>
                <w:rFonts w:eastAsia="Times New Roman"/>
                <w:b/>
                <w:bCs/>
                <w:color w:val="000000"/>
              </w:rPr>
            </w:pPr>
            <w:r w:rsidRPr="00317F65">
              <w:rPr>
                <w:rFonts w:eastAsia="Times New Roman"/>
                <w:b/>
                <w:bCs/>
                <w:color w:val="000000"/>
              </w:rPr>
              <w:t>Total</w:t>
            </w:r>
          </w:p>
        </w:tc>
        <w:tc>
          <w:tcPr>
            <w:tcW w:w="821" w:type="pct"/>
            <w:noWrap/>
            <w:hideMark/>
          </w:tcPr>
          <w:p w14:paraId="7A180D92" w14:textId="77777777" w:rsidR="00BB3966" w:rsidRPr="00317F65" w:rsidRDefault="00BB3966" w:rsidP="00593FED">
            <w:pPr>
              <w:jc w:val="center"/>
              <w:rPr>
                <w:rFonts w:eastAsia="Times New Roman"/>
                <w:b/>
                <w:bCs/>
                <w:color w:val="000000"/>
              </w:rPr>
            </w:pPr>
            <w:r w:rsidRPr="00317F65">
              <w:rPr>
                <w:rFonts w:eastAsia="Times New Roman"/>
                <w:b/>
                <w:bCs/>
                <w:color w:val="000000"/>
              </w:rPr>
              <w:t>30,452,632</w:t>
            </w:r>
          </w:p>
        </w:tc>
        <w:tc>
          <w:tcPr>
            <w:tcW w:w="821" w:type="pct"/>
            <w:noWrap/>
            <w:hideMark/>
          </w:tcPr>
          <w:p w14:paraId="07CD8A6F" w14:textId="77777777" w:rsidR="00BB3966" w:rsidRPr="00317F65" w:rsidRDefault="00BB3966" w:rsidP="00593FED">
            <w:pPr>
              <w:jc w:val="center"/>
              <w:rPr>
                <w:rFonts w:eastAsia="Times New Roman"/>
                <w:b/>
                <w:bCs/>
                <w:color w:val="000000"/>
              </w:rPr>
            </w:pPr>
            <w:r w:rsidRPr="00317F65">
              <w:rPr>
                <w:rFonts w:eastAsia="Times New Roman"/>
                <w:b/>
                <w:bCs/>
                <w:color w:val="000000"/>
              </w:rPr>
              <w:t>100.0%</w:t>
            </w:r>
          </w:p>
        </w:tc>
        <w:tc>
          <w:tcPr>
            <w:tcW w:w="821" w:type="pct"/>
            <w:noWrap/>
            <w:hideMark/>
          </w:tcPr>
          <w:p w14:paraId="7344897B" w14:textId="77777777" w:rsidR="00BB3966" w:rsidRPr="00317F65" w:rsidRDefault="00BB3966" w:rsidP="00593FED">
            <w:pPr>
              <w:jc w:val="center"/>
              <w:rPr>
                <w:rFonts w:eastAsia="Times New Roman"/>
                <w:b/>
                <w:bCs/>
                <w:color w:val="000000"/>
              </w:rPr>
            </w:pPr>
            <w:r w:rsidRPr="00317F65">
              <w:rPr>
                <w:b/>
                <w:bCs/>
                <w:color w:val="000000"/>
              </w:rPr>
              <w:t>1,057</w:t>
            </w:r>
          </w:p>
        </w:tc>
        <w:tc>
          <w:tcPr>
            <w:tcW w:w="819" w:type="pct"/>
            <w:noWrap/>
            <w:hideMark/>
          </w:tcPr>
          <w:p w14:paraId="275B26A0" w14:textId="77777777" w:rsidR="00BB3966" w:rsidRPr="00317F65" w:rsidRDefault="00BB3966" w:rsidP="00593FED">
            <w:pPr>
              <w:jc w:val="center"/>
              <w:rPr>
                <w:rFonts w:eastAsia="Times New Roman"/>
                <w:b/>
                <w:bCs/>
                <w:color w:val="000000"/>
              </w:rPr>
            </w:pPr>
            <w:r w:rsidRPr="00317F65">
              <w:rPr>
                <w:b/>
                <w:bCs/>
                <w:color w:val="000000"/>
              </w:rPr>
              <w:t>100.0%</w:t>
            </w:r>
          </w:p>
        </w:tc>
      </w:tr>
    </w:tbl>
    <w:p w14:paraId="5FD4A40D" w14:textId="77777777" w:rsidR="00BB3966" w:rsidRPr="00317F65" w:rsidRDefault="00BB3966" w:rsidP="00BB3966">
      <w:pPr>
        <w:spacing w:before="240"/>
        <w:rPr>
          <w:b/>
        </w:rPr>
      </w:pPr>
    </w:p>
    <w:p w14:paraId="391E029F" w14:textId="77777777" w:rsidR="00BB3966" w:rsidRPr="00317F65" w:rsidRDefault="00BB3966">
      <w:pPr>
        <w:rPr>
          <w:b/>
        </w:rPr>
      </w:pPr>
      <w:r w:rsidRPr="00317F65">
        <w:rPr>
          <w:b/>
        </w:rPr>
        <w:br w:type="page"/>
      </w:r>
    </w:p>
    <w:p w14:paraId="78726A32" w14:textId="46AA39D3" w:rsidR="00BB3966" w:rsidRPr="00317F65" w:rsidRDefault="00BB3966" w:rsidP="00BB3966">
      <w:pPr>
        <w:spacing w:before="240"/>
      </w:pPr>
      <w:r w:rsidRPr="00317F65">
        <w:rPr>
          <w:b/>
        </w:rPr>
        <w:lastRenderedPageBreak/>
        <w:t xml:space="preserve">Table </w:t>
      </w:r>
      <w:r w:rsidR="006F6AD5">
        <w:rPr>
          <w:b/>
        </w:rPr>
        <w:t>6</w:t>
      </w:r>
      <w:r w:rsidRPr="00317F65">
        <w:rPr>
          <w:b/>
        </w:rPr>
        <w:t>.</w:t>
      </w:r>
      <w:r w:rsidRPr="00317F65">
        <w:t xml:space="preserve"> Population and Respondent Distributions by Gender and Marital Status</w:t>
      </w:r>
    </w:p>
    <w:tbl>
      <w:tblPr>
        <w:tblStyle w:val="TableGrid"/>
        <w:tblW w:w="5000" w:type="pct"/>
        <w:tblLook w:val="04A0" w:firstRow="1" w:lastRow="0" w:firstColumn="1" w:lastColumn="0" w:noHBand="0" w:noVBand="1"/>
      </w:tblPr>
      <w:tblGrid>
        <w:gridCol w:w="1557"/>
        <w:gridCol w:w="1561"/>
        <w:gridCol w:w="1558"/>
        <w:gridCol w:w="1560"/>
        <w:gridCol w:w="1558"/>
        <w:gridCol w:w="1556"/>
      </w:tblGrid>
      <w:tr w:rsidR="00BB3966" w:rsidRPr="00317F65" w14:paraId="26CF6BE4" w14:textId="77777777" w:rsidTr="00346D95">
        <w:trPr>
          <w:trHeight w:val="310"/>
        </w:trPr>
        <w:tc>
          <w:tcPr>
            <w:tcW w:w="833" w:type="pct"/>
            <w:noWrap/>
            <w:hideMark/>
          </w:tcPr>
          <w:p w14:paraId="5860F713" w14:textId="77777777" w:rsidR="00BB3966" w:rsidRPr="00317F65" w:rsidRDefault="00BB3966" w:rsidP="00593FED">
            <w:pPr>
              <w:jc w:val="center"/>
              <w:rPr>
                <w:rFonts w:eastAsia="Times New Roman"/>
                <w:b/>
                <w:bCs/>
                <w:color w:val="000000"/>
              </w:rPr>
            </w:pPr>
            <w:r w:rsidRPr="00317F65">
              <w:rPr>
                <w:rFonts w:eastAsia="Times New Roman"/>
                <w:b/>
                <w:bCs/>
                <w:color w:val="000000"/>
              </w:rPr>
              <w:t>Gender</w:t>
            </w:r>
          </w:p>
        </w:tc>
        <w:tc>
          <w:tcPr>
            <w:tcW w:w="835" w:type="pct"/>
            <w:noWrap/>
            <w:hideMark/>
          </w:tcPr>
          <w:p w14:paraId="1AF377EF" w14:textId="77777777" w:rsidR="00BB3966" w:rsidRPr="00317F65" w:rsidRDefault="00BB3966" w:rsidP="00593FED">
            <w:pPr>
              <w:jc w:val="center"/>
              <w:rPr>
                <w:rFonts w:eastAsia="Times New Roman"/>
                <w:b/>
                <w:bCs/>
                <w:color w:val="000000"/>
              </w:rPr>
            </w:pPr>
            <w:r w:rsidRPr="00317F65">
              <w:rPr>
                <w:rFonts w:eastAsia="Times New Roman"/>
                <w:b/>
                <w:bCs/>
                <w:color w:val="000000"/>
              </w:rPr>
              <w:t>Marital</w:t>
            </w:r>
          </w:p>
        </w:tc>
        <w:tc>
          <w:tcPr>
            <w:tcW w:w="1667" w:type="pct"/>
            <w:gridSpan w:val="2"/>
            <w:noWrap/>
            <w:hideMark/>
          </w:tcPr>
          <w:p w14:paraId="094CD21C" w14:textId="77777777" w:rsidR="00BB3966" w:rsidRPr="00317F65" w:rsidRDefault="00BB3966" w:rsidP="00593FED">
            <w:pPr>
              <w:jc w:val="center"/>
              <w:rPr>
                <w:rFonts w:eastAsia="Times New Roman"/>
                <w:b/>
                <w:bCs/>
                <w:color w:val="000000"/>
                <w:szCs w:val="20"/>
              </w:rPr>
            </w:pPr>
            <w:r w:rsidRPr="00317F65">
              <w:rPr>
                <w:rFonts w:eastAsia="Times New Roman"/>
                <w:b/>
                <w:bCs/>
                <w:color w:val="000000"/>
                <w:szCs w:val="20"/>
              </w:rPr>
              <w:t>Universe</w:t>
            </w:r>
          </w:p>
        </w:tc>
        <w:tc>
          <w:tcPr>
            <w:tcW w:w="1665" w:type="pct"/>
            <w:gridSpan w:val="2"/>
            <w:noWrap/>
            <w:hideMark/>
          </w:tcPr>
          <w:p w14:paraId="63253E2F" w14:textId="77777777" w:rsidR="00BB3966" w:rsidRPr="00317F65" w:rsidRDefault="00BB3966" w:rsidP="00593FED">
            <w:pPr>
              <w:jc w:val="center"/>
              <w:rPr>
                <w:rFonts w:eastAsia="Times New Roman"/>
                <w:b/>
                <w:bCs/>
                <w:color w:val="000000"/>
              </w:rPr>
            </w:pPr>
            <w:r w:rsidRPr="00317F65">
              <w:rPr>
                <w:rFonts w:eastAsia="Times New Roman"/>
                <w:b/>
                <w:bCs/>
                <w:color w:val="000000"/>
              </w:rPr>
              <w:t>Respondents</w:t>
            </w:r>
          </w:p>
        </w:tc>
      </w:tr>
      <w:tr w:rsidR="00346D95" w:rsidRPr="00317F65" w14:paraId="56FF9F57" w14:textId="77777777" w:rsidTr="00346D95">
        <w:trPr>
          <w:trHeight w:val="300"/>
        </w:trPr>
        <w:tc>
          <w:tcPr>
            <w:tcW w:w="833" w:type="pct"/>
            <w:vMerge w:val="restart"/>
            <w:noWrap/>
            <w:hideMark/>
          </w:tcPr>
          <w:p w14:paraId="7E6AC2FF" w14:textId="77777777" w:rsidR="00346D95" w:rsidRPr="00317F65" w:rsidRDefault="00346D95" w:rsidP="00593FED">
            <w:pPr>
              <w:jc w:val="center"/>
              <w:rPr>
                <w:rFonts w:eastAsia="Times New Roman"/>
                <w:color w:val="000000"/>
              </w:rPr>
            </w:pPr>
            <w:r w:rsidRPr="00317F65">
              <w:rPr>
                <w:rFonts w:eastAsia="Times New Roman"/>
                <w:color w:val="000000"/>
              </w:rPr>
              <w:t>Male</w:t>
            </w:r>
          </w:p>
        </w:tc>
        <w:tc>
          <w:tcPr>
            <w:tcW w:w="835" w:type="pct"/>
            <w:noWrap/>
            <w:hideMark/>
          </w:tcPr>
          <w:p w14:paraId="60C7A12D" w14:textId="77777777" w:rsidR="00346D95" w:rsidRPr="00317F65" w:rsidRDefault="00346D95" w:rsidP="00593FED">
            <w:pPr>
              <w:jc w:val="center"/>
              <w:rPr>
                <w:rFonts w:eastAsia="Times New Roman"/>
                <w:color w:val="000000"/>
                <w:szCs w:val="20"/>
              </w:rPr>
            </w:pPr>
            <w:r w:rsidRPr="00317F65">
              <w:rPr>
                <w:rFonts w:eastAsia="Times New Roman"/>
                <w:color w:val="000000"/>
                <w:szCs w:val="20"/>
              </w:rPr>
              <w:t>Married</w:t>
            </w:r>
          </w:p>
        </w:tc>
        <w:tc>
          <w:tcPr>
            <w:tcW w:w="833" w:type="pct"/>
            <w:noWrap/>
            <w:hideMark/>
          </w:tcPr>
          <w:p w14:paraId="657F34F4" w14:textId="77777777" w:rsidR="00346D95" w:rsidRPr="00317F65" w:rsidRDefault="00346D95" w:rsidP="00593FED">
            <w:pPr>
              <w:jc w:val="center"/>
              <w:rPr>
                <w:rFonts w:eastAsia="Times New Roman"/>
                <w:color w:val="000000"/>
                <w:szCs w:val="20"/>
              </w:rPr>
            </w:pPr>
            <w:r w:rsidRPr="00317F65">
              <w:rPr>
                <w:rFonts w:eastAsia="Times New Roman"/>
                <w:color w:val="000000"/>
                <w:szCs w:val="20"/>
              </w:rPr>
              <w:t>7,695,311</w:t>
            </w:r>
          </w:p>
        </w:tc>
        <w:tc>
          <w:tcPr>
            <w:tcW w:w="834" w:type="pct"/>
            <w:noWrap/>
            <w:hideMark/>
          </w:tcPr>
          <w:p w14:paraId="5C1F6D46" w14:textId="77777777" w:rsidR="00346D95" w:rsidRPr="00317F65" w:rsidRDefault="00346D95" w:rsidP="00593FED">
            <w:pPr>
              <w:jc w:val="center"/>
              <w:rPr>
                <w:rFonts w:eastAsia="Times New Roman"/>
                <w:color w:val="000000"/>
              </w:rPr>
            </w:pPr>
            <w:r w:rsidRPr="00317F65">
              <w:rPr>
                <w:rFonts w:eastAsia="Times New Roman"/>
                <w:color w:val="000000"/>
              </w:rPr>
              <w:t>25.3%</w:t>
            </w:r>
          </w:p>
        </w:tc>
        <w:tc>
          <w:tcPr>
            <w:tcW w:w="833" w:type="pct"/>
            <w:noWrap/>
            <w:hideMark/>
          </w:tcPr>
          <w:p w14:paraId="3CB00134" w14:textId="77777777" w:rsidR="00346D95" w:rsidRPr="00317F65" w:rsidRDefault="00346D95" w:rsidP="00593FED">
            <w:pPr>
              <w:jc w:val="center"/>
              <w:rPr>
                <w:rFonts w:eastAsia="Times New Roman"/>
                <w:color w:val="000000"/>
              </w:rPr>
            </w:pPr>
            <w:r w:rsidRPr="00317F65">
              <w:rPr>
                <w:color w:val="000000"/>
              </w:rPr>
              <w:t>252</w:t>
            </w:r>
          </w:p>
        </w:tc>
        <w:tc>
          <w:tcPr>
            <w:tcW w:w="832" w:type="pct"/>
            <w:noWrap/>
            <w:hideMark/>
          </w:tcPr>
          <w:p w14:paraId="472AFB83" w14:textId="77777777" w:rsidR="00346D95" w:rsidRPr="00317F65" w:rsidRDefault="00346D95" w:rsidP="00593FED">
            <w:pPr>
              <w:jc w:val="center"/>
              <w:rPr>
                <w:rFonts w:eastAsia="Times New Roman"/>
                <w:color w:val="000000"/>
              </w:rPr>
            </w:pPr>
            <w:r w:rsidRPr="00317F65">
              <w:rPr>
                <w:color w:val="000000"/>
              </w:rPr>
              <w:t>23.8%</w:t>
            </w:r>
          </w:p>
        </w:tc>
      </w:tr>
      <w:tr w:rsidR="00346D95" w:rsidRPr="00317F65" w14:paraId="40B78BB3" w14:textId="77777777" w:rsidTr="00346D95">
        <w:trPr>
          <w:trHeight w:val="290"/>
        </w:trPr>
        <w:tc>
          <w:tcPr>
            <w:tcW w:w="833" w:type="pct"/>
            <w:vMerge/>
            <w:hideMark/>
          </w:tcPr>
          <w:p w14:paraId="2790A2C6" w14:textId="77777777" w:rsidR="00346D95" w:rsidRPr="00317F65" w:rsidRDefault="00346D95" w:rsidP="00593FED">
            <w:pPr>
              <w:rPr>
                <w:rFonts w:eastAsia="Times New Roman"/>
                <w:color w:val="000000"/>
              </w:rPr>
            </w:pPr>
          </w:p>
        </w:tc>
        <w:tc>
          <w:tcPr>
            <w:tcW w:w="835" w:type="pct"/>
            <w:noWrap/>
            <w:hideMark/>
          </w:tcPr>
          <w:p w14:paraId="72C15B6C" w14:textId="77777777" w:rsidR="00346D95" w:rsidRPr="00317F65" w:rsidRDefault="00346D95" w:rsidP="00593FED">
            <w:pPr>
              <w:jc w:val="center"/>
              <w:rPr>
                <w:rFonts w:eastAsia="Times New Roman"/>
                <w:color w:val="000000"/>
                <w:szCs w:val="20"/>
              </w:rPr>
            </w:pPr>
            <w:r w:rsidRPr="00317F65">
              <w:rPr>
                <w:rFonts w:eastAsia="Times New Roman"/>
                <w:color w:val="000000"/>
                <w:szCs w:val="20"/>
              </w:rPr>
              <w:t>Not Married</w:t>
            </w:r>
          </w:p>
        </w:tc>
        <w:tc>
          <w:tcPr>
            <w:tcW w:w="833" w:type="pct"/>
            <w:noWrap/>
            <w:hideMark/>
          </w:tcPr>
          <w:p w14:paraId="7EDD21BC" w14:textId="77777777" w:rsidR="00346D95" w:rsidRPr="00317F65" w:rsidRDefault="00346D95" w:rsidP="00593FED">
            <w:pPr>
              <w:jc w:val="center"/>
              <w:rPr>
                <w:rFonts w:eastAsia="Times New Roman"/>
                <w:color w:val="000000"/>
                <w:szCs w:val="20"/>
              </w:rPr>
            </w:pPr>
            <w:r w:rsidRPr="00317F65">
              <w:rPr>
                <w:rFonts w:eastAsia="Times New Roman"/>
                <w:color w:val="000000"/>
                <w:szCs w:val="20"/>
              </w:rPr>
              <w:t>7,377,704</w:t>
            </w:r>
          </w:p>
        </w:tc>
        <w:tc>
          <w:tcPr>
            <w:tcW w:w="834" w:type="pct"/>
            <w:noWrap/>
            <w:hideMark/>
          </w:tcPr>
          <w:p w14:paraId="046431E5" w14:textId="77777777" w:rsidR="00346D95" w:rsidRPr="00317F65" w:rsidRDefault="00346D95" w:rsidP="00593FED">
            <w:pPr>
              <w:jc w:val="center"/>
              <w:rPr>
                <w:rFonts w:eastAsia="Times New Roman"/>
                <w:color w:val="000000"/>
              </w:rPr>
            </w:pPr>
            <w:r w:rsidRPr="00317F65">
              <w:rPr>
                <w:rFonts w:eastAsia="Times New Roman"/>
                <w:color w:val="000000"/>
              </w:rPr>
              <w:t>24.2%</w:t>
            </w:r>
          </w:p>
        </w:tc>
        <w:tc>
          <w:tcPr>
            <w:tcW w:w="833" w:type="pct"/>
            <w:noWrap/>
            <w:hideMark/>
          </w:tcPr>
          <w:p w14:paraId="12DAD6C4" w14:textId="77777777" w:rsidR="00346D95" w:rsidRPr="00317F65" w:rsidRDefault="00346D95" w:rsidP="00593FED">
            <w:pPr>
              <w:jc w:val="center"/>
              <w:rPr>
                <w:rFonts w:eastAsia="Times New Roman"/>
                <w:color w:val="000000"/>
              </w:rPr>
            </w:pPr>
            <w:r w:rsidRPr="00317F65">
              <w:rPr>
                <w:color w:val="000000"/>
              </w:rPr>
              <w:t>201</w:t>
            </w:r>
          </w:p>
        </w:tc>
        <w:tc>
          <w:tcPr>
            <w:tcW w:w="832" w:type="pct"/>
            <w:noWrap/>
            <w:hideMark/>
          </w:tcPr>
          <w:p w14:paraId="706DD5FF" w14:textId="77777777" w:rsidR="00346D95" w:rsidRPr="00317F65" w:rsidRDefault="00346D95" w:rsidP="00593FED">
            <w:pPr>
              <w:jc w:val="center"/>
              <w:rPr>
                <w:rFonts w:eastAsia="Times New Roman"/>
                <w:color w:val="000000"/>
              </w:rPr>
            </w:pPr>
            <w:r w:rsidRPr="00317F65">
              <w:rPr>
                <w:color w:val="000000"/>
              </w:rPr>
              <w:t>19.0%</w:t>
            </w:r>
          </w:p>
        </w:tc>
      </w:tr>
      <w:tr w:rsidR="00BB3966" w:rsidRPr="00317F65" w14:paraId="26844DA8" w14:textId="77777777" w:rsidTr="00346D95">
        <w:trPr>
          <w:trHeight w:val="290"/>
        </w:trPr>
        <w:tc>
          <w:tcPr>
            <w:tcW w:w="833" w:type="pct"/>
            <w:vMerge w:val="restart"/>
            <w:noWrap/>
            <w:hideMark/>
          </w:tcPr>
          <w:p w14:paraId="5C7739CD" w14:textId="77777777" w:rsidR="00BB3966" w:rsidRPr="00317F65" w:rsidRDefault="00BB3966" w:rsidP="00593FED">
            <w:pPr>
              <w:jc w:val="center"/>
              <w:rPr>
                <w:rFonts w:eastAsia="Times New Roman"/>
                <w:color w:val="000000"/>
              </w:rPr>
            </w:pPr>
            <w:r w:rsidRPr="00317F65">
              <w:rPr>
                <w:rFonts w:eastAsia="Times New Roman"/>
                <w:color w:val="000000"/>
              </w:rPr>
              <w:t>Female</w:t>
            </w:r>
          </w:p>
        </w:tc>
        <w:tc>
          <w:tcPr>
            <w:tcW w:w="835" w:type="pct"/>
            <w:noWrap/>
            <w:hideMark/>
          </w:tcPr>
          <w:p w14:paraId="64F15D44" w14:textId="77777777" w:rsidR="00BB3966" w:rsidRPr="00317F65" w:rsidRDefault="00BB3966" w:rsidP="00593FED">
            <w:pPr>
              <w:jc w:val="center"/>
              <w:rPr>
                <w:rFonts w:eastAsia="Times New Roman"/>
                <w:color w:val="000000"/>
                <w:szCs w:val="20"/>
              </w:rPr>
            </w:pPr>
            <w:r w:rsidRPr="00317F65">
              <w:rPr>
                <w:rFonts w:eastAsia="Times New Roman"/>
                <w:color w:val="000000"/>
                <w:szCs w:val="20"/>
              </w:rPr>
              <w:t>Married</w:t>
            </w:r>
          </w:p>
        </w:tc>
        <w:tc>
          <w:tcPr>
            <w:tcW w:w="833" w:type="pct"/>
            <w:noWrap/>
            <w:hideMark/>
          </w:tcPr>
          <w:p w14:paraId="1A93D3D8" w14:textId="77777777" w:rsidR="00BB3966" w:rsidRPr="00317F65" w:rsidRDefault="00BB3966" w:rsidP="00593FED">
            <w:pPr>
              <w:jc w:val="center"/>
              <w:rPr>
                <w:rFonts w:eastAsia="Times New Roman"/>
                <w:color w:val="000000"/>
                <w:szCs w:val="20"/>
              </w:rPr>
            </w:pPr>
            <w:r w:rsidRPr="00317F65">
              <w:rPr>
                <w:rFonts w:eastAsia="Times New Roman"/>
                <w:color w:val="000000"/>
                <w:szCs w:val="20"/>
              </w:rPr>
              <w:t>7,713,711</w:t>
            </w:r>
          </w:p>
        </w:tc>
        <w:tc>
          <w:tcPr>
            <w:tcW w:w="834" w:type="pct"/>
            <w:noWrap/>
            <w:hideMark/>
          </w:tcPr>
          <w:p w14:paraId="3432CCA7" w14:textId="77777777" w:rsidR="00BB3966" w:rsidRPr="00317F65" w:rsidRDefault="00BB3966" w:rsidP="00593FED">
            <w:pPr>
              <w:jc w:val="center"/>
              <w:rPr>
                <w:rFonts w:eastAsia="Times New Roman"/>
                <w:color w:val="000000"/>
              </w:rPr>
            </w:pPr>
            <w:r w:rsidRPr="00317F65">
              <w:rPr>
                <w:rFonts w:eastAsia="Times New Roman"/>
                <w:color w:val="000000"/>
              </w:rPr>
              <w:t>25.3%</w:t>
            </w:r>
          </w:p>
        </w:tc>
        <w:tc>
          <w:tcPr>
            <w:tcW w:w="833" w:type="pct"/>
            <w:noWrap/>
            <w:hideMark/>
          </w:tcPr>
          <w:p w14:paraId="1BE1EB93" w14:textId="77777777" w:rsidR="00BB3966" w:rsidRPr="00317F65" w:rsidRDefault="00BB3966" w:rsidP="00593FED">
            <w:pPr>
              <w:jc w:val="center"/>
              <w:rPr>
                <w:rFonts w:eastAsia="Times New Roman"/>
                <w:color w:val="000000"/>
              </w:rPr>
            </w:pPr>
            <w:r w:rsidRPr="00317F65">
              <w:rPr>
                <w:color w:val="000000"/>
              </w:rPr>
              <w:t>261</w:t>
            </w:r>
          </w:p>
        </w:tc>
        <w:tc>
          <w:tcPr>
            <w:tcW w:w="832" w:type="pct"/>
            <w:noWrap/>
            <w:hideMark/>
          </w:tcPr>
          <w:p w14:paraId="45173620" w14:textId="77777777" w:rsidR="00BB3966" w:rsidRPr="00317F65" w:rsidRDefault="00BB3966" w:rsidP="00593FED">
            <w:pPr>
              <w:jc w:val="center"/>
              <w:rPr>
                <w:rFonts w:eastAsia="Times New Roman"/>
                <w:color w:val="000000"/>
              </w:rPr>
            </w:pPr>
            <w:r w:rsidRPr="00317F65">
              <w:rPr>
                <w:color w:val="000000"/>
              </w:rPr>
              <w:t>24.7%</w:t>
            </w:r>
          </w:p>
        </w:tc>
      </w:tr>
      <w:tr w:rsidR="00BB3966" w:rsidRPr="00317F65" w14:paraId="7E6F4CB5" w14:textId="77777777" w:rsidTr="00346D95">
        <w:trPr>
          <w:trHeight w:val="300"/>
        </w:trPr>
        <w:tc>
          <w:tcPr>
            <w:tcW w:w="833" w:type="pct"/>
            <w:vMerge/>
            <w:hideMark/>
          </w:tcPr>
          <w:p w14:paraId="3CA3EC51" w14:textId="77777777" w:rsidR="00BB3966" w:rsidRPr="00317F65" w:rsidRDefault="00BB3966" w:rsidP="00593FED">
            <w:pPr>
              <w:rPr>
                <w:rFonts w:eastAsia="Times New Roman"/>
                <w:color w:val="000000"/>
              </w:rPr>
            </w:pPr>
          </w:p>
        </w:tc>
        <w:tc>
          <w:tcPr>
            <w:tcW w:w="835" w:type="pct"/>
            <w:noWrap/>
            <w:hideMark/>
          </w:tcPr>
          <w:p w14:paraId="77ADA16F" w14:textId="77777777" w:rsidR="00BB3966" w:rsidRPr="00317F65" w:rsidRDefault="00BB3966" w:rsidP="00593FED">
            <w:pPr>
              <w:jc w:val="center"/>
              <w:rPr>
                <w:rFonts w:eastAsia="Times New Roman"/>
                <w:color w:val="000000"/>
                <w:szCs w:val="20"/>
              </w:rPr>
            </w:pPr>
            <w:r w:rsidRPr="00317F65">
              <w:rPr>
                <w:rFonts w:eastAsia="Times New Roman"/>
                <w:color w:val="000000"/>
                <w:szCs w:val="20"/>
              </w:rPr>
              <w:t>Not Married</w:t>
            </w:r>
          </w:p>
        </w:tc>
        <w:tc>
          <w:tcPr>
            <w:tcW w:w="833" w:type="pct"/>
            <w:noWrap/>
            <w:hideMark/>
          </w:tcPr>
          <w:p w14:paraId="5B172080" w14:textId="77777777" w:rsidR="00BB3966" w:rsidRPr="00317F65" w:rsidRDefault="00BB3966" w:rsidP="00593FED">
            <w:pPr>
              <w:jc w:val="center"/>
              <w:rPr>
                <w:rFonts w:eastAsia="Times New Roman"/>
                <w:color w:val="000000"/>
                <w:szCs w:val="20"/>
              </w:rPr>
            </w:pPr>
            <w:r w:rsidRPr="00317F65">
              <w:rPr>
                <w:rFonts w:eastAsia="Times New Roman"/>
                <w:color w:val="000000"/>
                <w:szCs w:val="20"/>
              </w:rPr>
              <w:t>7,665,906</w:t>
            </w:r>
          </w:p>
        </w:tc>
        <w:tc>
          <w:tcPr>
            <w:tcW w:w="834" w:type="pct"/>
            <w:noWrap/>
            <w:hideMark/>
          </w:tcPr>
          <w:p w14:paraId="2146AE09" w14:textId="77777777" w:rsidR="00BB3966" w:rsidRPr="00317F65" w:rsidRDefault="00BB3966" w:rsidP="00593FED">
            <w:pPr>
              <w:jc w:val="center"/>
              <w:rPr>
                <w:rFonts w:eastAsia="Times New Roman"/>
                <w:color w:val="000000"/>
              </w:rPr>
            </w:pPr>
            <w:r w:rsidRPr="00317F65">
              <w:rPr>
                <w:rFonts w:eastAsia="Times New Roman"/>
                <w:color w:val="000000"/>
              </w:rPr>
              <w:t>25.2%</w:t>
            </w:r>
          </w:p>
        </w:tc>
        <w:tc>
          <w:tcPr>
            <w:tcW w:w="833" w:type="pct"/>
            <w:noWrap/>
            <w:hideMark/>
          </w:tcPr>
          <w:p w14:paraId="2F8F5973" w14:textId="77777777" w:rsidR="00BB3966" w:rsidRPr="00317F65" w:rsidRDefault="00BB3966" w:rsidP="00593FED">
            <w:pPr>
              <w:jc w:val="center"/>
              <w:rPr>
                <w:rFonts w:eastAsia="Times New Roman"/>
                <w:color w:val="000000"/>
              </w:rPr>
            </w:pPr>
            <w:r w:rsidRPr="00317F65">
              <w:rPr>
                <w:color w:val="000000"/>
              </w:rPr>
              <w:t>343</w:t>
            </w:r>
          </w:p>
        </w:tc>
        <w:tc>
          <w:tcPr>
            <w:tcW w:w="832" w:type="pct"/>
            <w:noWrap/>
            <w:hideMark/>
          </w:tcPr>
          <w:p w14:paraId="296763E0" w14:textId="77777777" w:rsidR="00BB3966" w:rsidRPr="00317F65" w:rsidRDefault="00BB3966" w:rsidP="00593FED">
            <w:pPr>
              <w:jc w:val="center"/>
              <w:rPr>
                <w:rFonts w:eastAsia="Times New Roman"/>
                <w:color w:val="000000"/>
              </w:rPr>
            </w:pPr>
            <w:r w:rsidRPr="00317F65">
              <w:rPr>
                <w:color w:val="000000"/>
              </w:rPr>
              <w:t>32.5%</w:t>
            </w:r>
          </w:p>
        </w:tc>
      </w:tr>
      <w:tr w:rsidR="00BB3966" w:rsidRPr="00317F65" w14:paraId="6970BAA7" w14:textId="77777777" w:rsidTr="00346D95">
        <w:trPr>
          <w:trHeight w:val="300"/>
        </w:trPr>
        <w:tc>
          <w:tcPr>
            <w:tcW w:w="1667" w:type="pct"/>
            <w:gridSpan w:val="2"/>
            <w:noWrap/>
            <w:hideMark/>
          </w:tcPr>
          <w:p w14:paraId="0EDEAEC6" w14:textId="77777777" w:rsidR="00BB3966" w:rsidRPr="00317F65" w:rsidRDefault="00BB3966" w:rsidP="00593FED">
            <w:pPr>
              <w:jc w:val="center"/>
              <w:rPr>
                <w:rFonts w:eastAsia="Times New Roman"/>
                <w:b/>
                <w:bCs/>
                <w:color w:val="000000"/>
              </w:rPr>
            </w:pPr>
            <w:r w:rsidRPr="00317F65">
              <w:rPr>
                <w:rFonts w:eastAsia="Times New Roman"/>
                <w:b/>
                <w:bCs/>
                <w:color w:val="000000"/>
              </w:rPr>
              <w:t>Total</w:t>
            </w:r>
          </w:p>
        </w:tc>
        <w:tc>
          <w:tcPr>
            <w:tcW w:w="833" w:type="pct"/>
            <w:noWrap/>
            <w:hideMark/>
          </w:tcPr>
          <w:p w14:paraId="0FE38E84" w14:textId="77777777" w:rsidR="00BB3966" w:rsidRPr="00317F65" w:rsidRDefault="00BB3966" w:rsidP="00593FED">
            <w:pPr>
              <w:jc w:val="center"/>
              <w:rPr>
                <w:rFonts w:eastAsia="Times New Roman"/>
                <w:b/>
                <w:bCs/>
                <w:color w:val="000000"/>
              </w:rPr>
            </w:pPr>
            <w:r w:rsidRPr="00317F65">
              <w:rPr>
                <w:rFonts w:eastAsia="Times New Roman"/>
                <w:b/>
                <w:bCs/>
                <w:color w:val="000000"/>
              </w:rPr>
              <w:t>30,452,632</w:t>
            </w:r>
          </w:p>
        </w:tc>
        <w:tc>
          <w:tcPr>
            <w:tcW w:w="834" w:type="pct"/>
            <w:noWrap/>
            <w:hideMark/>
          </w:tcPr>
          <w:p w14:paraId="27DF145A" w14:textId="77777777" w:rsidR="00BB3966" w:rsidRPr="00317F65" w:rsidRDefault="00BB3966" w:rsidP="00593FED">
            <w:pPr>
              <w:jc w:val="center"/>
              <w:rPr>
                <w:rFonts w:eastAsia="Times New Roman"/>
                <w:b/>
                <w:bCs/>
                <w:color w:val="000000"/>
              </w:rPr>
            </w:pPr>
            <w:r w:rsidRPr="00317F65">
              <w:rPr>
                <w:rFonts w:eastAsia="Times New Roman"/>
                <w:b/>
                <w:bCs/>
                <w:color w:val="000000"/>
              </w:rPr>
              <w:t>100.0%</w:t>
            </w:r>
          </w:p>
        </w:tc>
        <w:tc>
          <w:tcPr>
            <w:tcW w:w="833" w:type="pct"/>
            <w:noWrap/>
            <w:hideMark/>
          </w:tcPr>
          <w:p w14:paraId="341C9597" w14:textId="77777777" w:rsidR="00BB3966" w:rsidRPr="00317F65" w:rsidRDefault="00BB3966" w:rsidP="00593FED">
            <w:pPr>
              <w:jc w:val="center"/>
              <w:rPr>
                <w:rFonts w:eastAsia="Times New Roman"/>
                <w:b/>
                <w:bCs/>
                <w:color w:val="000000"/>
              </w:rPr>
            </w:pPr>
            <w:r w:rsidRPr="00317F65">
              <w:rPr>
                <w:b/>
                <w:bCs/>
                <w:color w:val="000000"/>
              </w:rPr>
              <w:t>1,057</w:t>
            </w:r>
          </w:p>
        </w:tc>
        <w:tc>
          <w:tcPr>
            <w:tcW w:w="832" w:type="pct"/>
            <w:noWrap/>
            <w:hideMark/>
          </w:tcPr>
          <w:p w14:paraId="47A393FA" w14:textId="77777777" w:rsidR="00BB3966" w:rsidRPr="00317F65" w:rsidRDefault="00BB3966" w:rsidP="00593FED">
            <w:pPr>
              <w:jc w:val="center"/>
              <w:rPr>
                <w:rFonts w:eastAsia="Times New Roman"/>
                <w:b/>
                <w:bCs/>
                <w:color w:val="000000"/>
              </w:rPr>
            </w:pPr>
            <w:r w:rsidRPr="00317F65">
              <w:rPr>
                <w:b/>
                <w:bCs/>
                <w:color w:val="000000"/>
              </w:rPr>
              <w:t>100.0%</w:t>
            </w:r>
          </w:p>
        </w:tc>
      </w:tr>
    </w:tbl>
    <w:p w14:paraId="118FE5E3" w14:textId="77777777" w:rsidR="00BB3966" w:rsidRPr="00317F65" w:rsidRDefault="00BB3966" w:rsidP="00BB3966">
      <w:pPr>
        <w:spacing w:before="240"/>
        <w:rPr>
          <w:b/>
        </w:rPr>
      </w:pPr>
    </w:p>
    <w:p w14:paraId="4DFA1938" w14:textId="77777777" w:rsidR="00BB3966" w:rsidRPr="00317F65" w:rsidRDefault="00BB3966">
      <w:pPr>
        <w:rPr>
          <w:b/>
        </w:rPr>
      </w:pPr>
      <w:r w:rsidRPr="00317F65">
        <w:rPr>
          <w:b/>
        </w:rPr>
        <w:br w:type="page"/>
      </w:r>
    </w:p>
    <w:p w14:paraId="24B59AE5" w14:textId="648E8D01" w:rsidR="00BB3966" w:rsidRPr="00317F65" w:rsidRDefault="00BB3966" w:rsidP="00BB3966">
      <w:pPr>
        <w:spacing w:before="240"/>
      </w:pPr>
      <w:r w:rsidRPr="00317F65">
        <w:rPr>
          <w:b/>
        </w:rPr>
        <w:lastRenderedPageBreak/>
        <w:t xml:space="preserve">Table </w:t>
      </w:r>
      <w:r w:rsidR="006F6AD5">
        <w:rPr>
          <w:b/>
        </w:rPr>
        <w:t>7</w:t>
      </w:r>
      <w:r w:rsidRPr="00317F65">
        <w:rPr>
          <w:b/>
        </w:rPr>
        <w:t>.</w:t>
      </w:r>
      <w:r w:rsidRPr="00317F65">
        <w:t xml:space="preserve"> Population and Respondent Distributions by Gender and Income</w:t>
      </w:r>
    </w:p>
    <w:tbl>
      <w:tblPr>
        <w:tblStyle w:val="TableGrid"/>
        <w:tblW w:w="5000" w:type="pct"/>
        <w:tblLook w:val="04A0" w:firstRow="1" w:lastRow="0" w:firstColumn="1" w:lastColumn="0" w:noHBand="0" w:noVBand="1"/>
      </w:tblPr>
      <w:tblGrid>
        <w:gridCol w:w="1513"/>
        <w:gridCol w:w="1783"/>
        <w:gridCol w:w="1513"/>
        <w:gridCol w:w="1515"/>
        <w:gridCol w:w="1514"/>
        <w:gridCol w:w="1512"/>
      </w:tblGrid>
      <w:tr w:rsidR="00BB3966" w:rsidRPr="00317F65" w14:paraId="5F194DED" w14:textId="77777777" w:rsidTr="007F6337">
        <w:trPr>
          <w:trHeight w:val="310"/>
        </w:trPr>
        <w:tc>
          <w:tcPr>
            <w:tcW w:w="833" w:type="pct"/>
            <w:noWrap/>
            <w:hideMark/>
          </w:tcPr>
          <w:p w14:paraId="66041131" w14:textId="77777777" w:rsidR="00BB3966" w:rsidRPr="00317F65" w:rsidRDefault="00BB3966" w:rsidP="00593FED">
            <w:pPr>
              <w:jc w:val="center"/>
              <w:rPr>
                <w:rFonts w:eastAsia="Times New Roman"/>
                <w:b/>
                <w:bCs/>
                <w:color w:val="000000"/>
              </w:rPr>
            </w:pPr>
            <w:r w:rsidRPr="00317F65">
              <w:rPr>
                <w:rFonts w:eastAsia="Times New Roman"/>
                <w:b/>
                <w:bCs/>
                <w:color w:val="000000"/>
              </w:rPr>
              <w:t>Gender</w:t>
            </w:r>
          </w:p>
        </w:tc>
        <w:tc>
          <w:tcPr>
            <w:tcW w:w="834" w:type="pct"/>
            <w:noWrap/>
            <w:hideMark/>
          </w:tcPr>
          <w:p w14:paraId="45146203" w14:textId="77777777" w:rsidR="00BB3966" w:rsidRPr="00317F65" w:rsidRDefault="00BB3966" w:rsidP="00593FED">
            <w:pPr>
              <w:jc w:val="center"/>
              <w:rPr>
                <w:rFonts w:eastAsia="Times New Roman"/>
                <w:b/>
                <w:bCs/>
                <w:color w:val="000000"/>
              </w:rPr>
            </w:pPr>
            <w:r w:rsidRPr="00317F65">
              <w:rPr>
                <w:rFonts w:eastAsia="Times New Roman"/>
                <w:b/>
                <w:bCs/>
                <w:color w:val="000000"/>
              </w:rPr>
              <w:t>Income</w:t>
            </w:r>
          </w:p>
        </w:tc>
        <w:tc>
          <w:tcPr>
            <w:tcW w:w="1667" w:type="pct"/>
            <w:gridSpan w:val="2"/>
            <w:noWrap/>
            <w:hideMark/>
          </w:tcPr>
          <w:p w14:paraId="3A00E56E" w14:textId="77777777" w:rsidR="00BB3966" w:rsidRPr="00317F65" w:rsidRDefault="00BB3966" w:rsidP="00593FED">
            <w:pPr>
              <w:jc w:val="center"/>
              <w:rPr>
                <w:rFonts w:eastAsia="Times New Roman"/>
                <w:b/>
                <w:bCs/>
                <w:color w:val="000000"/>
                <w:szCs w:val="20"/>
              </w:rPr>
            </w:pPr>
            <w:r w:rsidRPr="00317F65">
              <w:rPr>
                <w:rFonts w:eastAsia="Times New Roman"/>
                <w:b/>
                <w:bCs/>
                <w:color w:val="000000"/>
                <w:szCs w:val="20"/>
              </w:rPr>
              <w:t>Universe</w:t>
            </w:r>
          </w:p>
        </w:tc>
        <w:tc>
          <w:tcPr>
            <w:tcW w:w="1666" w:type="pct"/>
            <w:gridSpan w:val="2"/>
            <w:noWrap/>
            <w:hideMark/>
          </w:tcPr>
          <w:p w14:paraId="4F6E8CB8" w14:textId="77777777" w:rsidR="00BB3966" w:rsidRPr="00317F65" w:rsidRDefault="00BB3966" w:rsidP="00593FED">
            <w:pPr>
              <w:jc w:val="center"/>
              <w:rPr>
                <w:rFonts w:eastAsia="Times New Roman"/>
                <w:b/>
                <w:bCs/>
                <w:color w:val="000000"/>
              </w:rPr>
            </w:pPr>
            <w:r w:rsidRPr="00317F65">
              <w:rPr>
                <w:rFonts w:eastAsia="Times New Roman"/>
                <w:b/>
                <w:bCs/>
                <w:color w:val="000000"/>
              </w:rPr>
              <w:t>Respondents</w:t>
            </w:r>
          </w:p>
        </w:tc>
      </w:tr>
      <w:tr w:rsidR="00BB3966" w:rsidRPr="00317F65" w14:paraId="4E1977AD" w14:textId="77777777" w:rsidTr="007F6337">
        <w:trPr>
          <w:trHeight w:val="300"/>
        </w:trPr>
        <w:tc>
          <w:tcPr>
            <w:tcW w:w="833" w:type="pct"/>
            <w:vMerge w:val="restart"/>
            <w:noWrap/>
            <w:hideMark/>
          </w:tcPr>
          <w:p w14:paraId="68CF6A31" w14:textId="77777777" w:rsidR="00BB3966" w:rsidRPr="00317F65" w:rsidRDefault="00BB3966" w:rsidP="00593FED">
            <w:pPr>
              <w:jc w:val="center"/>
              <w:rPr>
                <w:rFonts w:eastAsia="Times New Roman"/>
                <w:color w:val="000000"/>
              </w:rPr>
            </w:pPr>
            <w:r w:rsidRPr="00317F65">
              <w:rPr>
                <w:rFonts w:eastAsia="Times New Roman"/>
                <w:color w:val="000000"/>
              </w:rPr>
              <w:t>Male</w:t>
            </w:r>
          </w:p>
        </w:tc>
        <w:tc>
          <w:tcPr>
            <w:tcW w:w="834" w:type="pct"/>
            <w:noWrap/>
            <w:hideMark/>
          </w:tcPr>
          <w:p w14:paraId="7829C59F" w14:textId="77777777" w:rsidR="00BB3966" w:rsidRPr="00317F65" w:rsidRDefault="00BB3966" w:rsidP="00593FED">
            <w:pPr>
              <w:rPr>
                <w:rFonts w:eastAsia="Times New Roman"/>
                <w:color w:val="000000"/>
                <w:szCs w:val="20"/>
              </w:rPr>
            </w:pPr>
            <w:r w:rsidRPr="00317F65">
              <w:rPr>
                <w:rFonts w:eastAsia="Times New Roman"/>
                <w:color w:val="000000"/>
                <w:szCs w:val="20"/>
              </w:rPr>
              <w:t xml:space="preserve">Less than $15K  </w:t>
            </w:r>
          </w:p>
        </w:tc>
        <w:tc>
          <w:tcPr>
            <w:tcW w:w="833" w:type="pct"/>
            <w:noWrap/>
            <w:hideMark/>
          </w:tcPr>
          <w:p w14:paraId="758F4D35" w14:textId="77777777" w:rsidR="00BB3966" w:rsidRPr="00317F65" w:rsidRDefault="00BB3966" w:rsidP="00593FED">
            <w:pPr>
              <w:jc w:val="center"/>
              <w:rPr>
                <w:rFonts w:eastAsia="Times New Roman"/>
                <w:color w:val="000000"/>
              </w:rPr>
            </w:pPr>
            <w:r w:rsidRPr="00317F65">
              <w:rPr>
                <w:rFonts w:eastAsia="Times New Roman"/>
                <w:color w:val="000000"/>
              </w:rPr>
              <w:t>760,945</w:t>
            </w:r>
          </w:p>
        </w:tc>
        <w:tc>
          <w:tcPr>
            <w:tcW w:w="834" w:type="pct"/>
            <w:noWrap/>
            <w:hideMark/>
          </w:tcPr>
          <w:p w14:paraId="1591F28D" w14:textId="77777777" w:rsidR="00BB3966" w:rsidRPr="00317F65" w:rsidRDefault="00BB3966" w:rsidP="00593FED">
            <w:pPr>
              <w:jc w:val="center"/>
              <w:rPr>
                <w:rFonts w:eastAsia="Times New Roman"/>
                <w:color w:val="000000"/>
              </w:rPr>
            </w:pPr>
            <w:r w:rsidRPr="00317F65">
              <w:rPr>
                <w:rFonts w:eastAsia="Times New Roman"/>
                <w:color w:val="000000"/>
              </w:rPr>
              <w:t>2.5%</w:t>
            </w:r>
          </w:p>
        </w:tc>
        <w:tc>
          <w:tcPr>
            <w:tcW w:w="833" w:type="pct"/>
            <w:noWrap/>
            <w:hideMark/>
          </w:tcPr>
          <w:p w14:paraId="1B12CE49" w14:textId="77777777" w:rsidR="00BB3966" w:rsidRPr="00317F65" w:rsidRDefault="00BB3966" w:rsidP="00593FED">
            <w:pPr>
              <w:jc w:val="center"/>
              <w:rPr>
                <w:rFonts w:eastAsia="Times New Roman"/>
                <w:color w:val="000000"/>
              </w:rPr>
            </w:pPr>
            <w:r w:rsidRPr="00317F65">
              <w:rPr>
                <w:color w:val="000000"/>
              </w:rPr>
              <w:t>21</w:t>
            </w:r>
          </w:p>
        </w:tc>
        <w:tc>
          <w:tcPr>
            <w:tcW w:w="833" w:type="pct"/>
            <w:noWrap/>
            <w:hideMark/>
          </w:tcPr>
          <w:p w14:paraId="3B808FCD" w14:textId="77777777" w:rsidR="00BB3966" w:rsidRPr="00317F65" w:rsidRDefault="00BB3966" w:rsidP="00593FED">
            <w:pPr>
              <w:jc w:val="center"/>
              <w:rPr>
                <w:rFonts w:eastAsia="Times New Roman"/>
                <w:color w:val="000000"/>
              </w:rPr>
            </w:pPr>
            <w:r w:rsidRPr="00317F65">
              <w:rPr>
                <w:color w:val="000000"/>
              </w:rPr>
              <w:t>2.0%</w:t>
            </w:r>
          </w:p>
        </w:tc>
      </w:tr>
      <w:tr w:rsidR="00BB3966" w:rsidRPr="00317F65" w14:paraId="3D06DCF7" w14:textId="77777777" w:rsidTr="007F6337">
        <w:trPr>
          <w:trHeight w:val="290"/>
        </w:trPr>
        <w:tc>
          <w:tcPr>
            <w:tcW w:w="833" w:type="pct"/>
            <w:vMerge/>
            <w:hideMark/>
          </w:tcPr>
          <w:p w14:paraId="4210F746" w14:textId="77777777" w:rsidR="00BB3966" w:rsidRPr="00317F65" w:rsidRDefault="00BB3966" w:rsidP="00593FED">
            <w:pPr>
              <w:rPr>
                <w:rFonts w:eastAsia="Times New Roman"/>
                <w:color w:val="000000"/>
              </w:rPr>
            </w:pPr>
          </w:p>
        </w:tc>
        <w:tc>
          <w:tcPr>
            <w:tcW w:w="834" w:type="pct"/>
            <w:noWrap/>
            <w:hideMark/>
          </w:tcPr>
          <w:p w14:paraId="1FEB0097" w14:textId="77777777" w:rsidR="00BB3966" w:rsidRPr="00317F65" w:rsidRDefault="00BB3966" w:rsidP="00593FED">
            <w:pPr>
              <w:rPr>
                <w:rFonts w:eastAsia="Times New Roman"/>
                <w:color w:val="000000"/>
                <w:szCs w:val="20"/>
              </w:rPr>
            </w:pPr>
            <w:r w:rsidRPr="00317F65">
              <w:rPr>
                <w:rFonts w:eastAsia="Times New Roman"/>
                <w:color w:val="000000"/>
                <w:szCs w:val="20"/>
              </w:rPr>
              <w:t xml:space="preserve">$15K-$20K  </w:t>
            </w:r>
          </w:p>
        </w:tc>
        <w:tc>
          <w:tcPr>
            <w:tcW w:w="833" w:type="pct"/>
            <w:noWrap/>
            <w:hideMark/>
          </w:tcPr>
          <w:p w14:paraId="15825143" w14:textId="77777777" w:rsidR="00BB3966" w:rsidRPr="00317F65" w:rsidRDefault="00BB3966" w:rsidP="00593FED">
            <w:pPr>
              <w:jc w:val="center"/>
              <w:rPr>
                <w:rFonts w:eastAsia="Times New Roman"/>
                <w:color w:val="000000"/>
              </w:rPr>
            </w:pPr>
            <w:r w:rsidRPr="00317F65">
              <w:rPr>
                <w:rFonts w:eastAsia="Times New Roman"/>
                <w:color w:val="000000"/>
              </w:rPr>
              <w:t>363,919</w:t>
            </w:r>
          </w:p>
        </w:tc>
        <w:tc>
          <w:tcPr>
            <w:tcW w:w="834" w:type="pct"/>
            <w:noWrap/>
            <w:hideMark/>
          </w:tcPr>
          <w:p w14:paraId="437437DA" w14:textId="77777777" w:rsidR="00BB3966" w:rsidRPr="00317F65" w:rsidRDefault="00BB3966" w:rsidP="00593FED">
            <w:pPr>
              <w:jc w:val="center"/>
              <w:rPr>
                <w:rFonts w:eastAsia="Times New Roman"/>
                <w:color w:val="000000"/>
              </w:rPr>
            </w:pPr>
            <w:r w:rsidRPr="00317F65">
              <w:rPr>
                <w:rFonts w:eastAsia="Times New Roman"/>
                <w:color w:val="000000"/>
              </w:rPr>
              <w:t>1.2%</w:t>
            </w:r>
          </w:p>
        </w:tc>
        <w:tc>
          <w:tcPr>
            <w:tcW w:w="833" w:type="pct"/>
            <w:noWrap/>
            <w:hideMark/>
          </w:tcPr>
          <w:p w14:paraId="5C8F8F18" w14:textId="77777777" w:rsidR="00BB3966" w:rsidRPr="00317F65" w:rsidRDefault="00BB3966" w:rsidP="00593FED">
            <w:pPr>
              <w:jc w:val="center"/>
              <w:rPr>
                <w:rFonts w:eastAsia="Times New Roman"/>
                <w:color w:val="000000"/>
              </w:rPr>
            </w:pPr>
            <w:r w:rsidRPr="00317F65">
              <w:rPr>
                <w:color w:val="000000"/>
              </w:rPr>
              <w:t>10</w:t>
            </w:r>
          </w:p>
        </w:tc>
        <w:tc>
          <w:tcPr>
            <w:tcW w:w="833" w:type="pct"/>
            <w:noWrap/>
            <w:hideMark/>
          </w:tcPr>
          <w:p w14:paraId="0A7170F3" w14:textId="77777777" w:rsidR="00BB3966" w:rsidRPr="00317F65" w:rsidRDefault="00BB3966" w:rsidP="00593FED">
            <w:pPr>
              <w:jc w:val="center"/>
              <w:rPr>
                <w:rFonts w:eastAsia="Times New Roman"/>
                <w:color w:val="000000"/>
              </w:rPr>
            </w:pPr>
            <w:r w:rsidRPr="00317F65">
              <w:rPr>
                <w:color w:val="000000"/>
              </w:rPr>
              <w:t>0.9%</w:t>
            </w:r>
          </w:p>
        </w:tc>
      </w:tr>
      <w:tr w:rsidR="00BB3966" w:rsidRPr="00317F65" w14:paraId="47380CD5" w14:textId="77777777" w:rsidTr="007F6337">
        <w:trPr>
          <w:trHeight w:val="290"/>
        </w:trPr>
        <w:tc>
          <w:tcPr>
            <w:tcW w:w="833" w:type="pct"/>
            <w:vMerge/>
            <w:hideMark/>
          </w:tcPr>
          <w:p w14:paraId="4B57BC88" w14:textId="77777777" w:rsidR="00BB3966" w:rsidRPr="00317F65" w:rsidRDefault="00BB3966" w:rsidP="00593FED">
            <w:pPr>
              <w:rPr>
                <w:rFonts w:eastAsia="Times New Roman"/>
                <w:color w:val="000000"/>
              </w:rPr>
            </w:pPr>
          </w:p>
        </w:tc>
        <w:tc>
          <w:tcPr>
            <w:tcW w:w="834" w:type="pct"/>
            <w:noWrap/>
            <w:hideMark/>
          </w:tcPr>
          <w:p w14:paraId="7FE88E36" w14:textId="77777777" w:rsidR="00BB3966" w:rsidRPr="00317F65" w:rsidRDefault="00BB3966" w:rsidP="00593FED">
            <w:pPr>
              <w:rPr>
                <w:rFonts w:eastAsia="Times New Roman"/>
                <w:color w:val="000000"/>
                <w:szCs w:val="20"/>
              </w:rPr>
            </w:pPr>
            <w:r w:rsidRPr="00317F65">
              <w:rPr>
                <w:rFonts w:eastAsia="Times New Roman"/>
                <w:color w:val="000000"/>
                <w:szCs w:val="20"/>
              </w:rPr>
              <w:t xml:space="preserve">$20K-$25K  </w:t>
            </w:r>
          </w:p>
        </w:tc>
        <w:tc>
          <w:tcPr>
            <w:tcW w:w="833" w:type="pct"/>
            <w:noWrap/>
            <w:hideMark/>
          </w:tcPr>
          <w:p w14:paraId="17A4A189" w14:textId="77777777" w:rsidR="00BB3966" w:rsidRPr="00317F65" w:rsidRDefault="00BB3966" w:rsidP="00593FED">
            <w:pPr>
              <w:jc w:val="center"/>
              <w:rPr>
                <w:rFonts w:eastAsia="Times New Roman"/>
                <w:color w:val="000000"/>
              </w:rPr>
            </w:pPr>
            <w:r w:rsidRPr="00317F65">
              <w:rPr>
                <w:rFonts w:eastAsia="Times New Roman"/>
                <w:color w:val="000000"/>
              </w:rPr>
              <w:t>393,413</w:t>
            </w:r>
          </w:p>
        </w:tc>
        <w:tc>
          <w:tcPr>
            <w:tcW w:w="834" w:type="pct"/>
            <w:noWrap/>
            <w:hideMark/>
          </w:tcPr>
          <w:p w14:paraId="21D5B83F" w14:textId="77777777" w:rsidR="00BB3966" w:rsidRPr="00317F65" w:rsidRDefault="00BB3966" w:rsidP="00593FED">
            <w:pPr>
              <w:jc w:val="center"/>
              <w:rPr>
                <w:rFonts w:eastAsia="Times New Roman"/>
                <w:color w:val="000000"/>
              </w:rPr>
            </w:pPr>
            <w:r w:rsidRPr="00317F65">
              <w:rPr>
                <w:rFonts w:eastAsia="Times New Roman"/>
                <w:color w:val="000000"/>
              </w:rPr>
              <w:t>1.3%</w:t>
            </w:r>
          </w:p>
        </w:tc>
        <w:tc>
          <w:tcPr>
            <w:tcW w:w="833" w:type="pct"/>
            <w:noWrap/>
            <w:hideMark/>
          </w:tcPr>
          <w:p w14:paraId="1F0A1A90" w14:textId="77777777" w:rsidR="00BB3966" w:rsidRPr="00317F65" w:rsidRDefault="00BB3966" w:rsidP="00593FED">
            <w:pPr>
              <w:jc w:val="center"/>
              <w:rPr>
                <w:rFonts w:eastAsia="Times New Roman"/>
                <w:color w:val="000000"/>
              </w:rPr>
            </w:pPr>
            <w:r w:rsidRPr="00317F65">
              <w:rPr>
                <w:color w:val="000000"/>
              </w:rPr>
              <w:t>9</w:t>
            </w:r>
          </w:p>
        </w:tc>
        <w:tc>
          <w:tcPr>
            <w:tcW w:w="833" w:type="pct"/>
            <w:noWrap/>
            <w:hideMark/>
          </w:tcPr>
          <w:p w14:paraId="61A9B956" w14:textId="77777777" w:rsidR="00BB3966" w:rsidRPr="00317F65" w:rsidRDefault="00BB3966" w:rsidP="00593FED">
            <w:pPr>
              <w:jc w:val="center"/>
              <w:rPr>
                <w:rFonts w:eastAsia="Times New Roman"/>
                <w:color w:val="000000"/>
              </w:rPr>
            </w:pPr>
            <w:r w:rsidRPr="00317F65">
              <w:rPr>
                <w:color w:val="000000"/>
              </w:rPr>
              <w:t>0.9%</w:t>
            </w:r>
          </w:p>
        </w:tc>
      </w:tr>
      <w:tr w:rsidR="00BB3966" w:rsidRPr="00317F65" w14:paraId="0997A9AE" w14:textId="77777777" w:rsidTr="007F6337">
        <w:trPr>
          <w:trHeight w:val="290"/>
        </w:trPr>
        <w:tc>
          <w:tcPr>
            <w:tcW w:w="833" w:type="pct"/>
            <w:vMerge/>
            <w:hideMark/>
          </w:tcPr>
          <w:p w14:paraId="4C511322" w14:textId="77777777" w:rsidR="00BB3966" w:rsidRPr="00317F65" w:rsidRDefault="00BB3966" w:rsidP="00593FED">
            <w:pPr>
              <w:rPr>
                <w:rFonts w:eastAsia="Times New Roman"/>
                <w:color w:val="000000"/>
              </w:rPr>
            </w:pPr>
          </w:p>
        </w:tc>
        <w:tc>
          <w:tcPr>
            <w:tcW w:w="834" w:type="pct"/>
            <w:noWrap/>
            <w:hideMark/>
          </w:tcPr>
          <w:p w14:paraId="5D57CB54" w14:textId="77777777" w:rsidR="00BB3966" w:rsidRPr="00317F65" w:rsidRDefault="00BB3966" w:rsidP="00593FED">
            <w:pPr>
              <w:rPr>
                <w:rFonts w:eastAsia="Times New Roman"/>
                <w:color w:val="000000"/>
                <w:szCs w:val="20"/>
              </w:rPr>
            </w:pPr>
            <w:r w:rsidRPr="00317F65">
              <w:rPr>
                <w:rFonts w:eastAsia="Times New Roman"/>
                <w:color w:val="000000"/>
                <w:szCs w:val="20"/>
              </w:rPr>
              <w:t xml:space="preserve">$25K-$30K  </w:t>
            </w:r>
          </w:p>
        </w:tc>
        <w:tc>
          <w:tcPr>
            <w:tcW w:w="833" w:type="pct"/>
            <w:noWrap/>
            <w:hideMark/>
          </w:tcPr>
          <w:p w14:paraId="0C203667" w14:textId="77777777" w:rsidR="00BB3966" w:rsidRPr="00317F65" w:rsidRDefault="00BB3966" w:rsidP="00593FED">
            <w:pPr>
              <w:jc w:val="center"/>
              <w:rPr>
                <w:rFonts w:eastAsia="Times New Roman"/>
                <w:color w:val="000000"/>
              </w:rPr>
            </w:pPr>
            <w:r w:rsidRPr="00317F65">
              <w:rPr>
                <w:rFonts w:eastAsia="Times New Roman"/>
                <w:color w:val="000000"/>
              </w:rPr>
              <w:t>363,984</w:t>
            </w:r>
          </w:p>
        </w:tc>
        <w:tc>
          <w:tcPr>
            <w:tcW w:w="834" w:type="pct"/>
            <w:noWrap/>
            <w:hideMark/>
          </w:tcPr>
          <w:p w14:paraId="4AD3BB93" w14:textId="77777777" w:rsidR="00BB3966" w:rsidRPr="00317F65" w:rsidRDefault="00BB3966" w:rsidP="00593FED">
            <w:pPr>
              <w:jc w:val="center"/>
              <w:rPr>
                <w:rFonts w:eastAsia="Times New Roman"/>
                <w:color w:val="000000"/>
              </w:rPr>
            </w:pPr>
            <w:r w:rsidRPr="00317F65">
              <w:rPr>
                <w:rFonts w:eastAsia="Times New Roman"/>
                <w:color w:val="000000"/>
              </w:rPr>
              <w:t>1.2%</w:t>
            </w:r>
          </w:p>
        </w:tc>
        <w:tc>
          <w:tcPr>
            <w:tcW w:w="833" w:type="pct"/>
            <w:noWrap/>
            <w:hideMark/>
          </w:tcPr>
          <w:p w14:paraId="37CFCC0C" w14:textId="77777777" w:rsidR="00BB3966" w:rsidRPr="00317F65" w:rsidRDefault="00BB3966" w:rsidP="00593FED">
            <w:pPr>
              <w:jc w:val="center"/>
              <w:rPr>
                <w:rFonts w:eastAsia="Times New Roman"/>
                <w:color w:val="000000"/>
              </w:rPr>
            </w:pPr>
            <w:r w:rsidRPr="00317F65">
              <w:rPr>
                <w:color w:val="000000"/>
              </w:rPr>
              <w:t>23</w:t>
            </w:r>
          </w:p>
        </w:tc>
        <w:tc>
          <w:tcPr>
            <w:tcW w:w="833" w:type="pct"/>
            <w:noWrap/>
            <w:hideMark/>
          </w:tcPr>
          <w:p w14:paraId="39D3B370" w14:textId="77777777" w:rsidR="00BB3966" w:rsidRPr="00317F65" w:rsidRDefault="00BB3966" w:rsidP="00593FED">
            <w:pPr>
              <w:jc w:val="center"/>
              <w:rPr>
                <w:rFonts w:eastAsia="Times New Roman"/>
                <w:color w:val="000000"/>
              </w:rPr>
            </w:pPr>
            <w:r w:rsidRPr="00317F65">
              <w:rPr>
                <w:color w:val="000000"/>
              </w:rPr>
              <w:t>2.2%</w:t>
            </w:r>
          </w:p>
        </w:tc>
      </w:tr>
      <w:tr w:rsidR="00BB3966" w:rsidRPr="00317F65" w14:paraId="69511853" w14:textId="77777777" w:rsidTr="007F6337">
        <w:trPr>
          <w:trHeight w:val="290"/>
        </w:trPr>
        <w:tc>
          <w:tcPr>
            <w:tcW w:w="833" w:type="pct"/>
            <w:vMerge/>
            <w:hideMark/>
          </w:tcPr>
          <w:p w14:paraId="1A553175" w14:textId="77777777" w:rsidR="00BB3966" w:rsidRPr="00317F65" w:rsidRDefault="00BB3966" w:rsidP="00593FED">
            <w:pPr>
              <w:rPr>
                <w:rFonts w:eastAsia="Times New Roman"/>
                <w:color w:val="000000"/>
              </w:rPr>
            </w:pPr>
          </w:p>
        </w:tc>
        <w:tc>
          <w:tcPr>
            <w:tcW w:w="834" w:type="pct"/>
            <w:noWrap/>
            <w:hideMark/>
          </w:tcPr>
          <w:p w14:paraId="515726A7" w14:textId="77777777" w:rsidR="00BB3966" w:rsidRPr="00317F65" w:rsidRDefault="00BB3966" w:rsidP="00593FED">
            <w:pPr>
              <w:rPr>
                <w:rFonts w:eastAsia="Times New Roman"/>
                <w:color w:val="000000"/>
                <w:szCs w:val="20"/>
              </w:rPr>
            </w:pPr>
            <w:r w:rsidRPr="00317F65">
              <w:rPr>
                <w:rFonts w:eastAsia="Times New Roman"/>
                <w:color w:val="000000"/>
                <w:szCs w:val="20"/>
              </w:rPr>
              <w:t xml:space="preserve">$30K-$40K  </w:t>
            </w:r>
          </w:p>
        </w:tc>
        <w:tc>
          <w:tcPr>
            <w:tcW w:w="833" w:type="pct"/>
            <w:noWrap/>
            <w:hideMark/>
          </w:tcPr>
          <w:p w14:paraId="1772A3A5" w14:textId="77777777" w:rsidR="00BB3966" w:rsidRPr="00317F65" w:rsidRDefault="00BB3966" w:rsidP="00593FED">
            <w:pPr>
              <w:jc w:val="center"/>
              <w:rPr>
                <w:rFonts w:eastAsia="Times New Roman"/>
                <w:color w:val="000000"/>
              </w:rPr>
            </w:pPr>
            <w:r w:rsidRPr="00317F65">
              <w:rPr>
                <w:rFonts w:eastAsia="Times New Roman"/>
                <w:color w:val="000000"/>
              </w:rPr>
              <w:t>786,443</w:t>
            </w:r>
          </w:p>
        </w:tc>
        <w:tc>
          <w:tcPr>
            <w:tcW w:w="834" w:type="pct"/>
            <w:noWrap/>
            <w:hideMark/>
          </w:tcPr>
          <w:p w14:paraId="23FCB5A7" w14:textId="77777777" w:rsidR="00BB3966" w:rsidRPr="00317F65" w:rsidRDefault="00BB3966" w:rsidP="00593FED">
            <w:pPr>
              <w:jc w:val="center"/>
              <w:rPr>
                <w:rFonts w:eastAsia="Times New Roman"/>
                <w:color w:val="000000"/>
              </w:rPr>
            </w:pPr>
            <w:r w:rsidRPr="00317F65">
              <w:rPr>
                <w:rFonts w:eastAsia="Times New Roman"/>
                <w:color w:val="000000"/>
              </w:rPr>
              <w:t>2.6%</w:t>
            </w:r>
          </w:p>
        </w:tc>
        <w:tc>
          <w:tcPr>
            <w:tcW w:w="833" w:type="pct"/>
            <w:noWrap/>
            <w:hideMark/>
          </w:tcPr>
          <w:p w14:paraId="30D190CD" w14:textId="77777777" w:rsidR="00BB3966" w:rsidRPr="00317F65" w:rsidRDefault="00BB3966" w:rsidP="00593FED">
            <w:pPr>
              <w:jc w:val="center"/>
              <w:rPr>
                <w:rFonts w:eastAsia="Times New Roman"/>
                <w:color w:val="000000"/>
              </w:rPr>
            </w:pPr>
            <w:r w:rsidRPr="00317F65">
              <w:rPr>
                <w:color w:val="000000"/>
              </w:rPr>
              <w:t>14</w:t>
            </w:r>
          </w:p>
        </w:tc>
        <w:tc>
          <w:tcPr>
            <w:tcW w:w="833" w:type="pct"/>
            <w:noWrap/>
            <w:hideMark/>
          </w:tcPr>
          <w:p w14:paraId="72ACC6BC" w14:textId="77777777" w:rsidR="00BB3966" w:rsidRPr="00317F65" w:rsidRDefault="00BB3966" w:rsidP="00593FED">
            <w:pPr>
              <w:jc w:val="center"/>
              <w:rPr>
                <w:rFonts w:eastAsia="Times New Roman"/>
                <w:color w:val="000000"/>
              </w:rPr>
            </w:pPr>
            <w:r w:rsidRPr="00317F65">
              <w:rPr>
                <w:color w:val="000000"/>
              </w:rPr>
              <w:t>1.3%</w:t>
            </w:r>
          </w:p>
        </w:tc>
      </w:tr>
      <w:tr w:rsidR="00BB3966" w:rsidRPr="00317F65" w14:paraId="3A27C372" w14:textId="77777777" w:rsidTr="007F6337">
        <w:trPr>
          <w:trHeight w:val="290"/>
        </w:trPr>
        <w:tc>
          <w:tcPr>
            <w:tcW w:w="833" w:type="pct"/>
            <w:vMerge/>
            <w:hideMark/>
          </w:tcPr>
          <w:p w14:paraId="671F1612" w14:textId="77777777" w:rsidR="00BB3966" w:rsidRPr="00317F65" w:rsidRDefault="00BB3966" w:rsidP="00593FED">
            <w:pPr>
              <w:rPr>
                <w:rFonts w:eastAsia="Times New Roman"/>
                <w:color w:val="000000"/>
              </w:rPr>
            </w:pPr>
          </w:p>
        </w:tc>
        <w:tc>
          <w:tcPr>
            <w:tcW w:w="834" w:type="pct"/>
            <w:noWrap/>
            <w:hideMark/>
          </w:tcPr>
          <w:p w14:paraId="2E9E9C4A" w14:textId="77777777" w:rsidR="00BB3966" w:rsidRPr="00317F65" w:rsidRDefault="00BB3966" w:rsidP="00593FED">
            <w:pPr>
              <w:rPr>
                <w:rFonts w:eastAsia="Times New Roman"/>
                <w:color w:val="000000"/>
                <w:szCs w:val="20"/>
              </w:rPr>
            </w:pPr>
            <w:r w:rsidRPr="00317F65">
              <w:rPr>
                <w:rFonts w:eastAsia="Times New Roman"/>
                <w:color w:val="000000"/>
                <w:szCs w:val="20"/>
              </w:rPr>
              <w:t>$40K-50K</w:t>
            </w:r>
          </w:p>
        </w:tc>
        <w:tc>
          <w:tcPr>
            <w:tcW w:w="833" w:type="pct"/>
            <w:noWrap/>
            <w:hideMark/>
          </w:tcPr>
          <w:p w14:paraId="15DE7E01" w14:textId="77777777" w:rsidR="00BB3966" w:rsidRPr="00317F65" w:rsidRDefault="00BB3966" w:rsidP="00593FED">
            <w:pPr>
              <w:jc w:val="center"/>
              <w:rPr>
                <w:rFonts w:eastAsia="Times New Roman"/>
                <w:color w:val="000000"/>
              </w:rPr>
            </w:pPr>
            <w:r w:rsidRPr="00317F65">
              <w:rPr>
                <w:rFonts w:eastAsia="Times New Roman"/>
                <w:color w:val="000000"/>
              </w:rPr>
              <w:t>937,864</w:t>
            </w:r>
          </w:p>
        </w:tc>
        <w:tc>
          <w:tcPr>
            <w:tcW w:w="834" w:type="pct"/>
            <w:noWrap/>
            <w:hideMark/>
          </w:tcPr>
          <w:p w14:paraId="1394ABE8" w14:textId="77777777" w:rsidR="00BB3966" w:rsidRPr="00317F65" w:rsidRDefault="00BB3966" w:rsidP="00593FED">
            <w:pPr>
              <w:jc w:val="center"/>
              <w:rPr>
                <w:rFonts w:eastAsia="Times New Roman"/>
                <w:color w:val="000000"/>
              </w:rPr>
            </w:pPr>
            <w:r w:rsidRPr="00317F65">
              <w:rPr>
                <w:rFonts w:eastAsia="Times New Roman"/>
                <w:color w:val="000000"/>
              </w:rPr>
              <w:t>3.1%</w:t>
            </w:r>
          </w:p>
        </w:tc>
        <w:tc>
          <w:tcPr>
            <w:tcW w:w="833" w:type="pct"/>
            <w:noWrap/>
            <w:hideMark/>
          </w:tcPr>
          <w:p w14:paraId="499397F5" w14:textId="77777777" w:rsidR="00BB3966" w:rsidRPr="00317F65" w:rsidRDefault="00BB3966" w:rsidP="00593FED">
            <w:pPr>
              <w:jc w:val="center"/>
              <w:rPr>
                <w:rFonts w:eastAsia="Times New Roman"/>
                <w:color w:val="000000"/>
              </w:rPr>
            </w:pPr>
            <w:r w:rsidRPr="00317F65">
              <w:rPr>
                <w:color w:val="000000"/>
              </w:rPr>
              <w:t>28</w:t>
            </w:r>
          </w:p>
        </w:tc>
        <w:tc>
          <w:tcPr>
            <w:tcW w:w="833" w:type="pct"/>
            <w:noWrap/>
            <w:hideMark/>
          </w:tcPr>
          <w:p w14:paraId="3E396014" w14:textId="77777777" w:rsidR="00BB3966" w:rsidRPr="00317F65" w:rsidRDefault="00BB3966" w:rsidP="00593FED">
            <w:pPr>
              <w:jc w:val="center"/>
              <w:rPr>
                <w:rFonts w:eastAsia="Times New Roman"/>
                <w:color w:val="000000"/>
              </w:rPr>
            </w:pPr>
            <w:r w:rsidRPr="00317F65">
              <w:rPr>
                <w:color w:val="000000"/>
              </w:rPr>
              <w:t>2.6%</w:t>
            </w:r>
          </w:p>
        </w:tc>
      </w:tr>
      <w:tr w:rsidR="00BB3966" w:rsidRPr="00317F65" w14:paraId="3844E902" w14:textId="77777777" w:rsidTr="007F6337">
        <w:trPr>
          <w:trHeight w:val="290"/>
        </w:trPr>
        <w:tc>
          <w:tcPr>
            <w:tcW w:w="833" w:type="pct"/>
            <w:vMerge/>
            <w:hideMark/>
          </w:tcPr>
          <w:p w14:paraId="2281C0A3" w14:textId="77777777" w:rsidR="00BB3966" w:rsidRPr="00317F65" w:rsidRDefault="00BB3966" w:rsidP="00593FED">
            <w:pPr>
              <w:rPr>
                <w:rFonts w:eastAsia="Times New Roman"/>
                <w:color w:val="000000"/>
              </w:rPr>
            </w:pPr>
          </w:p>
        </w:tc>
        <w:tc>
          <w:tcPr>
            <w:tcW w:w="834" w:type="pct"/>
            <w:noWrap/>
            <w:hideMark/>
          </w:tcPr>
          <w:p w14:paraId="66C7E6FC" w14:textId="77777777" w:rsidR="00BB3966" w:rsidRPr="00317F65" w:rsidRDefault="00BB3966" w:rsidP="00593FED">
            <w:pPr>
              <w:rPr>
                <w:rFonts w:eastAsia="Times New Roman"/>
                <w:color w:val="000000"/>
                <w:szCs w:val="20"/>
              </w:rPr>
            </w:pPr>
            <w:r w:rsidRPr="00317F65">
              <w:rPr>
                <w:rFonts w:eastAsia="Times New Roman"/>
                <w:color w:val="000000"/>
                <w:szCs w:val="20"/>
              </w:rPr>
              <w:t xml:space="preserve">$50K-$75K  </w:t>
            </w:r>
          </w:p>
        </w:tc>
        <w:tc>
          <w:tcPr>
            <w:tcW w:w="833" w:type="pct"/>
            <w:noWrap/>
            <w:hideMark/>
          </w:tcPr>
          <w:p w14:paraId="1DF52D1D" w14:textId="77777777" w:rsidR="00BB3966" w:rsidRPr="00317F65" w:rsidRDefault="00BB3966" w:rsidP="00593FED">
            <w:pPr>
              <w:jc w:val="center"/>
              <w:rPr>
                <w:rFonts w:eastAsia="Times New Roman"/>
                <w:color w:val="000000"/>
              </w:rPr>
            </w:pPr>
            <w:r w:rsidRPr="00317F65">
              <w:rPr>
                <w:rFonts w:eastAsia="Times New Roman"/>
                <w:color w:val="000000"/>
              </w:rPr>
              <w:t>2,323,455</w:t>
            </w:r>
          </w:p>
        </w:tc>
        <w:tc>
          <w:tcPr>
            <w:tcW w:w="834" w:type="pct"/>
            <w:noWrap/>
            <w:hideMark/>
          </w:tcPr>
          <w:p w14:paraId="61D063A9" w14:textId="77777777" w:rsidR="00BB3966" w:rsidRPr="00317F65" w:rsidRDefault="00BB3966" w:rsidP="00593FED">
            <w:pPr>
              <w:jc w:val="center"/>
              <w:rPr>
                <w:rFonts w:eastAsia="Times New Roman"/>
                <w:color w:val="000000"/>
              </w:rPr>
            </w:pPr>
            <w:r w:rsidRPr="00317F65">
              <w:rPr>
                <w:rFonts w:eastAsia="Times New Roman"/>
                <w:color w:val="000000"/>
              </w:rPr>
              <w:t>7.6%</w:t>
            </w:r>
          </w:p>
        </w:tc>
        <w:tc>
          <w:tcPr>
            <w:tcW w:w="833" w:type="pct"/>
            <w:noWrap/>
            <w:hideMark/>
          </w:tcPr>
          <w:p w14:paraId="128C3818" w14:textId="77777777" w:rsidR="00BB3966" w:rsidRPr="00317F65" w:rsidRDefault="00BB3966" w:rsidP="00593FED">
            <w:pPr>
              <w:jc w:val="center"/>
              <w:rPr>
                <w:rFonts w:eastAsia="Times New Roman"/>
                <w:color w:val="000000"/>
              </w:rPr>
            </w:pPr>
            <w:r w:rsidRPr="00317F65">
              <w:rPr>
                <w:color w:val="000000"/>
              </w:rPr>
              <w:t>74</w:t>
            </w:r>
          </w:p>
        </w:tc>
        <w:tc>
          <w:tcPr>
            <w:tcW w:w="833" w:type="pct"/>
            <w:noWrap/>
            <w:hideMark/>
          </w:tcPr>
          <w:p w14:paraId="2850A133" w14:textId="77777777" w:rsidR="00BB3966" w:rsidRPr="00317F65" w:rsidRDefault="00BB3966" w:rsidP="00593FED">
            <w:pPr>
              <w:jc w:val="center"/>
              <w:rPr>
                <w:rFonts w:eastAsia="Times New Roman"/>
                <w:color w:val="000000"/>
              </w:rPr>
            </w:pPr>
            <w:r w:rsidRPr="00317F65">
              <w:rPr>
                <w:color w:val="000000"/>
              </w:rPr>
              <w:t>7.0%</w:t>
            </w:r>
          </w:p>
        </w:tc>
      </w:tr>
      <w:tr w:rsidR="00BB3966" w:rsidRPr="00317F65" w14:paraId="282A4FF5" w14:textId="77777777" w:rsidTr="007F6337">
        <w:trPr>
          <w:trHeight w:val="290"/>
        </w:trPr>
        <w:tc>
          <w:tcPr>
            <w:tcW w:w="833" w:type="pct"/>
            <w:vMerge/>
            <w:hideMark/>
          </w:tcPr>
          <w:p w14:paraId="46ABD681" w14:textId="77777777" w:rsidR="00BB3966" w:rsidRPr="00317F65" w:rsidRDefault="00BB3966" w:rsidP="00593FED">
            <w:pPr>
              <w:rPr>
                <w:rFonts w:eastAsia="Times New Roman"/>
                <w:color w:val="000000"/>
              </w:rPr>
            </w:pPr>
          </w:p>
        </w:tc>
        <w:tc>
          <w:tcPr>
            <w:tcW w:w="834" w:type="pct"/>
            <w:noWrap/>
            <w:hideMark/>
          </w:tcPr>
          <w:p w14:paraId="4950F877" w14:textId="77777777" w:rsidR="00BB3966" w:rsidRPr="00317F65" w:rsidRDefault="00BB3966" w:rsidP="00593FED">
            <w:pPr>
              <w:rPr>
                <w:rFonts w:eastAsia="Times New Roman"/>
                <w:color w:val="000000"/>
                <w:szCs w:val="20"/>
              </w:rPr>
            </w:pPr>
            <w:r w:rsidRPr="00317F65">
              <w:rPr>
                <w:rFonts w:eastAsia="Times New Roman"/>
                <w:color w:val="000000"/>
                <w:szCs w:val="20"/>
              </w:rPr>
              <w:t xml:space="preserve">$75K-$100K  </w:t>
            </w:r>
          </w:p>
        </w:tc>
        <w:tc>
          <w:tcPr>
            <w:tcW w:w="833" w:type="pct"/>
            <w:noWrap/>
            <w:hideMark/>
          </w:tcPr>
          <w:p w14:paraId="4258D2C2" w14:textId="77777777" w:rsidR="00BB3966" w:rsidRPr="00317F65" w:rsidRDefault="00BB3966" w:rsidP="00593FED">
            <w:pPr>
              <w:jc w:val="center"/>
              <w:rPr>
                <w:rFonts w:eastAsia="Times New Roman"/>
                <w:color w:val="000000"/>
              </w:rPr>
            </w:pPr>
            <w:r w:rsidRPr="00317F65">
              <w:rPr>
                <w:rFonts w:eastAsia="Times New Roman"/>
                <w:color w:val="000000"/>
              </w:rPr>
              <w:t>2,015,011</w:t>
            </w:r>
          </w:p>
        </w:tc>
        <w:tc>
          <w:tcPr>
            <w:tcW w:w="834" w:type="pct"/>
            <w:noWrap/>
            <w:hideMark/>
          </w:tcPr>
          <w:p w14:paraId="649A3B09" w14:textId="77777777" w:rsidR="00BB3966" w:rsidRPr="00317F65" w:rsidRDefault="00BB3966" w:rsidP="00593FED">
            <w:pPr>
              <w:jc w:val="center"/>
              <w:rPr>
                <w:rFonts w:eastAsia="Times New Roman"/>
                <w:color w:val="000000"/>
              </w:rPr>
            </w:pPr>
            <w:r w:rsidRPr="00317F65">
              <w:rPr>
                <w:rFonts w:eastAsia="Times New Roman"/>
                <w:color w:val="000000"/>
              </w:rPr>
              <w:t>6.6%</w:t>
            </w:r>
          </w:p>
        </w:tc>
        <w:tc>
          <w:tcPr>
            <w:tcW w:w="833" w:type="pct"/>
            <w:noWrap/>
            <w:hideMark/>
          </w:tcPr>
          <w:p w14:paraId="0BD7AAF4" w14:textId="77777777" w:rsidR="00BB3966" w:rsidRPr="00317F65" w:rsidRDefault="00BB3966" w:rsidP="00593FED">
            <w:pPr>
              <w:jc w:val="center"/>
              <w:rPr>
                <w:rFonts w:eastAsia="Times New Roman"/>
                <w:color w:val="000000"/>
              </w:rPr>
            </w:pPr>
            <w:r w:rsidRPr="00317F65">
              <w:rPr>
                <w:color w:val="000000"/>
              </w:rPr>
              <w:t>71</w:t>
            </w:r>
          </w:p>
        </w:tc>
        <w:tc>
          <w:tcPr>
            <w:tcW w:w="833" w:type="pct"/>
            <w:noWrap/>
            <w:hideMark/>
          </w:tcPr>
          <w:p w14:paraId="6BC60E95" w14:textId="77777777" w:rsidR="00BB3966" w:rsidRPr="00317F65" w:rsidRDefault="00BB3966" w:rsidP="00593FED">
            <w:pPr>
              <w:jc w:val="center"/>
              <w:rPr>
                <w:rFonts w:eastAsia="Times New Roman"/>
                <w:color w:val="000000"/>
              </w:rPr>
            </w:pPr>
            <w:r w:rsidRPr="00317F65">
              <w:rPr>
                <w:color w:val="000000"/>
              </w:rPr>
              <w:t>6.7%</w:t>
            </w:r>
          </w:p>
        </w:tc>
      </w:tr>
      <w:tr w:rsidR="00BB3966" w:rsidRPr="00317F65" w14:paraId="5683CB56" w14:textId="77777777" w:rsidTr="007F6337">
        <w:trPr>
          <w:trHeight w:val="290"/>
        </w:trPr>
        <w:tc>
          <w:tcPr>
            <w:tcW w:w="833" w:type="pct"/>
            <w:vMerge/>
            <w:hideMark/>
          </w:tcPr>
          <w:p w14:paraId="7A4A3E25" w14:textId="77777777" w:rsidR="00BB3966" w:rsidRPr="00317F65" w:rsidRDefault="00BB3966" w:rsidP="00593FED">
            <w:pPr>
              <w:rPr>
                <w:rFonts w:eastAsia="Times New Roman"/>
                <w:color w:val="000000"/>
              </w:rPr>
            </w:pPr>
          </w:p>
        </w:tc>
        <w:tc>
          <w:tcPr>
            <w:tcW w:w="834" w:type="pct"/>
            <w:noWrap/>
            <w:hideMark/>
          </w:tcPr>
          <w:p w14:paraId="0D3F10F9" w14:textId="77777777" w:rsidR="00BB3966" w:rsidRPr="00317F65" w:rsidRDefault="00BB3966" w:rsidP="00593FED">
            <w:pPr>
              <w:rPr>
                <w:rFonts w:eastAsia="Times New Roman"/>
                <w:color w:val="000000"/>
                <w:szCs w:val="20"/>
              </w:rPr>
            </w:pPr>
            <w:r w:rsidRPr="00317F65">
              <w:rPr>
                <w:rFonts w:eastAsia="Times New Roman"/>
                <w:color w:val="000000"/>
                <w:szCs w:val="20"/>
              </w:rPr>
              <w:t xml:space="preserve">$100K-$150K  </w:t>
            </w:r>
          </w:p>
        </w:tc>
        <w:tc>
          <w:tcPr>
            <w:tcW w:w="833" w:type="pct"/>
            <w:noWrap/>
            <w:hideMark/>
          </w:tcPr>
          <w:p w14:paraId="477AD9ED" w14:textId="77777777" w:rsidR="00BB3966" w:rsidRPr="00317F65" w:rsidRDefault="00BB3966" w:rsidP="00593FED">
            <w:pPr>
              <w:jc w:val="center"/>
              <w:rPr>
                <w:rFonts w:eastAsia="Times New Roman"/>
                <w:color w:val="000000"/>
              </w:rPr>
            </w:pPr>
            <w:r w:rsidRPr="00317F65">
              <w:rPr>
                <w:rFonts w:eastAsia="Times New Roman"/>
                <w:color w:val="000000"/>
              </w:rPr>
              <w:t>2,880,396</w:t>
            </w:r>
          </w:p>
        </w:tc>
        <w:tc>
          <w:tcPr>
            <w:tcW w:w="834" w:type="pct"/>
            <w:noWrap/>
            <w:hideMark/>
          </w:tcPr>
          <w:p w14:paraId="4F073F26" w14:textId="77777777" w:rsidR="00BB3966" w:rsidRPr="00317F65" w:rsidRDefault="00BB3966" w:rsidP="00593FED">
            <w:pPr>
              <w:jc w:val="center"/>
              <w:rPr>
                <w:rFonts w:eastAsia="Times New Roman"/>
                <w:color w:val="000000"/>
              </w:rPr>
            </w:pPr>
            <w:r w:rsidRPr="00317F65">
              <w:rPr>
                <w:rFonts w:eastAsia="Times New Roman"/>
                <w:color w:val="000000"/>
              </w:rPr>
              <w:t>9.5%</w:t>
            </w:r>
          </w:p>
        </w:tc>
        <w:tc>
          <w:tcPr>
            <w:tcW w:w="833" w:type="pct"/>
            <w:noWrap/>
            <w:hideMark/>
          </w:tcPr>
          <w:p w14:paraId="640E7DC7" w14:textId="77777777" w:rsidR="00BB3966" w:rsidRPr="00317F65" w:rsidRDefault="00BB3966" w:rsidP="00593FED">
            <w:pPr>
              <w:jc w:val="center"/>
              <w:rPr>
                <w:rFonts w:eastAsia="Times New Roman"/>
                <w:color w:val="000000"/>
              </w:rPr>
            </w:pPr>
            <w:r w:rsidRPr="00317F65">
              <w:rPr>
                <w:color w:val="000000"/>
              </w:rPr>
              <w:t>87</w:t>
            </w:r>
          </w:p>
        </w:tc>
        <w:tc>
          <w:tcPr>
            <w:tcW w:w="833" w:type="pct"/>
            <w:noWrap/>
            <w:hideMark/>
          </w:tcPr>
          <w:p w14:paraId="1AFC277E" w14:textId="77777777" w:rsidR="00BB3966" w:rsidRPr="00317F65" w:rsidRDefault="00BB3966" w:rsidP="00593FED">
            <w:pPr>
              <w:jc w:val="center"/>
              <w:rPr>
                <w:rFonts w:eastAsia="Times New Roman"/>
                <w:color w:val="000000"/>
              </w:rPr>
            </w:pPr>
            <w:r w:rsidRPr="00317F65">
              <w:rPr>
                <w:color w:val="000000"/>
              </w:rPr>
              <w:t>8.2%</w:t>
            </w:r>
          </w:p>
        </w:tc>
      </w:tr>
      <w:tr w:rsidR="00BB3966" w:rsidRPr="00317F65" w14:paraId="6022AB59" w14:textId="77777777" w:rsidTr="007F6337">
        <w:trPr>
          <w:trHeight w:val="290"/>
        </w:trPr>
        <w:tc>
          <w:tcPr>
            <w:tcW w:w="833" w:type="pct"/>
            <w:vMerge/>
            <w:hideMark/>
          </w:tcPr>
          <w:p w14:paraId="191C95C9" w14:textId="77777777" w:rsidR="00BB3966" w:rsidRPr="00317F65" w:rsidRDefault="00BB3966" w:rsidP="00593FED">
            <w:pPr>
              <w:rPr>
                <w:rFonts w:eastAsia="Times New Roman"/>
                <w:color w:val="000000"/>
              </w:rPr>
            </w:pPr>
          </w:p>
        </w:tc>
        <w:tc>
          <w:tcPr>
            <w:tcW w:w="834" w:type="pct"/>
            <w:noWrap/>
            <w:hideMark/>
          </w:tcPr>
          <w:p w14:paraId="78AAF6F0" w14:textId="77777777" w:rsidR="00BB3966" w:rsidRPr="00317F65" w:rsidRDefault="00BB3966" w:rsidP="00593FED">
            <w:pPr>
              <w:rPr>
                <w:rFonts w:eastAsia="Times New Roman"/>
                <w:color w:val="000000"/>
                <w:szCs w:val="20"/>
              </w:rPr>
            </w:pPr>
            <w:r w:rsidRPr="00317F65">
              <w:rPr>
                <w:rFonts w:eastAsia="Times New Roman"/>
                <w:color w:val="000000"/>
                <w:szCs w:val="20"/>
              </w:rPr>
              <w:t xml:space="preserve">$150K-$200K  </w:t>
            </w:r>
          </w:p>
        </w:tc>
        <w:tc>
          <w:tcPr>
            <w:tcW w:w="833" w:type="pct"/>
            <w:noWrap/>
            <w:hideMark/>
          </w:tcPr>
          <w:p w14:paraId="51D05ADC" w14:textId="77777777" w:rsidR="00BB3966" w:rsidRPr="00317F65" w:rsidRDefault="00BB3966" w:rsidP="00593FED">
            <w:pPr>
              <w:jc w:val="center"/>
              <w:rPr>
                <w:rFonts w:eastAsia="Times New Roman"/>
                <w:color w:val="000000"/>
              </w:rPr>
            </w:pPr>
            <w:r w:rsidRPr="00317F65">
              <w:rPr>
                <w:rFonts w:eastAsia="Times New Roman"/>
                <w:color w:val="000000"/>
              </w:rPr>
              <w:t>1,739,346</w:t>
            </w:r>
          </w:p>
        </w:tc>
        <w:tc>
          <w:tcPr>
            <w:tcW w:w="834" w:type="pct"/>
            <w:noWrap/>
            <w:hideMark/>
          </w:tcPr>
          <w:p w14:paraId="413A858F" w14:textId="77777777" w:rsidR="00BB3966" w:rsidRPr="00317F65" w:rsidRDefault="00BB3966" w:rsidP="00593FED">
            <w:pPr>
              <w:jc w:val="center"/>
              <w:rPr>
                <w:rFonts w:eastAsia="Times New Roman"/>
                <w:color w:val="000000"/>
              </w:rPr>
            </w:pPr>
            <w:r w:rsidRPr="00317F65">
              <w:rPr>
                <w:rFonts w:eastAsia="Times New Roman"/>
                <w:color w:val="000000"/>
              </w:rPr>
              <w:t>5.7%</w:t>
            </w:r>
          </w:p>
        </w:tc>
        <w:tc>
          <w:tcPr>
            <w:tcW w:w="833" w:type="pct"/>
            <w:noWrap/>
            <w:hideMark/>
          </w:tcPr>
          <w:p w14:paraId="7D229E68" w14:textId="77777777" w:rsidR="00BB3966" w:rsidRPr="00317F65" w:rsidRDefault="00BB3966" w:rsidP="00593FED">
            <w:pPr>
              <w:jc w:val="center"/>
              <w:rPr>
                <w:rFonts w:eastAsia="Times New Roman"/>
                <w:color w:val="000000"/>
              </w:rPr>
            </w:pPr>
            <w:r w:rsidRPr="00317F65">
              <w:rPr>
                <w:color w:val="000000"/>
              </w:rPr>
              <w:t>41</w:t>
            </w:r>
          </w:p>
        </w:tc>
        <w:tc>
          <w:tcPr>
            <w:tcW w:w="833" w:type="pct"/>
            <w:noWrap/>
            <w:hideMark/>
          </w:tcPr>
          <w:p w14:paraId="3423E55B" w14:textId="77777777" w:rsidR="00BB3966" w:rsidRPr="00317F65" w:rsidRDefault="00BB3966" w:rsidP="00593FED">
            <w:pPr>
              <w:jc w:val="center"/>
              <w:rPr>
                <w:rFonts w:eastAsia="Times New Roman"/>
                <w:color w:val="000000"/>
              </w:rPr>
            </w:pPr>
            <w:r w:rsidRPr="00317F65">
              <w:rPr>
                <w:color w:val="000000"/>
              </w:rPr>
              <w:t>3.9%</w:t>
            </w:r>
          </w:p>
        </w:tc>
      </w:tr>
      <w:tr w:rsidR="00BB3966" w:rsidRPr="00317F65" w14:paraId="7FD15030" w14:textId="77777777" w:rsidTr="007F6337">
        <w:trPr>
          <w:trHeight w:val="300"/>
        </w:trPr>
        <w:tc>
          <w:tcPr>
            <w:tcW w:w="833" w:type="pct"/>
            <w:vMerge/>
            <w:hideMark/>
          </w:tcPr>
          <w:p w14:paraId="2D1466A0" w14:textId="77777777" w:rsidR="00BB3966" w:rsidRPr="00317F65" w:rsidRDefault="00BB3966" w:rsidP="00593FED">
            <w:pPr>
              <w:rPr>
                <w:rFonts w:eastAsia="Times New Roman"/>
                <w:color w:val="000000"/>
              </w:rPr>
            </w:pPr>
          </w:p>
        </w:tc>
        <w:tc>
          <w:tcPr>
            <w:tcW w:w="834" w:type="pct"/>
            <w:noWrap/>
            <w:hideMark/>
          </w:tcPr>
          <w:p w14:paraId="02B1D42E" w14:textId="77777777" w:rsidR="00BB3966" w:rsidRPr="00317F65" w:rsidRDefault="00BB3966" w:rsidP="00593FED">
            <w:pPr>
              <w:rPr>
                <w:rFonts w:eastAsia="Times New Roman"/>
                <w:color w:val="000000"/>
                <w:szCs w:val="20"/>
              </w:rPr>
            </w:pPr>
            <w:r w:rsidRPr="00317F65">
              <w:rPr>
                <w:rFonts w:eastAsia="Times New Roman"/>
                <w:color w:val="000000"/>
                <w:szCs w:val="20"/>
              </w:rPr>
              <w:t>$200K+</w:t>
            </w:r>
          </w:p>
        </w:tc>
        <w:tc>
          <w:tcPr>
            <w:tcW w:w="833" w:type="pct"/>
            <w:noWrap/>
            <w:hideMark/>
          </w:tcPr>
          <w:p w14:paraId="7B25AA32" w14:textId="77777777" w:rsidR="00BB3966" w:rsidRPr="00317F65" w:rsidRDefault="00BB3966" w:rsidP="00593FED">
            <w:pPr>
              <w:jc w:val="center"/>
              <w:rPr>
                <w:rFonts w:eastAsia="Times New Roman"/>
                <w:color w:val="000000"/>
              </w:rPr>
            </w:pPr>
            <w:r w:rsidRPr="00317F65">
              <w:rPr>
                <w:rFonts w:eastAsia="Times New Roman"/>
                <w:color w:val="000000"/>
              </w:rPr>
              <w:t>2,508,239</w:t>
            </w:r>
          </w:p>
        </w:tc>
        <w:tc>
          <w:tcPr>
            <w:tcW w:w="834" w:type="pct"/>
            <w:noWrap/>
            <w:hideMark/>
          </w:tcPr>
          <w:p w14:paraId="6EFF36ED" w14:textId="77777777" w:rsidR="00BB3966" w:rsidRPr="00317F65" w:rsidRDefault="00BB3966" w:rsidP="00593FED">
            <w:pPr>
              <w:jc w:val="center"/>
              <w:rPr>
                <w:rFonts w:eastAsia="Times New Roman"/>
                <w:color w:val="000000"/>
              </w:rPr>
            </w:pPr>
            <w:r w:rsidRPr="00317F65">
              <w:rPr>
                <w:rFonts w:eastAsia="Times New Roman"/>
                <w:color w:val="000000"/>
              </w:rPr>
              <w:t>8.2%</w:t>
            </w:r>
          </w:p>
        </w:tc>
        <w:tc>
          <w:tcPr>
            <w:tcW w:w="833" w:type="pct"/>
            <w:noWrap/>
            <w:hideMark/>
          </w:tcPr>
          <w:p w14:paraId="4FEB0F1E" w14:textId="77777777" w:rsidR="00BB3966" w:rsidRPr="00317F65" w:rsidRDefault="00BB3966" w:rsidP="00593FED">
            <w:pPr>
              <w:jc w:val="center"/>
              <w:rPr>
                <w:rFonts w:eastAsia="Times New Roman"/>
                <w:color w:val="000000"/>
              </w:rPr>
            </w:pPr>
            <w:r w:rsidRPr="00317F65">
              <w:rPr>
                <w:color w:val="000000"/>
              </w:rPr>
              <w:t>75</w:t>
            </w:r>
          </w:p>
        </w:tc>
        <w:tc>
          <w:tcPr>
            <w:tcW w:w="833" w:type="pct"/>
            <w:noWrap/>
            <w:hideMark/>
          </w:tcPr>
          <w:p w14:paraId="07AFD6D5" w14:textId="77777777" w:rsidR="00BB3966" w:rsidRPr="00317F65" w:rsidRDefault="00BB3966" w:rsidP="00593FED">
            <w:pPr>
              <w:jc w:val="center"/>
              <w:rPr>
                <w:rFonts w:eastAsia="Times New Roman"/>
                <w:color w:val="000000"/>
              </w:rPr>
            </w:pPr>
            <w:r w:rsidRPr="00317F65">
              <w:rPr>
                <w:color w:val="000000"/>
              </w:rPr>
              <w:t>7.1%</w:t>
            </w:r>
          </w:p>
        </w:tc>
      </w:tr>
      <w:tr w:rsidR="00BB3966" w:rsidRPr="00317F65" w14:paraId="2D517B46" w14:textId="77777777" w:rsidTr="007F6337">
        <w:trPr>
          <w:trHeight w:val="290"/>
        </w:trPr>
        <w:tc>
          <w:tcPr>
            <w:tcW w:w="833" w:type="pct"/>
            <w:vMerge w:val="restart"/>
            <w:noWrap/>
            <w:hideMark/>
          </w:tcPr>
          <w:p w14:paraId="1BFE4517" w14:textId="77777777" w:rsidR="00BB3966" w:rsidRPr="00317F65" w:rsidRDefault="00BB3966" w:rsidP="00593FED">
            <w:pPr>
              <w:jc w:val="center"/>
              <w:rPr>
                <w:rFonts w:eastAsia="Times New Roman"/>
                <w:color w:val="000000"/>
              </w:rPr>
            </w:pPr>
            <w:r w:rsidRPr="00317F65">
              <w:rPr>
                <w:rFonts w:eastAsia="Times New Roman"/>
                <w:color w:val="000000"/>
              </w:rPr>
              <w:t>Female</w:t>
            </w:r>
          </w:p>
        </w:tc>
        <w:tc>
          <w:tcPr>
            <w:tcW w:w="834" w:type="pct"/>
            <w:noWrap/>
            <w:hideMark/>
          </w:tcPr>
          <w:p w14:paraId="04AD3C61" w14:textId="77777777" w:rsidR="00BB3966" w:rsidRPr="00317F65" w:rsidRDefault="00BB3966" w:rsidP="00593FED">
            <w:pPr>
              <w:rPr>
                <w:rFonts w:eastAsia="Times New Roman"/>
                <w:color w:val="000000"/>
                <w:szCs w:val="20"/>
              </w:rPr>
            </w:pPr>
            <w:r w:rsidRPr="00317F65">
              <w:rPr>
                <w:rFonts w:eastAsia="Times New Roman"/>
                <w:color w:val="000000"/>
                <w:szCs w:val="20"/>
              </w:rPr>
              <w:t xml:space="preserve">Less than $15K  </w:t>
            </w:r>
          </w:p>
        </w:tc>
        <w:tc>
          <w:tcPr>
            <w:tcW w:w="833" w:type="pct"/>
            <w:noWrap/>
            <w:hideMark/>
          </w:tcPr>
          <w:p w14:paraId="04F2117C" w14:textId="77777777" w:rsidR="00BB3966" w:rsidRPr="00317F65" w:rsidRDefault="00BB3966" w:rsidP="00593FED">
            <w:pPr>
              <w:jc w:val="center"/>
              <w:rPr>
                <w:rFonts w:eastAsia="Times New Roman"/>
                <w:color w:val="000000"/>
              </w:rPr>
            </w:pPr>
            <w:r w:rsidRPr="00317F65">
              <w:rPr>
                <w:rFonts w:eastAsia="Times New Roman"/>
                <w:color w:val="000000"/>
              </w:rPr>
              <w:t>1,032,557</w:t>
            </w:r>
          </w:p>
        </w:tc>
        <w:tc>
          <w:tcPr>
            <w:tcW w:w="834" w:type="pct"/>
            <w:noWrap/>
            <w:hideMark/>
          </w:tcPr>
          <w:p w14:paraId="55957705" w14:textId="77777777" w:rsidR="00BB3966" w:rsidRPr="00317F65" w:rsidRDefault="00BB3966" w:rsidP="00593FED">
            <w:pPr>
              <w:jc w:val="center"/>
              <w:rPr>
                <w:rFonts w:eastAsia="Times New Roman"/>
                <w:color w:val="000000"/>
              </w:rPr>
            </w:pPr>
            <w:r w:rsidRPr="00317F65">
              <w:rPr>
                <w:rFonts w:eastAsia="Times New Roman"/>
                <w:color w:val="000000"/>
              </w:rPr>
              <w:t>3.4%</w:t>
            </w:r>
          </w:p>
        </w:tc>
        <w:tc>
          <w:tcPr>
            <w:tcW w:w="833" w:type="pct"/>
            <w:noWrap/>
            <w:hideMark/>
          </w:tcPr>
          <w:p w14:paraId="6203E4C3" w14:textId="77777777" w:rsidR="00BB3966" w:rsidRPr="00317F65" w:rsidRDefault="00BB3966" w:rsidP="00593FED">
            <w:pPr>
              <w:jc w:val="center"/>
              <w:rPr>
                <w:rFonts w:eastAsia="Times New Roman"/>
                <w:color w:val="000000"/>
              </w:rPr>
            </w:pPr>
            <w:r w:rsidRPr="00317F65">
              <w:rPr>
                <w:color w:val="000000"/>
              </w:rPr>
              <w:t>26</w:t>
            </w:r>
          </w:p>
        </w:tc>
        <w:tc>
          <w:tcPr>
            <w:tcW w:w="833" w:type="pct"/>
            <w:noWrap/>
            <w:hideMark/>
          </w:tcPr>
          <w:p w14:paraId="4A6C06E6" w14:textId="77777777" w:rsidR="00BB3966" w:rsidRPr="00317F65" w:rsidRDefault="00BB3966" w:rsidP="00593FED">
            <w:pPr>
              <w:jc w:val="center"/>
              <w:rPr>
                <w:rFonts w:eastAsia="Times New Roman"/>
                <w:color w:val="000000"/>
              </w:rPr>
            </w:pPr>
            <w:r w:rsidRPr="00317F65">
              <w:rPr>
                <w:color w:val="000000"/>
              </w:rPr>
              <w:t>2.5%</w:t>
            </w:r>
          </w:p>
        </w:tc>
      </w:tr>
      <w:tr w:rsidR="00BB3966" w:rsidRPr="00317F65" w14:paraId="7711A4EB" w14:textId="77777777" w:rsidTr="007F6337">
        <w:trPr>
          <w:trHeight w:val="290"/>
        </w:trPr>
        <w:tc>
          <w:tcPr>
            <w:tcW w:w="833" w:type="pct"/>
            <w:vMerge/>
            <w:hideMark/>
          </w:tcPr>
          <w:p w14:paraId="29F2FE7A" w14:textId="77777777" w:rsidR="00BB3966" w:rsidRPr="00317F65" w:rsidRDefault="00BB3966" w:rsidP="00593FED">
            <w:pPr>
              <w:rPr>
                <w:rFonts w:eastAsia="Times New Roman"/>
                <w:color w:val="000000"/>
              </w:rPr>
            </w:pPr>
          </w:p>
        </w:tc>
        <w:tc>
          <w:tcPr>
            <w:tcW w:w="834" w:type="pct"/>
            <w:noWrap/>
            <w:hideMark/>
          </w:tcPr>
          <w:p w14:paraId="6A196430" w14:textId="77777777" w:rsidR="00BB3966" w:rsidRPr="00317F65" w:rsidRDefault="00BB3966" w:rsidP="00593FED">
            <w:pPr>
              <w:rPr>
                <w:rFonts w:eastAsia="Times New Roman"/>
                <w:color w:val="000000"/>
                <w:szCs w:val="20"/>
              </w:rPr>
            </w:pPr>
            <w:r w:rsidRPr="00317F65">
              <w:rPr>
                <w:rFonts w:eastAsia="Times New Roman"/>
                <w:color w:val="000000"/>
                <w:szCs w:val="20"/>
              </w:rPr>
              <w:t xml:space="preserve">$15K-$20K  </w:t>
            </w:r>
          </w:p>
        </w:tc>
        <w:tc>
          <w:tcPr>
            <w:tcW w:w="833" w:type="pct"/>
            <w:noWrap/>
            <w:hideMark/>
          </w:tcPr>
          <w:p w14:paraId="6B25656B" w14:textId="77777777" w:rsidR="00BB3966" w:rsidRPr="00317F65" w:rsidRDefault="00BB3966" w:rsidP="00593FED">
            <w:pPr>
              <w:jc w:val="center"/>
              <w:rPr>
                <w:rFonts w:eastAsia="Times New Roman"/>
                <w:color w:val="000000"/>
              </w:rPr>
            </w:pPr>
            <w:r w:rsidRPr="00317F65">
              <w:rPr>
                <w:rFonts w:eastAsia="Times New Roman"/>
                <w:color w:val="000000"/>
              </w:rPr>
              <w:t>418,812</w:t>
            </w:r>
          </w:p>
        </w:tc>
        <w:tc>
          <w:tcPr>
            <w:tcW w:w="834" w:type="pct"/>
            <w:noWrap/>
            <w:hideMark/>
          </w:tcPr>
          <w:p w14:paraId="14B0ADDD" w14:textId="77777777" w:rsidR="00BB3966" w:rsidRPr="00317F65" w:rsidRDefault="00BB3966" w:rsidP="00593FED">
            <w:pPr>
              <w:jc w:val="center"/>
              <w:rPr>
                <w:rFonts w:eastAsia="Times New Roman"/>
                <w:color w:val="000000"/>
              </w:rPr>
            </w:pPr>
            <w:r w:rsidRPr="00317F65">
              <w:rPr>
                <w:rFonts w:eastAsia="Times New Roman"/>
                <w:color w:val="000000"/>
              </w:rPr>
              <w:t>1.4%</w:t>
            </w:r>
          </w:p>
        </w:tc>
        <w:tc>
          <w:tcPr>
            <w:tcW w:w="833" w:type="pct"/>
            <w:noWrap/>
            <w:hideMark/>
          </w:tcPr>
          <w:p w14:paraId="590AB1A7" w14:textId="77777777" w:rsidR="00BB3966" w:rsidRPr="00317F65" w:rsidRDefault="00BB3966" w:rsidP="00593FED">
            <w:pPr>
              <w:jc w:val="center"/>
              <w:rPr>
                <w:rFonts w:eastAsia="Times New Roman"/>
                <w:color w:val="000000"/>
              </w:rPr>
            </w:pPr>
            <w:r w:rsidRPr="00317F65">
              <w:rPr>
                <w:color w:val="000000"/>
              </w:rPr>
              <w:t>31</w:t>
            </w:r>
          </w:p>
        </w:tc>
        <w:tc>
          <w:tcPr>
            <w:tcW w:w="833" w:type="pct"/>
            <w:noWrap/>
            <w:hideMark/>
          </w:tcPr>
          <w:p w14:paraId="0A4E409E" w14:textId="77777777" w:rsidR="00BB3966" w:rsidRPr="00317F65" w:rsidRDefault="00BB3966" w:rsidP="00593FED">
            <w:pPr>
              <w:jc w:val="center"/>
              <w:rPr>
                <w:rFonts w:eastAsia="Times New Roman"/>
                <w:color w:val="000000"/>
              </w:rPr>
            </w:pPr>
            <w:r w:rsidRPr="00317F65">
              <w:rPr>
                <w:color w:val="000000"/>
              </w:rPr>
              <w:t>2.9%</w:t>
            </w:r>
          </w:p>
        </w:tc>
      </w:tr>
      <w:tr w:rsidR="00BB3966" w:rsidRPr="00317F65" w14:paraId="230C1A59" w14:textId="77777777" w:rsidTr="007F6337">
        <w:trPr>
          <w:trHeight w:val="290"/>
        </w:trPr>
        <w:tc>
          <w:tcPr>
            <w:tcW w:w="833" w:type="pct"/>
            <w:vMerge/>
            <w:hideMark/>
          </w:tcPr>
          <w:p w14:paraId="7AF0BC0F" w14:textId="77777777" w:rsidR="00BB3966" w:rsidRPr="00317F65" w:rsidRDefault="00BB3966" w:rsidP="00593FED">
            <w:pPr>
              <w:rPr>
                <w:rFonts w:eastAsia="Times New Roman"/>
                <w:color w:val="000000"/>
              </w:rPr>
            </w:pPr>
          </w:p>
        </w:tc>
        <w:tc>
          <w:tcPr>
            <w:tcW w:w="834" w:type="pct"/>
            <w:noWrap/>
            <w:hideMark/>
          </w:tcPr>
          <w:p w14:paraId="006B92D9" w14:textId="77777777" w:rsidR="00BB3966" w:rsidRPr="00317F65" w:rsidRDefault="00BB3966" w:rsidP="00593FED">
            <w:pPr>
              <w:rPr>
                <w:rFonts w:eastAsia="Times New Roman"/>
                <w:color w:val="000000"/>
                <w:szCs w:val="20"/>
              </w:rPr>
            </w:pPr>
            <w:r w:rsidRPr="00317F65">
              <w:rPr>
                <w:rFonts w:eastAsia="Times New Roman"/>
                <w:color w:val="000000"/>
                <w:szCs w:val="20"/>
              </w:rPr>
              <w:t xml:space="preserve">$20K-$25K  </w:t>
            </w:r>
          </w:p>
        </w:tc>
        <w:tc>
          <w:tcPr>
            <w:tcW w:w="833" w:type="pct"/>
            <w:noWrap/>
            <w:hideMark/>
          </w:tcPr>
          <w:p w14:paraId="39ED4B00" w14:textId="77777777" w:rsidR="00BB3966" w:rsidRPr="00317F65" w:rsidRDefault="00BB3966" w:rsidP="00593FED">
            <w:pPr>
              <w:jc w:val="center"/>
              <w:rPr>
                <w:rFonts w:eastAsia="Times New Roman"/>
                <w:color w:val="000000"/>
              </w:rPr>
            </w:pPr>
            <w:r w:rsidRPr="00317F65">
              <w:rPr>
                <w:rFonts w:eastAsia="Times New Roman"/>
                <w:color w:val="000000"/>
              </w:rPr>
              <w:t>403,834</w:t>
            </w:r>
          </w:p>
        </w:tc>
        <w:tc>
          <w:tcPr>
            <w:tcW w:w="834" w:type="pct"/>
            <w:noWrap/>
            <w:hideMark/>
          </w:tcPr>
          <w:p w14:paraId="5F63135E" w14:textId="77777777" w:rsidR="00BB3966" w:rsidRPr="00317F65" w:rsidRDefault="00BB3966" w:rsidP="00593FED">
            <w:pPr>
              <w:jc w:val="center"/>
              <w:rPr>
                <w:rFonts w:eastAsia="Times New Roman"/>
                <w:color w:val="000000"/>
              </w:rPr>
            </w:pPr>
            <w:r w:rsidRPr="00317F65">
              <w:rPr>
                <w:rFonts w:eastAsia="Times New Roman"/>
                <w:color w:val="000000"/>
              </w:rPr>
              <w:t>1.3%</w:t>
            </w:r>
          </w:p>
        </w:tc>
        <w:tc>
          <w:tcPr>
            <w:tcW w:w="833" w:type="pct"/>
            <w:noWrap/>
            <w:hideMark/>
          </w:tcPr>
          <w:p w14:paraId="76EAF6AE" w14:textId="77777777" w:rsidR="00BB3966" w:rsidRPr="00317F65" w:rsidRDefault="00BB3966" w:rsidP="00593FED">
            <w:pPr>
              <w:jc w:val="center"/>
              <w:rPr>
                <w:rFonts w:eastAsia="Times New Roman"/>
                <w:color w:val="000000"/>
              </w:rPr>
            </w:pPr>
            <w:r w:rsidRPr="00317F65">
              <w:rPr>
                <w:color w:val="000000"/>
              </w:rPr>
              <w:t>20</w:t>
            </w:r>
          </w:p>
        </w:tc>
        <w:tc>
          <w:tcPr>
            <w:tcW w:w="833" w:type="pct"/>
            <w:noWrap/>
            <w:hideMark/>
          </w:tcPr>
          <w:p w14:paraId="2F0662E1" w14:textId="77777777" w:rsidR="00BB3966" w:rsidRPr="00317F65" w:rsidRDefault="00BB3966" w:rsidP="00593FED">
            <w:pPr>
              <w:jc w:val="center"/>
              <w:rPr>
                <w:rFonts w:eastAsia="Times New Roman"/>
                <w:color w:val="000000"/>
              </w:rPr>
            </w:pPr>
            <w:r w:rsidRPr="00317F65">
              <w:rPr>
                <w:color w:val="000000"/>
              </w:rPr>
              <w:t>1.9%</w:t>
            </w:r>
          </w:p>
        </w:tc>
      </w:tr>
      <w:tr w:rsidR="00BB3966" w:rsidRPr="00317F65" w14:paraId="77937A1F" w14:textId="77777777" w:rsidTr="007F6337">
        <w:trPr>
          <w:trHeight w:val="290"/>
        </w:trPr>
        <w:tc>
          <w:tcPr>
            <w:tcW w:w="833" w:type="pct"/>
            <w:vMerge/>
            <w:hideMark/>
          </w:tcPr>
          <w:p w14:paraId="225B7C2F" w14:textId="77777777" w:rsidR="00BB3966" w:rsidRPr="00317F65" w:rsidRDefault="00BB3966" w:rsidP="00593FED">
            <w:pPr>
              <w:rPr>
                <w:rFonts w:eastAsia="Times New Roman"/>
                <w:color w:val="000000"/>
              </w:rPr>
            </w:pPr>
          </w:p>
        </w:tc>
        <w:tc>
          <w:tcPr>
            <w:tcW w:w="834" w:type="pct"/>
            <w:noWrap/>
            <w:hideMark/>
          </w:tcPr>
          <w:p w14:paraId="2AB7E53A" w14:textId="77777777" w:rsidR="00BB3966" w:rsidRPr="00317F65" w:rsidRDefault="00BB3966" w:rsidP="00593FED">
            <w:pPr>
              <w:rPr>
                <w:rFonts w:eastAsia="Times New Roman"/>
                <w:color w:val="000000"/>
                <w:szCs w:val="20"/>
              </w:rPr>
            </w:pPr>
            <w:r w:rsidRPr="00317F65">
              <w:rPr>
                <w:rFonts w:eastAsia="Times New Roman"/>
                <w:color w:val="000000"/>
                <w:szCs w:val="20"/>
              </w:rPr>
              <w:t xml:space="preserve">$25K-$30K  </w:t>
            </w:r>
          </w:p>
        </w:tc>
        <w:tc>
          <w:tcPr>
            <w:tcW w:w="833" w:type="pct"/>
            <w:noWrap/>
            <w:hideMark/>
          </w:tcPr>
          <w:p w14:paraId="6BE1A6DA" w14:textId="77777777" w:rsidR="00BB3966" w:rsidRPr="00317F65" w:rsidRDefault="00BB3966" w:rsidP="00593FED">
            <w:pPr>
              <w:jc w:val="center"/>
              <w:rPr>
                <w:rFonts w:eastAsia="Times New Roman"/>
                <w:color w:val="000000"/>
              </w:rPr>
            </w:pPr>
            <w:r w:rsidRPr="00317F65">
              <w:rPr>
                <w:rFonts w:eastAsia="Times New Roman"/>
                <w:color w:val="000000"/>
              </w:rPr>
              <w:t>477,065</w:t>
            </w:r>
          </w:p>
        </w:tc>
        <w:tc>
          <w:tcPr>
            <w:tcW w:w="834" w:type="pct"/>
            <w:noWrap/>
            <w:hideMark/>
          </w:tcPr>
          <w:p w14:paraId="4ACAEFA8" w14:textId="77777777" w:rsidR="00BB3966" w:rsidRPr="00317F65" w:rsidRDefault="00BB3966" w:rsidP="00593FED">
            <w:pPr>
              <w:jc w:val="center"/>
              <w:rPr>
                <w:rFonts w:eastAsia="Times New Roman"/>
                <w:color w:val="000000"/>
              </w:rPr>
            </w:pPr>
            <w:r w:rsidRPr="00317F65">
              <w:rPr>
                <w:rFonts w:eastAsia="Times New Roman"/>
                <w:color w:val="000000"/>
              </w:rPr>
              <w:t>1.6%</w:t>
            </w:r>
          </w:p>
        </w:tc>
        <w:tc>
          <w:tcPr>
            <w:tcW w:w="833" w:type="pct"/>
            <w:noWrap/>
            <w:hideMark/>
          </w:tcPr>
          <w:p w14:paraId="6658E09D" w14:textId="77777777" w:rsidR="00BB3966" w:rsidRPr="00317F65" w:rsidRDefault="00BB3966" w:rsidP="00593FED">
            <w:pPr>
              <w:jc w:val="center"/>
              <w:rPr>
                <w:rFonts w:eastAsia="Times New Roman"/>
                <w:color w:val="000000"/>
              </w:rPr>
            </w:pPr>
            <w:r w:rsidRPr="00317F65">
              <w:rPr>
                <w:color w:val="000000"/>
              </w:rPr>
              <w:t>28</w:t>
            </w:r>
          </w:p>
        </w:tc>
        <w:tc>
          <w:tcPr>
            <w:tcW w:w="833" w:type="pct"/>
            <w:noWrap/>
            <w:hideMark/>
          </w:tcPr>
          <w:p w14:paraId="7AADC60A" w14:textId="77777777" w:rsidR="00BB3966" w:rsidRPr="00317F65" w:rsidRDefault="00BB3966" w:rsidP="00593FED">
            <w:pPr>
              <w:jc w:val="center"/>
              <w:rPr>
                <w:rFonts w:eastAsia="Times New Roman"/>
                <w:color w:val="000000"/>
              </w:rPr>
            </w:pPr>
            <w:r w:rsidRPr="00317F65">
              <w:rPr>
                <w:color w:val="000000"/>
              </w:rPr>
              <w:t>2.6%</w:t>
            </w:r>
          </w:p>
        </w:tc>
      </w:tr>
      <w:tr w:rsidR="00BB3966" w:rsidRPr="00317F65" w14:paraId="15A38F6F" w14:textId="77777777" w:rsidTr="007F6337">
        <w:trPr>
          <w:trHeight w:val="290"/>
        </w:trPr>
        <w:tc>
          <w:tcPr>
            <w:tcW w:w="833" w:type="pct"/>
            <w:vMerge/>
            <w:hideMark/>
          </w:tcPr>
          <w:p w14:paraId="6FC0E747" w14:textId="77777777" w:rsidR="00BB3966" w:rsidRPr="00317F65" w:rsidRDefault="00BB3966" w:rsidP="00593FED">
            <w:pPr>
              <w:rPr>
                <w:rFonts w:eastAsia="Times New Roman"/>
                <w:color w:val="000000"/>
              </w:rPr>
            </w:pPr>
          </w:p>
        </w:tc>
        <w:tc>
          <w:tcPr>
            <w:tcW w:w="834" w:type="pct"/>
            <w:noWrap/>
            <w:hideMark/>
          </w:tcPr>
          <w:p w14:paraId="56757DE9" w14:textId="77777777" w:rsidR="00BB3966" w:rsidRPr="00317F65" w:rsidRDefault="00BB3966" w:rsidP="00593FED">
            <w:pPr>
              <w:rPr>
                <w:rFonts w:eastAsia="Times New Roman"/>
                <w:color w:val="000000"/>
                <w:szCs w:val="20"/>
              </w:rPr>
            </w:pPr>
            <w:r w:rsidRPr="00317F65">
              <w:rPr>
                <w:rFonts w:eastAsia="Times New Roman"/>
                <w:color w:val="000000"/>
                <w:szCs w:val="20"/>
              </w:rPr>
              <w:t xml:space="preserve">$30K-$40K  </w:t>
            </w:r>
          </w:p>
        </w:tc>
        <w:tc>
          <w:tcPr>
            <w:tcW w:w="833" w:type="pct"/>
            <w:noWrap/>
            <w:hideMark/>
          </w:tcPr>
          <w:p w14:paraId="746C3BDE" w14:textId="77777777" w:rsidR="00BB3966" w:rsidRPr="00317F65" w:rsidRDefault="00BB3966" w:rsidP="00593FED">
            <w:pPr>
              <w:jc w:val="center"/>
              <w:rPr>
                <w:rFonts w:eastAsia="Times New Roman"/>
                <w:color w:val="000000"/>
              </w:rPr>
            </w:pPr>
            <w:r w:rsidRPr="00317F65">
              <w:rPr>
                <w:rFonts w:eastAsia="Times New Roman"/>
                <w:color w:val="000000"/>
              </w:rPr>
              <w:t>939,772</w:t>
            </w:r>
          </w:p>
        </w:tc>
        <w:tc>
          <w:tcPr>
            <w:tcW w:w="834" w:type="pct"/>
            <w:noWrap/>
            <w:hideMark/>
          </w:tcPr>
          <w:p w14:paraId="7741A6E3" w14:textId="77777777" w:rsidR="00BB3966" w:rsidRPr="00317F65" w:rsidRDefault="00BB3966" w:rsidP="00593FED">
            <w:pPr>
              <w:jc w:val="center"/>
              <w:rPr>
                <w:rFonts w:eastAsia="Times New Roman"/>
                <w:color w:val="000000"/>
              </w:rPr>
            </w:pPr>
            <w:r w:rsidRPr="00317F65">
              <w:rPr>
                <w:rFonts w:eastAsia="Times New Roman"/>
                <w:color w:val="000000"/>
              </w:rPr>
              <w:t>3.1%</w:t>
            </w:r>
          </w:p>
        </w:tc>
        <w:tc>
          <w:tcPr>
            <w:tcW w:w="833" w:type="pct"/>
            <w:noWrap/>
            <w:hideMark/>
          </w:tcPr>
          <w:p w14:paraId="2CAC3A64" w14:textId="77777777" w:rsidR="00BB3966" w:rsidRPr="00317F65" w:rsidRDefault="00BB3966" w:rsidP="00593FED">
            <w:pPr>
              <w:jc w:val="center"/>
              <w:rPr>
                <w:rFonts w:eastAsia="Times New Roman"/>
                <w:color w:val="000000"/>
              </w:rPr>
            </w:pPr>
            <w:r w:rsidRPr="00317F65">
              <w:rPr>
                <w:color w:val="000000"/>
              </w:rPr>
              <w:t>38</w:t>
            </w:r>
          </w:p>
        </w:tc>
        <w:tc>
          <w:tcPr>
            <w:tcW w:w="833" w:type="pct"/>
            <w:noWrap/>
            <w:hideMark/>
          </w:tcPr>
          <w:p w14:paraId="6648E5C4" w14:textId="77777777" w:rsidR="00BB3966" w:rsidRPr="00317F65" w:rsidRDefault="00BB3966" w:rsidP="00593FED">
            <w:pPr>
              <w:jc w:val="center"/>
              <w:rPr>
                <w:rFonts w:eastAsia="Times New Roman"/>
                <w:color w:val="000000"/>
              </w:rPr>
            </w:pPr>
            <w:r w:rsidRPr="00317F65">
              <w:rPr>
                <w:color w:val="000000"/>
              </w:rPr>
              <w:t>3.6%</w:t>
            </w:r>
          </w:p>
        </w:tc>
      </w:tr>
      <w:tr w:rsidR="00BB3966" w:rsidRPr="00317F65" w14:paraId="261F55F0" w14:textId="77777777" w:rsidTr="007F6337">
        <w:trPr>
          <w:trHeight w:val="290"/>
        </w:trPr>
        <w:tc>
          <w:tcPr>
            <w:tcW w:w="833" w:type="pct"/>
            <w:vMerge/>
            <w:hideMark/>
          </w:tcPr>
          <w:p w14:paraId="3EC25922" w14:textId="77777777" w:rsidR="00BB3966" w:rsidRPr="00317F65" w:rsidRDefault="00BB3966" w:rsidP="00593FED">
            <w:pPr>
              <w:rPr>
                <w:rFonts w:eastAsia="Times New Roman"/>
                <w:color w:val="000000"/>
              </w:rPr>
            </w:pPr>
          </w:p>
        </w:tc>
        <w:tc>
          <w:tcPr>
            <w:tcW w:w="834" w:type="pct"/>
            <w:noWrap/>
            <w:hideMark/>
          </w:tcPr>
          <w:p w14:paraId="40E255F4" w14:textId="77777777" w:rsidR="00BB3966" w:rsidRPr="00317F65" w:rsidRDefault="00BB3966" w:rsidP="00593FED">
            <w:pPr>
              <w:rPr>
                <w:rFonts w:eastAsia="Times New Roman"/>
                <w:color w:val="000000"/>
                <w:szCs w:val="20"/>
              </w:rPr>
            </w:pPr>
            <w:r w:rsidRPr="00317F65">
              <w:rPr>
                <w:rFonts w:eastAsia="Times New Roman"/>
                <w:color w:val="000000"/>
                <w:szCs w:val="20"/>
              </w:rPr>
              <w:t>$40K-50K</w:t>
            </w:r>
          </w:p>
        </w:tc>
        <w:tc>
          <w:tcPr>
            <w:tcW w:w="833" w:type="pct"/>
            <w:noWrap/>
            <w:hideMark/>
          </w:tcPr>
          <w:p w14:paraId="46083AFF" w14:textId="77777777" w:rsidR="00BB3966" w:rsidRPr="00317F65" w:rsidRDefault="00BB3966" w:rsidP="00593FED">
            <w:pPr>
              <w:jc w:val="center"/>
              <w:rPr>
                <w:rFonts w:eastAsia="Times New Roman"/>
                <w:color w:val="000000"/>
              </w:rPr>
            </w:pPr>
            <w:r w:rsidRPr="00317F65">
              <w:rPr>
                <w:rFonts w:eastAsia="Times New Roman"/>
                <w:color w:val="000000"/>
              </w:rPr>
              <w:t>919,615</w:t>
            </w:r>
          </w:p>
        </w:tc>
        <w:tc>
          <w:tcPr>
            <w:tcW w:w="834" w:type="pct"/>
            <w:noWrap/>
            <w:hideMark/>
          </w:tcPr>
          <w:p w14:paraId="44CC1BCF" w14:textId="77777777" w:rsidR="00BB3966" w:rsidRPr="00317F65" w:rsidRDefault="00BB3966" w:rsidP="00593FED">
            <w:pPr>
              <w:jc w:val="center"/>
              <w:rPr>
                <w:rFonts w:eastAsia="Times New Roman"/>
                <w:color w:val="000000"/>
              </w:rPr>
            </w:pPr>
            <w:r w:rsidRPr="00317F65">
              <w:rPr>
                <w:rFonts w:eastAsia="Times New Roman"/>
                <w:color w:val="000000"/>
              </w:rPr>
              <w:t>3.0%</w:t>
            </w:r>
          </w:p>
        </w:tc>
        <w:tc>
          <w:tcPr>
            <w:tcW w:w="833" w:type="pct"/>
            <w:noWrap/>
            <w:hideMark/>
          </w:tcPr>
          <w:p w14:paraId="65539F80" w14:textId="77777777" w:rsidR="00BB3966" w:rsidRPr="00317F65" w:rsidRDefault="00BB3966" w:rsidP="00593FED">
            <w:pPr>
              <w:jc w:val="center"/>
              <w:rPr>
                <w:rFonts w:eastAsia="Times New Roman"/>
                <w:color w:val="000000"/>
              </w:rPr>
            </w:pPr>
            <w:r w:rsidRPr="00317F65">
              <w:rPr>
                <w:color w:val="000000"/>
              </w:rPr>
              <w:t>46</w:t>
            </w:r>
          </w:p>
        </w:tc>
        <w:tc>
          <w:tcPr>
            <w:tcW w:w="833" w:type="pct"/>
            <w:noWrap/>
            <w:hideMark/>
          </w:tcPr>
          <w:p w14:paraId="541AE065" w14:textId="77777777" w:rsidR="00BB3966" w:rsidRPr="00317F65" w:rsidRDefault="00BB3966" w:rsidP="00593FED">
            <w:pPr>
              <w:jc w:val="center"/>
              <w:rPr>
                <w:rFonts w:eastAsia="Times New Roman"/>
                <w:color w:val="000000"/>
              </w:rPr>
            </w:pPr>
            <w:r w:rsidRPr="00317F65">
              <w:rPr>
                <w:color w:val="000000"/>
              </w:rPr>
              <w:t>4.4%</w:t>
            </w:r>
          </w:p>
        </w:tc>
      </w:tr>
      <w:tr w:rsidR="00BB3966" w:rsidRPr="00317F65" w14:paraId="66AD4B54" w14:textId="77777777" w:rsidTr="007F6337">
        <w:trPr>
          <w:trHeight w:val="290"/>
        </w:trPr>
        <w:tc>
          <w:tcPr>
            <w:tcW w:w="833" w:type="pct"/>
            <w:vMerge/>
            <w:hideMark/>
          </w:tcPr>
          <w:p w14:paraId="1B30AA76" w14:textId="77777777" w:rsidR="00BB3966" w:rsidRPr="00317F65" w:rsidRDefault="00BB3966" w:rsidP="00593FED">
            <w:pPr>
              <w:rPr>
                <w:rFonts w:eastAsia="Times New Roman"/>
                <w:color w:val="000000"/>
              </w:rPr>
            </w:pPr>
          </w:p>
        </w:tc>
        <w:tc>
          <w:tcPr>
            <w:tcW w:w="834" w:type="pct"/>
            <w:noWrap/>
            <w:hideMark/>
          </w:tcPr>
          <w:p w14:paraId="35083547" w14:textId="77777777" w:rsidR="00BB3966" w:rsidRPr="00317F65" w:rsidRDefault="00BB3966" w:rsidP="00593FED">
            <w:pPr>
              <w:rPr>
                <w:rFonts w:eastAsia="Times New Roman"/>
                <w:color w:val="000000"/>
                <w:szCs w:val="20"/>
              </w:rPr>
            </w:pPr>
            <w:r w:rsidRPr="00317F65">
              <w:rPr>
                <w:rFonts w:eastAsia="Times New Roman"/>
                <w:color w:val="000000"/>
                <w:szCs w:val="20"/>
              </w:rPr>
              <w:t xml:space="preserve">$50K-$75K  </w:t>
            </w:r>
          </w:p>
        </w:tc>
        <w:tc>
          <w:tcPr>
            <w:tcW w:w="833" w:type="pct"/>
            <w:noWrap/>
            <w:hideMark/>
          </w:tcPr>
          <w:p w14:paraId="16F0B86A" w14:textId="77777777" w:rsidR="00BB3966" w:rsidRPr="00317F65" w:rsidRDefault="00BB3966" w:rsidP="00593FED">
            <w:pPr>
              <w:jc w:val="center"/>
              <w:rPr>
                <w:rFonts w:eastAsia="Times New Roman"/>
                <w:color w:val="000000"/>
              </w:rPr>
            </w:pPr>
            <w:r w:rsidRPr="00317F65">
              <w:rPr>
                <w:rFonts w:eastAsia="Times New Roman"/>
                <w:color w:val="000000"/>
              </w:rPr>
              <w:t>2,428,912</w:t>
            </w:r>
          </w:p>
        </w:tc>
        <w:tc>
          <w:tcPr>
            <w:tcW w:w="834" w:type="pct"/>
            <w:noWrap/>
            <w:hideMark/>
          </w:tcPr>
          <w:p w14:paraId="2BDF8942" w14:textId="77777777" w:rsidR="00BB3966" w:rsidRPr="00317F65" w:rsidRDefault="00BB3966" w:rsidP="00593FED">
            <w:pPr>
              <w:jc w:val="center"/>
              <w:rPr>
                <w:rFonts w:eastAsia="Times New Roman"/>
                <w:color w:val="000000"/>
              </w:rPr>
            </w:pPr>
            <w:r w:rsidRPr="00317F65">
              <w:rPr>
                <w:rFonts w:eastAsia="Times New Roman"/>
                <w:color w:val="000000"/>
              </w:rPr>
              <w:t>8.0%</w:t>
            </w:r>
          </w:p>
        </w:tc>
        <w:tc>
          <w:tcPr>
            <w:tcW w:w="833" w:type="pct"/>
            <w:noWrap/>
            <w:hideMark/>
          </w:tcPr>
          <w:p w14:paraId="39A17F25" w14:textId="77777777" w:rsidR="00BB3966" w:rsidRPr="00317F65" w:rsidRDefault="00BB3966" w:rsidP="00593FED">
            <w:pPr>
              <w:jc w:val="center"/>
              <w:rPr>
                <w:rFonts w:eastAsia="Times New Roman"/>
                <w:color w:val="000000"/>
              </w:rPr>
            </w:pPr>
            <w:r w:rsidRPr="00317F65">
              <w:rPr>
                <w:color w:val="000000"/>
              </w:rPr>
              <w:t>100</w:t>
            </w:r>
          </w:p>
        </w:tc>
        <w:tc>
          <w:tcPr>
            <w:tcW w:w="833" w:type="pct"/>
            <w:noWrap/>
            <w:hideMark/>
          </w:tcPr>
          <w:p w14:paraId="039783F0" w14:textId="77777777" w:rsidR="00BB3966" w:rsidRPr="00317F65" w:rsidRDefault="00BB3966" w:rsidP="00593FED">
            <w:pPr>
              <w:jc w:val="center"/>
              <w:rPr>
                <w:rFonts w:eastAsia="Times New Roman"/>
                <w:color w:val="000000"/>
              </w:rPr>
            </w:pPr>
            <w:r w:rsidRPr="00317F65">
              <w:rPr>
                <w:color w:val="000000"/>
              </w:rPr>
              <w:t>9.5%</w:t>
            </w:r>
          </w:p>
        </w:tc>
      </w:tr>
      <w:tr w:rsidR="00BB3966" w:rsidRPr="00317F65" w14:paraId="1F530961" w14:textId="77777777" w:rsidTr="007F6337">
        <w:trPr>
          <w:trHeight w:val="290"/>
        </w:trPr>
        <w:tc>
          <w:tcPr>
            <w:tcW w:w="833" w:type="pct"/>
            <w:vMerge/>
            <w:hideMark/>
          </w:tcPr>
          <w:p w14:paraId="212FB7C0" w14:textId="77777777" w:rsidR="00BB3966" w:rsidRPr="00317F65" w:rsidRDefault="00BB3966" w:rsidP="00593FED">
            <w:pPr>
              <w:rPr>
                <w:rFonts w:eastAsia="Times New Roman"/>
                <w:color w:val="000000"/>
              </w:rPr>
            </w:pPr>
          </w:p>
        </w:tc>
        <w:tc>
          <w:tcPr>
            <w:tcW w:w="834" w:type="pct"/>
            <w:noWrap/>
            <w:hideMark/>
          </w:tcPr>
          <w:p w14:paraId="3EA8F93F" w14:textId="77777777" w:rsidR="00BB3966" w:rsidRPr="00317F65" w:rsidRDefault="00BB3966" w:rsidP="00593FED">
            <w:pPr>
              <w:rPr>
                <w:rFonts w:eastAsia="Times New Roman"/>
                <w:color w:val="000000"/>
                <w:szCs w:val="20"/>
              </w:rPr>
            </w:pPr>
            <w:r w:rsidRPr="00317F65">
              <w:rPr>
                <w:rFonts w:eastAsia="Times New Roman"/>
                <w:color w:val="000000"/>
                <w:szCs w:val="20"/>
              </w:rPr>
              <w:t xml:space="preserve">$75K-$100K  </w:t>
            </w:r>
          </w:p>
        </w:tc>
        <w:tc>
          <w:tcPr>
            <w:tcW w:w="833" w:type="pct"/>
            <w:noWrap/>
            <w:hideMark/>
          </w:tcPr>
          <w:p w14:paraId="736EBE13" w14:textId="77777777" w:rsidR="00BB3966" w:rsidRPr="00317F65" w:rsidRDefault="00BB3966" w:rsidP="00593FED">
            <w:pPr>
              <w:jc w:val="center"/>
              <w:rPr>
                <w:rFonts w:eastAsia="Times New Roman"/>
                <w:color w:val="000000"/>
              </w:rPr>
            </w:pPr>
            <w:r w:rsidRPr="00317F65">
              <w:rPr>
                <w:rFonts w:eastAsia="Times New Roman"/>
                <w:color w:val="000000"/>
              </w:rPr>
              <w:t>2,001,610</w:t>
            </w:r>
          </w:p>
        </w:tc>
        <w:tc>
          <w:tcPr>
            <w:tcW w:w="834" w:type="pct"/>
            <w:noWrap/>
            <w:hideMark/>
          </w:tcPr>
          <w:p w14:paraId="7A7ED716" w14:textId="77777777" w:rsidR="00BB3966" w:rsidRPr="00317F65" w:rsidRDefault="00BB3966" w:rsidP="00593FED">
            <w:pPr>
              <w:jc w:val="center"/>
              <w:rPr>
                <w:rFonts w:eastAsia="Times New Roman"/>
                <w:color w:val="000000"/>
              </w:rPr>
            </w:pPr>
            <w:r w:rsidRPr="00317F65">
              <w:rPr>
                <w:rFonts w:eastAsia="Times New Roman"/>
                <w:color w:val="000000"/>
              </w:rPr>
              <w:t>6.6%</w:t>
            </w:r>
          </w:p>
        </w:tc>
        <w:tc>
          <w:tcPr>
            <w:tcW w:w="833" w:type="pct"/>
            <w:noWrap/>
            <w:hideMark/>
          </w:tcPr>
          <w:p w14:paraId="6F0E4E51" w14:textId="77777777" w:rsidR="00BB3966" w:rsidRPr="00317F65" w:rsidRDefault="00BB3966" w:rsidP="00593FED">
            <w:pPr>
              <w:jc w:val="center"/>
              <w:rPr>
                <w:rFonts w:eastAsia="Times New Roman"/>
                <w:color w:val="000000"/>
              </w:rPr>
            </w:pPr>
            <w:r w:rsidRPr="00317F65">
              <w:rPr>
                <w:color w:val="000000"/>
              </w:rPr>
              <w:t>85</w:t>
            </w:r>
          </w:p>
        </w:tc>
        <w:tc>
          <w:tcPr>
            <w:tcW w:w="833" w:type="pct"/>
            <w:noWrap/>
            <w:hideMark/>
          </w:tcPr>
          <w:p w14:paraId="12DF65DA" w14:textId="77777777" w:rsidR="00BB3966" w:rsidRPr="00317F65" w:rsidRDefault="00BB3966" w:rsidP="00593FED">
            <w:pPr>
              <w:jc w:val="center"/>
              <w:rPr>
                <w:rFonts w:eastAsia="Times New Roman"/>
                <w:color w:val="000000"/>
              </w:rPr>
            </w:pPr>
            <w:r w:rsidRPr="00317F65">
              <w:rPr>
                <w:color w:val="000000"/>
              </w:rPr>
              <w:t>8.0%</w:t>
            </w:r>
          </w:p>
        </w:tc>
      </w:tr>
      <w:tr w:rsidR="00BB3966" w:rsidRPr="00317F65" w14:paraId="4E71CD0D" w14:textId="77777777" w:rsidTr="007F6337">
        <w:trPr>
          <w:trHeight w:val="290"/>
        </w:trPr>
        <w:tc>
          <w:tcPr>
            <w:tcW w:w="833" w:type="pct"/>
            <w:vMerge/>
            <w:hideMark/>
          </w:tcPr>
          <w:p w14:paraId="4F9B9605" w14:textId="77777777" w:rsidR="00BB3966" w:rsidRPr="00317F65" w:rsidRDefault="00BB3966" w:rsidP="00593FED">
            <w:pPr>
              <w:rPr>
                <w:rFonts w:eastAsia="Times New Roman"/>
                <w:color w:val="000000"/>
              </w:rPr>
            </w:pPr>
          </w:p>
        </w:tc>
        <w:tc>
          <w:tcPr>
            <w:tcW w:w="834" w:type="pct"/>
            <w:noWrap/>
            <w:hideMark/>
          </w:tcPr>
          <w:p w14:paraId="1ED7181B" w14:textId="77777777" w:rsidR="00BB3966" w:rsidRPr="00317F65" w:rsidRDefault="00BB3966" w:rsidP="00593FED">
            <w:pPr>
              <w:rPr>
                <w:rFonts w:eastAsia="Times New Roman"/>
                <w:color w:val="000000"/>
                <w:szCs w:val="20"/>
              </w:rPr>
            </w:pPr>
            <w:r w:rsidRPr="00317F65">
              <w:rPr>
                <w:rFonts w:eastAsia="Times New Roman"/>
                <w:color w:val="000000"/>
                <w:szCs w:val="20"/>
              </w:rPr>
              <w:t xml:space="preserve">$100K-$150K  </w:t>
            </w:r>
          </w:p>
        </w:tc>
        <w:tc>
          <w:tcPr>
            <w:tcW w:w="833" w:type="pct"/>
            <w:noWrap/>
            <w:hideMark/>
          </w:tcPr>
          <w:p w14:paraId="3CC498ED" w14:textId="77777777" w:rsidR="00BB3966" w:rsidRPr="00317F65" w:rsidRDefault="00BB3966" w:rsidP="00593FED">
            <w:pPr>
              <w:jc w:val="center"/>
              <w:rPr>
                <w:rFonts w:eastAsia="Times New Roman"/>
                <w:color w:val="000000"/>
              </w:rPr>
            </w:pPr>
            <w:r w:rsidRPr="00317F65">
              <w:rPr>
                <w:rFonts w:eastAsia="Times New Roman"/>
                <w:color w:val="000000"/>
              </w:rPr>
              <w:t>2,721,795</w:t>
            </w:r>
          </w:p>
        </w:tc>
        <w:tc>
          <w:tcPr>
            <w:tcW w:w="834" w:type="pct"/>
            <w:noWrap/>
            <w:hideMark/>
          </w:tcPr>
          <w:p w14:paraId="5D2BA31F" w14:textId="77777777" w:rsidR="00BB3966" w:rsidRPr="00317F65" w:rsidRDefault="00BB3966" w:rsidP="00593FED">
            <w:pPr>
              <w:jc w:val="center"/>
              <w:rPr>
                <w:rFonts w:eastAsia="Times New Roman"/>
                <w:color w:val="000000"/>
              </w:rPr>
            </w:pPr>
            <w:r w:rsidRPr="00317F65">
              <w:rPr>
                <w:rFonts w:eastAsia="Times New Roman"/>
                <w:color w:val="000000"/>
              </w:rPr>
              <w:t>8.9%</w:t>
            </w:r>
          </w:p>
        </w:tc>
        <w:tc>
          <w:tcPr>
            <w:tcW w:w="833" w:type="pct"/>
            <w:noWrap/>
            <w:hideMark/>
          </w:tcPr>
          <w:p w14:paraId="6E1DD318" w14:textId="77777777" w:rsidR="00BB3966" w:rsidRPr="00317F65" w:rsidRDefault="00BB3966" w:rsidP="00593FED">
            <w:pPr>
              <w:jc w:val="center"/>
              <w:rPr>
                <w:rFonts w:eastAsia="Times New Roman"/>
                <w:color w:val="000000"/>
              </w:rPr>
            </w:pPr>
            <w:r w:rsidRPr="00317F65">
              <w:rPr>
                <w:color w:val="000000"/>
              </w:rPr>
              <w:t>114</w:t>
            </w:r>
          </w:p>
        </w:tc>
        <w:tc>
          <w:tcPr>
            <w:tcW w:w="833" w:type="pct"/>
            <w:noWrap/>
            <w:hideMark/>
          </w:tcPr>
          <w:p w14:paraId="09384312" w14:textId="77777777" w:rsidR="00BB3966" w:rsidRPr="00317F65" w:rsidRDefault="00BB3966" w:rsidP="00593FED">
            <w:pPr>
              <w:jc w:val="center"/>
              <w:rPr>
                <w:rFonts w:eastAsia="Times New Roman"/>
                <w:color w:val="000000"/>
              </w:rPr>
            </w:pPr>
            <w:r w:rsidRPr="00317F65">
              <w:rPr>
                <w:color w:val="000000"/>
              </w:rPr>
              <w:t>10.8%</w:t>
            </w:r>
          </w:p>
        </w:tc>
      </w:tr>
      <w:tr w:rsidR="00BB3966" w:rsidRPr="00317F65" w14:paraId="2AE40360" w14:textId="77777777" w:rsidTr="007F6337">
        <w:trPr>
          <w:trHeight w:val="290"/>
        </w:trPr>
        <w:tc>
          <w:tcPr>
            <w:tcW w:w="833" w:type="pct"/>
            <w:vMerge/>
            <w:hideMark/>
          </w:tcPr>
          <w:p w14:paraId="7ED43872" w14:textId="77777777" w:rsidR="00BB3966" w:rsidRPr="00317F65" w:rsidRDefault="00BB3966" w:rsidP="00593FED">
            <w:pPr>
              <w:rPr>
                <w:rFonts w:eastAsia="Times New Roman"/>
                <w:color w:val="000000"/>
              </w:rPr>
            </w:pPr>
          </w:p>
        </w:tc>
        <w:tc>
          <w:tcPr>
            <w:tcW w:w="834" w:type="pct"/>
            <w:noWrap/>
            <w:hideMark/>
          </w:tcPr>
          <w:p w14:paraId="2E866D9E" w14:textId="77777777" w:rsidR="00BB3966" w:rsidRPr="00317F65" w:rsidRDefault="00BB3966" w:rsidP="00593FED">
            <w:pPr>
              <w:rPr>
                <w:rFonts w:eastAsia="Times New Roman"/>
                <w:color w:val="000000"/>
                <w:szCs w:val="20"/>
              </w:rPr>
            </w:pPr>
            <w:r w:rsidRPr="00317F65">
              <w:rPr>
                <w:rFonts w:eastAsia="Times New Roman"/>
                <w:color w:val="000000"/>
                <w:szCs w:val="20"/>
              </w:rPr>
              <w:t xml:space="preserve">$150K-$200K  </w:t>
            </w:r>
          </w:p>
        </w:tc>
        <w:tc>
          <w:tcPr>
            <w:tcW w:w="833" w:type="pct"/>
            <w:noWrap/>
            <w:hideMark/>
          </w:tcPr>
          <w:p w14:paraId="76281824" w14:textId="77777777" w:rsidR="00BB3966" w:rsidRPr="00317F65" w:rsidRDefault="00BB3966" w:rsidP="00593FED">
            <w:pPr>
              <w:jc w:val="center"/>
              <w:rPr>
                <w:rFonts w:eastAsia="Times New Roman"/>
                <w:color w:val="000000"/>
              </w:rPr>
            </w:pPr>
            <w:r w:rsidRPr="00317F65">
              <w:rPr>
                <w:rFonts w:eastAsia="Times New Roman"/>
                <w:color w:val="000000"/>
              </w:rPr>
              <w:t>1,672,733</w:t>
            </w:r>
          </w:p>
        </w:tc>
        <w:tc>
          <w:tcPr>
            <w:tcW w:w="834" w:type="pct"/>
            <w:noWrap/>
            <w:hideMark/>
          </w:tcPr>
          <w:p w14:paraId="7B3323CC" w14:textId="77777777" w:rsidR="00BB3966" w:rsidRPr="00317F65" w:rsidRDefault="00BB3966" w:rsidP="00593FED">
            <w:pPr>
              <w:jc w:val="center"/>
              <w:rPr>
                <w:rFonts w:eastAsia="Times New Roman"/>
                <w:color w:val="000000"/>
              </w:rPr>
            </w:pPr>
            <w:r w:rsidRPr="00317F65">
              <w:rPr>
                <w:rFonts w:eastAsia="Times New Roman"/>
                <w:color w:val="000000"/>
              </w:rPr>
              <w:t>5.5%</w:t>
            </w:r>
          </w:p>
        </w:tc>
        <w:tc>
          <w:tcPr>
            <w:tcW w:w="833" w:type="pct"/>
            <w:noWrap/>
            <w:hideMark/>
          </w:tcPr>
          <w:p w14:paraId="73F139B9" w14:textId="77777777" w:rsidR="00BB3966" w:rsidRPr="00317F65" w:rsidRDefault="00BB3966" w:rsidP="00593FED">
            <w:pPr>
              <w:jc w:val="center"/>
              <w:rPr>
                <w:rFonts w:eastAsia="Times New Roman"/>
                <w:color w:val="000000"/>
              </w:rPr>
            </w:pPr>
            <w:r w:rsidRPr="00317F65">
              <w:rPr>
                <w:color w:val="000000"/>
              </w:rPr>
              <w:t>56</w:t>
            </w:r>
          </w:p>
        </w:tc>
        <w:tc>
          <w:tcPr>
            <w:tcW w:w="833" w:type="pct"/>
            <w:noWrap/>
            <w:hideMark/>
          </w:tcPr>
          <w:p w14:paraId="08406EB6" w14:textId="77777777" w:rsidR="00BB3966" w:rsidRPr="00317F65" w:rsidRDefault="00BB3966" w:rsidP="00593FED">
            <w:pPr>
              <w:jc w:val="center"/>
              <w:rPr>
                <w:rFonts w:eastAsia="Times New Roman"/>
                <w:color w:val="000000"/>
              </w:rPr>
            </w:pPr>
            <w:r w:rsidRPr="00317F65">
              <w:rPr>
                <w:color w:val="000000"/>
              </w:rPr>
              <w:t>5.3%</w:t>
            </w:r>
          </w:p>
        </w:tc>
      </w:tr>
      <w:tr w:rsidR="00BB3966" w:rsidRPr="00317F65" w14:paraId="41BD1093" w14:textId="77777777" w:rsidTr="007F6337">
        <w:trPr>
          <w:trHeight w:val="300"/>
        </w:trPr>
        <w:tc>
          <w:tcPr>
            <w:tcW w:w="833" w:type="pct"/>
            <w:vMerge/>
            <w:hideMark/>
          </w:tcPr>
          <w:p w14:paraId="086249C1" w14:textId="77777777" w:rsidR="00BB3966" w:rsidRPr="00317F65" w:rsidRDefault="00BB3966" w:rsidP="00593FED">
            <w:pPr>
              <w:rPr>
                <w:rFonts w:eastAsia="Times New Roman"/>
                <w:color w:val="000000"/>
              </w:rPr>
            </w:pPr>
          </w:p>
        </w:tc>
        <w:tc>
          <w:tcPr>
            <w:tcW w:w="834" w:type="pct"/>
            <w:noWrap/>
            <w:hideMark/>
          </w:tcPr>
          <w:p w14:paraId="3DB4165A" w14:textId="77777777" w:rsidR="00BB3966" w:rsidRPr="00317F65" w:rsidRDefault="00BB3966" w:rsidP="00593FED">
            <w:pPr>
              <w:rPr>
                <w:rFonts w:eastAsia="Times New Roman"/>
                <w:color w:val="000000"/>
                <w:szCs w:val="20"/>
              </w:rPr>
            </w:pPr>
            <w:r w:rsidRPr="00317F65">
              <w:rPr>
                <w:rFonts w:eastAsia="Times New Roman"/>
                <w:color w:val="000000"/>
                <w:szCs w:val="20"/>
              </w:rPr>
              <w:t>$200K+</w:t>
            </w:r>
          </w:p>
        </w:tc>
        <w:tc>
          <w:tcPr>
            <w:tcW w:w="833" w:type="pct"/>
            <w:noWrap/>
            <w:hideMark/>
          </w:tcPr>
          <w:p w14:paraId="40CA5F19" w14:textId="77777777" w:rsidR="00BB3966" w:rsidRPr="00317F65" w:rsidRDefault="00BB3966" w:rsidP="00593FED">
            <w:pPr>
              <w:jc w:val="center"/>
              <w:rPr>
                <w:rFonts w:eastAsia="Times New Roman"/>
                <w:color w:val="000000"/>
              </w:rPr>
            </w:pPr>
            <w:r w:rsidRPr="00317F65">
              <w:rPr>
                <w:rFonts w:eastAsia="Times New Roman"/>
                <w:color w:val="000000"/>
              </w:rPr>
              <w:t>2,362,912</w:t>
            </w:r>
          </w:p>
        </w:tc>
        <w:tc>
          <w:tcPr>
            <w:tcW w:w="834" w:type="pct"/>
            <w:noWrap/>
            <w:hideMark/>
          </w:tcPr>
          <w:p w14:paraId="2EAF2B35" w14:textId="77777777" w:rsidR="00BB3966" w:rsidRPr="00317F65" w:rsidRDefault="00BB3966" w:rsidP="00593FED">
            <w:pPr>
              <w:jc w:val="center"/>
              <w:rPr>
                <w:rFonts w:eastAsia="Times New Roman"/>
                <w:color w:val="000000"/>
              </w:rPr>
            </w:pPr>
            <w:r w:rsidRPr="00317F65">
              <w:rPr>
                <w:rFonts w:eastAsia="Times New Roman"/>
                <w:color w:val="000000"/>
              </w:rPr>
              <w:t>7.8%</w:t>
            </w:r>
          </w:p>
        </w:tc>
        <w:tc>
          <w:tcPr>
            <w:tcW w:w="833" w:type="pct"/>
            <w:noWrap/>
            <w:hideMark/>
          </w:tcPr>
          <w:p w14:paraId="11196407" w14:textId="77777777" w:rsidR="00BB3966" w:rsidRPr="00317F65" w:rsidRDefault="00BB3966" w:rsidP="00593FED">
            <w:pPr>
              <w:jc w:val="center"/>
              <w:rPr>
                <w:rFonts w:eastAsia="Times New Roman"/>
                <w:color w:val="000000"/>
              </w:rPr>
            </w:pPr>
            <w:r w:rsidRPr="00317F65">
              <w:rPr>
                <w:color w:val="000000"/>
              </w:rPr>
              <w:t>60</w:t>
            </w:r>
          </w:p>
        </w:tc>
        <w:tc>
          <w:tcPr>
            <w:tcW w:w="833" w:type="pct"/>
            <w:noWrap/>
            <w:hideMark/>
          </w:tcPr>
          <w:p w14:paraId="161F16DE" w14:textId="77777777" w:rsidR="00BB3966" w:rsidRPr="00317F65" w:rsidRDefault="00BB3966" w:rsidP="00593FED">
            <w:pPr>
              <w:jc w:val="center"/>
              <w:rPr>
                <w:rFonts w:eastAsia="Times New Roman"/>
                <w:color w:val="000000"/>
              </w:rPr>
            </w:pPr>
            <w:r w:rsidRPr="00317F65">
              <w:rPr>
                <w:color w:val="000000"/>
              </w:rPr>
              <w:t>5.7%</w:t>
            </w:r>
          </w:p>
        </w:tc>
      </w:tr>
      <w:tr w:rsidR="00BB3966" w:rsidRPr="00317F65" w14:paraId="357E07E5" w14:textId="77777777" w:rsidTr="007F6337">
        <w:trPr>
          <w:trHeight w:val="290"/>
        </w:trPr>
        <w:tc>
          <w:tcPr>
            <w:tcW w:w="1668" w:type="pct"/>
            <w:gridSpan w:val="2"/>
            <w:noWrap/>
            <w:hideMark/>
          </w:tcPr>
          <w:p w14:paraId="0D31ADA6" w14:textId="77777777" w:rsidR="00BB3966" w:rsidRPr="00317F65" w:rsidRDefault="00BB3966" w:rsidP="00593FED">
            <w:pPr>
              <w:jc w:val="center"/>
              <w:rPr>
                <w:rFonts w:eastAsia="Times New Roman"/>
                <w:b/>
                <w:bCs/>
                <w:color w:val="000000"/>
              </w:rPr>
            </w:pPr>
            <w:r w:rsidRPr="00317F65">
              <w:rPr>
                <w:rFonts w:eastAsia="Times New Roman"/>
                <w:b/>
                <w:bCs/>
                <w:color w:val="000000"/>
              </w:rPr>
              <w:t>Total</w:t>
            </w:r>
          </w:p>
        </w:tc>
        <w:tc>
          <w:tcPr>
            <w:tcW w:w="833" w:type="pct"/>
            <w:noWrap/>
            <w:hideMark/>
          </w:tcPr>
          <w:p w14:paraId="45DF6F67" w14:textId="77777777" w:rsidR="00BB3966" w:rsidRPr="00317F65" w:rsidRDefault="00BB3966" w:rsidP="00593FED">
            <w:pPr>
              <w:jc w:val="center"/>
              <w:rPr>
                <w:rFonts w:eastAsia="Times New Roman"/>
                <w:b/>
                <w:bCs/>
                <w:color w:val="000000"/>
              </w:rPr>
            </w:pPr>
            <w:r w:rsidRPr="00317F65">
              <w:rPr>
                <w:rFonts w:eastAsia="Times New Roman"/>
                <w:b/>
                <w:bCs/>
                <w:color w:val="000000"/>
              </w:rPr>
              <w:t>30,452,632</w:t>
            </w:r>
          </w:p>
        </w:tc>
        <w:tc>
          <w:tcPr>
            <w:tcW w:w="834" w:type="pct"/>
            <w:noWrap/>
            <w:hideMark/>
          </w:tcPr>
          <w:p w14:paraId="27C1A1CE" w14:textId="77777777" w:rsidR="00BB3966" w:rsidRPr="00317F65" w:rsidRDefault="00BB3966" w:rsidP="00593FED">
            <w:pPr>
              <w:jc w:val="center"/>
              <w:rPr>
                <w:rFonts w:eastAsia="Times New Roman"/>
                <w:b/>
                <w:bCs/>
                <w:color w:val="000000"/>
              </w:rPr>
            </w:pPr>
            <w:r w:rsidRPr="00317F65">
              <w:rPr>
                <w:rFonts w:eastAsia="Times New Roman"/>
                <w:b/>
                <w:bCs/>
                <w:color w:val="000000"/>
              </w:rPr>
              <w:t>100.0%</w:t>
            </w:r>
          </w:p>
        </w:tc>
        <w:tc>
          <w:tcPr>
            <w:tcW w:w="833" w:type="pct"/>
            <w:noWrap/>
            <w:hideMark/>
          </w:tcPr>
          <w:p w14:paraId="4A691814" w14:textId="77777777" w:rsidR="00BB3966" w:rsidRPr="00317F65" w:rsidRDefault="00BB3966" w:rsidP="00593FED">
            <w:pPr>
              <w:jc w:val="center"/>
              <w:rPr>
                <w:rFonts w:eastAsia="Times New Roman"/>
                <w:b/>
                <w:bCs/>
                <w:color w:val="000000"/>
              </w:rPr>
            </w:pPr>
            <w:r w:rsidRPr="00317F65">
              <w:rPr>
                <w:b/>
                <w:bCs/>
                <w:color w:val="000000"/>
              </w:rPr>
              <w:t>1,057</w:t>
            </w:r>
          </w:p>
        </w:tc>
        <w:tc>
          <w:tcPr>
            <w:tcW w:w="833" w:type="pct"/>
            <w:noWrap/>
            <w:hideMark/>
          </w:tcPr>
          <w:p w14:paraId="3CCD929B" w14:textId="77777777" w:rsidR="00BB3966" w:rsidRPr="00317F65" w:rsidRDefault="00BB3966" w:rsidP="00593FED">
            <w:pPr>
              <w:jc w:val="center"/>
              <w:rPr>
                <w:rFonts w:eastAsia="Times New Roman"/>
                <w:b/>
                <w:bCs/>
                <w:color w:val="000000"/>
              </w:rPr>
            </w:pPr>
            <w:r w:rsidRPr="00317F65">
              <w:rPr>
                <w:b/>
                <w:bCs/>
                <w:color w:val="000000"/>
              </w:rPr>
              <w:t>100.0%</w:t>
            </w:r>
          </w:p>
        </w:tc>
      </w:tr>
    </w:tbl>
    <w:p w14:paraId="4C2A8FF7" w14:textId="22D6CBA4" w:rsidR="00757631" w:rsidRDefault="00757631" w:rsidP="002F536F">
      <w:pPr>
        <w:spacing w:line="480" w:lineRule="auto"/>
        <w:ind w:left="720" w:hanging="720"/>
        <w:contextualSpacing/>
      </w:pPr>
    </w:p>
    <w:p w14:paraId="254F0DEC" w14:textId="77777777" w:rsidR="00757631" w:rsidRDefault="00757631">
      <w:r>
        <w:br w:type="page"/>
      </w:r>
    </w:p>
    <w:p w14:paraId="575CEC01" w14:textId="7CA5249B" w:rsidR="00BB3966" w:rsidRDefault="00757631" w:rsidP="002F536F">
      <w:pPr>
        <w:spacing w:line="480" w:lineRule="auto"/>
        <w:ind w:left="720" w:hanging="720"/>
        <w:contextualSpacing/>
      </w:pPr>
      <w:r>
        <w:lastRenderedPageBreak/>
        <w:t>Figure 1</w:t>
      </w:r>
    </w:p>
    <w:p w14:paraId="667A588D" w14:textId="2C4B164C" w:rsidR="00757631" w:rsidRDefault="00757631" w:rsidP="002F536F">
      <w:pPr>
        <w:spacing w:line="480" w:lineRule="auto"/>
        <w:ind w:left="720" w:hanging="720"/>
        <w:contextualSpacing/>
      </w:pPr>
      <w:r w:rsidRPr="00757631">
        <w:rPr>
          <w:noProof/>
        </w:rPr>
        <w:drawing>
          <wp:inline distT="0" distB="0" distL="0" distR="0" wp14:anchorId="6925A30C" wp14:editId="20C3F3EE">
            <wp:extent cx="3115110" cy="2876951"/>
            <wp:effectExtent l="0" t="0" r="9525" b="0"/>
            <wp:docPr id="1" name="Picture 1" descr="Chart, pie chart&#10;&#10;Shows the sample of the mechanisms of injury, with the largest segment being sports and re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Shows the sample of the mechanisms of injury, with the largest segment being sports and recreation."/>
                    <pic:cNvPicPr/>
                  </pic:nvPicPr>
                  <pic:blipFill>
                    <a:blip r:embed="rId28"/>
                    <a:stretch>
                      <a:fillRect/>
                    </a:stretch>
                  </pic:blipFill>
                  <pic:spPr>
                    <a:xfrm>
                      <a:off x="0" y="0"/>
                      <a:ext cx="3115110" cy="2876951"/>
                    </a:xfrm>
                    <a:prstGeom prst="rect">
                      <a:avLst/>
                    </a:prstGeom>
                  </pic:spPr>
                </pic:pic>
              </a:graphicData>
            </a:graphic>
          </wp:inline>
        </w:drawing>
      </w:r>
    </w:p>
    <w:p w14:paraId="57A33F32" w14:textId="77777777" w:rsidR="00757631" w:rsidRDefault="00757631">
      <w:r>
        <w:br w:type="page"/>
      </w:r>
    </w:p>
    <w:p w14:paraId="23A28167" w14:textId="24435358" w:rsidR="00757631" w:rsidRDefault="00757631" w:rsidP="002F536F">
      <w:pPr>
        <w:spacing w:line="480" w:lineRule="auto"/>
        <w:ind w:left="720" w:hanging="720"/>
        <w:contextualSpacing/>
      </w:pPr>
      <w:r>
        <w:lastRenderedPageBreak/>
        <w:t>Figure 2</w:t>
      </w:r>
    </w:p>
    <w:p w14:paraId="45E10C18" w14:textId="7FC31731" w:rsidR="00757631" w:rsidRDefault="00757631" w:rsidP="002F536F">
      <w:pPr>
        <w:spacing w:line="480" w:lineRule="auto"/>
        <w:ind w:left="720" w:hanging="720"/>
        <w:contextualSpacing/>
      </w:pPr>
      <w:r w:rsidRPr="00757631">
        <w:rPr>
          <w:noProof/>
        </w:rPr>
        <w:drawing>
          <wp:inline distT="0" distB="0" distL="0" distR="0" wp14:anchorId="49B62F21" wp14:editId="56CC2C40">
            <wp:extent cx="3381847" cy="2848373"/>
            <wp:effectExtent l="0" t="0" r="0" b="9525"/>
            <wp:docPr id="2" name="Picture 2" descr="Chart, pie chart&#10;&#10;The pie chart gives the injury characteristics of TBI sample. Half involve no loss of conscious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The pie chart gives the injury characteristics of TBI sample. Half involve no loss of consciousness."/>
                    <pic:cNvPicPr/>
                  </pic:nvPicPr>
                  <pic:blipFill>
                    <a:blip r:embed="rId29"/>
                    <a:stretch>
                      <a:fillRect/>
                    </a:stretch>
                  </pic:blipFill>
                  <pic:spPr>
                    <a:xfrm>
                      <a:off x="0" y="0"/>
                      <a:ext cx="3381847" cy="2848373"/>
                    </a:xfrm>
                    <a:prstGeom prst="rect">
                      <a:avLst/>
                    </a:prstGeom>
                  </pic:spPr>
                </pic:pic>
              </a:graphicData>
            </a:graphic>
          </wp:inline>
        </w:drawing>
      </w:r>
    </w:p>
    <w:p w14:paraId="7A5DA716" w14:textId="0434C9C7" w:rsidR="00084529" w:rsidRPr="00317F65" w:rsidRDefault="00084529" w:rsidP="002F536F">
      <w:pPr>
        <w:spacing w:line="480" w:lineRule="auto"/>
        <w:ind w:left="720" w:hanging="720"/>
        <w:contextualSpacing/>
      </w:pPr>
      <w:r w:rsidRPr="00084529">
        <w:rPr>
          <w:noProof/>
        </w:rPr>
        <w:drawing>
          <wp:inline distT="0" distB="0" distL="0" distR="0" wp14:anchorId="782D91F5" wp14:editId="76A6CF79">
            <wp:extent cx="3784179" cy="3147238"/>
            <wp:effectExtent l="0" t="0" r="6985" b="0"/>
            <wp:docPr id="3" name="Picture 3" descr="The pie chart gives the injury characteristics of TBI sample. Concussion 1 is slightly more tha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pie chart gives the injury characteristics of TBI sample. Concussion 1 is slightly more than 50%"/>
                    <pic:cNvPicPr/>
                  </pic:nvPicPr>
                  <pic:blipFill>
                    <a:blip r:embed="rId30"/>
                    <a:stretch>
                      <a:fillRect/>
                    </a:stretch>
                  </pic:blipFill>
                  <pic:spPr>
                    <a:xfrm>
                      <a:off x="0" y="0"/>
                      <a:ext cx="3807830" cy="3166908"/>
                    </a:xfrm>
                    <a:prstGeom prst="rect">
                      <a:avLst/>
                    </a:prstGeom>
                  </pic:spPr>
                </pic:pic>
              </a:graphicData>
            </a:graphic>
          </wp:inline>
        </w:drawing>
      </w:r>
    </w:p>
    <w:sectPr w:rsidR="00084529" w:rsidRPr="00317F65">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Daniel Ignacio" w:date="2023-03-13T00:19:00Z" w:initials="DI">
    <w:p w14:paraId="6413057D" w14:textId="77777777" w:rsidR="003559FA" w:rsidRDefault="003559FA" w:rsidP="00BA7867">
      <w:pPr>
        <w:pStyle w:val="CommentText"/>
      </w:pPr>
      <w:r>
        <w:rPr>
          <w:rStyle w:val="CommentReference"/>
        </w:rPr>
        <w:annotationRef/>
      </w:r>
      <w:r>
        <w:t>Place in table</w:t>
      </w:r>
    </w:p>
  </w:comment>
  <w:comment w:id="5" w:author="Charles Degeneffe" w:date="2023-03-08T12:24:00Z" w:initials="CD">
    <w:p w14:paraId="7502B453" w14:textId="1EED5D95" w:rsidR="007119D8" w:rsidRDefault="007119D8">
      <w:pPr>
        <w:pStyle w:val="CommentText"/>
      </w:pPr>
      <w:r>
        <w:rPr>
          <w:rStyle w:val="CommentReference"/>
        </w:rPr>
        <w:annotationRef/>
      </w:r>
      <w:r>
        <w:t>What does that mean?</w:t>
      </w:r>
    </w:p>
  </w:comment>
  <w:comment w:id="6" w:author="Daniel Ignacio" w:date="2023-03-13T00:22:00Z" w:initials="DI">
    <w:p w14:paraId="507AC6D4" w14:textId="77777777" w:rsidR="003559FA" w:rsidRDefault="003559FA" w:rsidP="009548DB">
      <w:pPr>
        <w:pStyle w:val="CommentText"/>
      </w:pPr>
      <w:r>
        <w:rPr>
          <w:rStyle w:val="CommentReference"/>
        </w:rPr>
        <w:annotationRef/>
      </w:r>
      <w:r>
        <w:t>Excise tax is the added "sinners tax" for goods with a public health concern (e.g., alcohol, gas, cigarettes)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13057D" w15:done="0"/>
  <w15:commentEx w15:paraId="7502B453" w15:done="0"/>
  <w15:commentEx w15:paraId="507AC6D4" w15:paraIdParent="7502B4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8EA96" w16cex:dateUtc="2023-03-13T07:19:00Z"/>
  <w16cex:commentExtensible w16cex:durableId="27B2FCF9" w16cex:dateUtc="2023-03-08T20:24:00Z"/>
  <w16cex:commentExtensible w16cex:durableId="27B8EB2F" w16cex:dateUtc="2023-03-13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13057D" w16cid:durableId="27B8EA96"/>
  <w16cid:commentId w16cid:paraId="7502B453" w16cid:durableId="27B2FCF9"/>
  <w16cid:commentId w16cid:paraId="507AC6D4" w16cid:durableId="27B8EB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A69C" w14:textId="77777777" w:rsidR="009013D6" w:rsidRDefault="009013D6" w:rsidP="00D77815">
      <w:pPr>
        <w:spacing w:after="0" w:line="240" w:lineRule="auto"/>
      </w:pPr>
      <w:r>
        <w:separator/>
      </w:r>
    </w:p>
  </w:endnote>
  <w:endnote w:type="continuationSeparator" w:id="0">
    <w:p w14:paraId="1718E8C5" w14:textId="77777777" w:rsidR="009013D6" w:rsidRDefault="009013D6" w:rsidP="00D7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6468" w14:textId="77777777" w:rsidR="00AD003F" w:rsidRDefault="00AD0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89E3" w14:textId="77777777" w:rsidR="00AD003F" w:rsidRDefault="00AD0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A4EE" w14:textId="77777777" w:rsidR="00AD003F" w:rsidRDefault="00AD0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054D" w14:textId="77777777" w:rsidR="009013D6" w:rsidRDefault="009013D6" w:rsidP="00D77815">
      <w:pPr>
        <w:spacing w:after="0" w:line="240" w:lineRule="auto"/>
      </w:pPr>
      <w:r>
        <w:separator/>
      </w:r>
    </w:p>
  </w:footnote>
  <w:footnote w:type="continuationSeparator" w:id="0">
    <w:p w14:paraId="418326AB" w14:textId="77777777" w:rsidR="009013D6" w:rsidRDefault="009013D6" w:rsidP="00D77815">
      <w:pPr>
        <w:spacing w:after="0" w:line="240" w:lineRule="auto"/>
      </w:pPr>
      <w:r>
        <w:continuationSeparator/>
      </w:r>
    </w:p>
  </w:footnote>
  <w:footnote w:id="1">
    <w:p w14:paraId="3CFECB50" w14:textId="77777777" w:rsidR="00092FE4" w:rsidRDefault="00092FE4" w:rsidP="00092FE4">
      <w:pPr>
        <w:pStyle w:val="FootnoteText"/>
        <w:spacing w:before="0" w:after="0"/>
        <w:ind w:left="86" w:hanging="86"/>
      </w:pPr>
      <w:r>
        <w:rPr>
          <w:rStyle w:val="FootnoteReference"/>
        </w:rPr>
        <w:footnoteRef/>
      </w:r>
      <w:r>
        <w:tab/>
      </w:r>
      <w:r w:rsidRPr="00D30CCA">
        <w:rPr>
          <w:rFonts w:ascii="Times New Roman" w:hAnsi="Times New Roman"/>
          <w:color w:val="000000" w:themeColor="text1"/>
        </w:rPr>
        <w:t>Shah, B., Barnwell, B., &amp; Bieler, G. (1995). </w:t>
      </w:r>
      <w:r w:rsidRPr="00D30CCA">
        <w:rPr>
          <w:rStyle w:val="Emphasis"/>
          <w:rFonts w:ascii="Times New Roman" w:hAnsi="Times New Roman"/>
          <w:color w:val="000000" w:themeColor="text1"/>
        </w:rPr>
        <w:t>SUDAAN Software for Analysis of Correlated Data,</w:t>
      </w:r>
      <w:r w:rsidRPr="00D30CCA">
        <w:rPr>
          <w:rFonts w:ascii="Times New Roman" w:hAnsi="Times New Roman"/>
          <w:color w:val="000000" w:themeColor="text1"/>
        </w:rPr>
        <w:t> RTI International.</w:t>
      </w:r>
    </w:p>
  </w:footnote>
  <w:footnote w:id="2">
    <w:p w14:paraId="15CA9B60" w14:textId="77777777" w:rsidR="00092FE4" w:rsidRDefault="00092FE4" w:rsidP="00092FE4">
      <w:pPr>
        <w:pStyle w:val="FootnoteText"/>
        <w:spacing w:before="40" w:after="40"/>
      </w:pPr>
      <w:r w:rsidRPr="001379C4">
        <w:rPr>
          <w:rStyle w:val="FootnoteReference"/>
          <w:rFonts w:ascii="Times New Roman" w:hAnsi="Times New Roman"/>
        </w:rPr>
        <w:footnoteRef/>
      </w:r>
      <w:r w:rsidRPr="001379C4">
        <w:rPr>
          <w:rFonts w:ascii="Times New Roman" w:hAnsi="Times New Roman"/>
        </w:rPr>
        <w:t xml:space="preserve"> </w:t>
      </w:r>
      <w:hyperlink r:id="rId1" w:history="1">
        <w:r w:rsidRPr="001379C4">
          <w:rPr>
            <w:rStyle w:val="Hyperlink"/>
            <w:rFonts w:ascii="Times New Roman" w:hAnsi="Times New Roman"/>
          </w:rPr>
          <w:t>https://support.sas.com/resources/papers/proceedings16/SAS3520-2016.pdf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6DD6" w14:textId="77777777" w:rsidR="00AD003F" w:rsidRDefault="00AD0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C52D" w14:textId="750EC4DA" w:rsidR="00D77815" w:rsidRDefault="0093130F">
    <w:pPr>
      <w:pStyle w:val="Header"/>
      <w:jc w:val="right"/>
    </w:pPr>
    <w:sdt>
      <w:sdtPr>
        <w:id w:val="-689990517"/>
        <w:docPartObj>
          <w:docPartGallery w:val="Watermarks"/>
          <w:docPartUnique/>
        </w:docPartObj>
      </w:sdtPr>
      <w:sdtEndPr/>
      <w:sdtContent>
        <w:r>
          <w:rPr>
            <w:noProof/>
          </w:rPr>
          <w:pict w14:anchorId="5DED78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77815">
      <w:t>California Department of Rehabilitation’s TBI Advisory Board: Registry Subcommittee</w:t>
    </w:r>
    <w:r w:rsidR="00D77815">
      <w:ptab w:relativeTo="margin" w:alignment="right" w:leader="none"/>
    </w:r>
    <w:sdt>
      <w:sdtPr>
        <w:id w:val="-1139722208"/>
        <w:docPartObj>
          <w:docPartGallery w:val="Page Numbers (Top of Page)"/>
          <w:docPartUnique/>
        </w:docPartObj>
      </w:sdtPr>
      <w:sdtEndPr>
        <w:rPr>
          <w:noProof/>
        </w:rPr>
      </w:sdtEndPr>
      <w:sdtContent>
        <w:r w:rsidR="00D77815">
          <w:fldChar w:fldCharType="begin"/>
        </w:r>
        <w:r w:rsidR="00D77815">
          <w:instrText xml:space="preserve"> PAGE   \* MERGEFORMAT </w:instrText>
        </w:r>
        <w:r w:rsidR="00D77815">
          <w:fldChar w:fldCharType="separate"/>
        </w:r>
        <w:r w:rsidR="00D77815">
          <w:rPr>
            <w:noProof/>
          </w:rPr>
          <w:t>2</w:t>
        </w:r>
        <w:r w:rsidR="00D77815">
          <w:rPr>
            <w:noProof/>
          </w:rPr>
          <w:fldChar w:fldCharType="end"/>
        </w:r>
      </w:sdtContent>
    </w:sdt>
  </w:p>
  <w:p w14:paraId="44C59268" w14:textId="77777777" w:rsidR="00D77815" w:rsidRDefault="00D77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B09F" w14:textId="77777777" w:rsidR="00AD003F" w:rsidRDefault="00AD0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CD7"/>
    <w:multiLevelType w:val="hybridMultilevel"/>
    <w:tmpl w:val="84681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F0A2B"/>
    <w:multiLevelType w:val="hybridMultilevel"/>
    <w:tmpl w:val="99467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10D68"/>
    <w:multiLevelType w:val="hybridMultilevel"/>
    <w:tmpl w:val="F8380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8529A"/>
    <w:multiLevelType w:val="hybridMultilevel"/>
    <w:tmpl w:val="6FD25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136F3"/>
    <w:multiLevelType w:val="hybridMultilevel"/>
    <w:tmpl w:val="6D0AB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B0D92"/>
    <w:multiLevelType w:val="hybridMultilevel"/>
    <w:tmpl w:val="55D88F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7154771">
    <w:abstractNumId w:val="2"/>
  </w:num>
  <w:num w:numId="2" w16cid:durableId="391782135">
    <w:abstractNumId w:val="5"/>
  </w:num>
  <w:num w:numId="3" w16cid:durableId="1625304787">
    <w:abstractNumId w:val="0"/>
  </w:num>
  <w:num w:numId="4" w16cid:durableId="2146004107">
    <w:abstractNumId w:val="1"/>
  </w:num>
  <w:num w:numId="5" w16cid:durableId="1393886536">
    <w:abstractNumId w:val="4"/>
  </w:num>
  <w:num w:numId="6" w16cid:durableId="138093913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Ignacio">
    <w15:presenceInfo w15:providerId="Windows Live" w15:userId="9bc317a634f92ee1"/>
  </w15:person>
  <w15:person w15:author="Charles Degeneffe">
    <w15:presenceInfo w15:providerId="AD" w15:userId="S::cdegenef@sdsu.edu::fb1ef6ce-e28e-4386-bceb-0a0a242ed5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zNTY3tbA0NzAxtzRX0lEKTi0uzszPAykwMqoFAP0XhVQtAAAA"/>
  </w:docVars>
  <w:rsids>
    <w:rsidRoot w:val="00E909B3"/>
    <w:rsid w:val="00006D3D"/>
    <w:rsid w:val="00022D81"/>
    <w:rsid w:val="00030056"/>
    <w:rsid w:val="0007111B"/>
    <w:rsid w:val="00084529"/>
    <w:rsid w:val="00092FE4"/>
    <w:rsid w:val="000A77F1"/>
    <w:rsid w:val="000C29CF"/>
    <w:rsid w:val="000F347F"/>
    <w:rsid w:val="00110E1E"/>
    <w:rsid w:val="00120666"/>
    <w:rsid w:val="00123614"/>
    <w:rsid w:val="00136A64"/>
    <w:rsid w:val="001527CA"/>
    <w:rsid w:val="00161572"/>
    <w:rsid w:val="00162CDF"/>
    <w:rsid w:val="001B5F10"/>
    <w:rsid w:val="001C0455"/>
    <w:rsid w:val="001E6C92"/>
    <w:rsid w:val="002007D1"/>
    <w:rsid w:val="00217DEC"/>
    <w:rsid w:val="00240FFF"/>
    <w:rsid w:val="00247B86"/>
    <w:rsid w:val="002543C6"/>
    <w:rsid w:val="00276892"/>
    <w:rsid w:val="0028472A"/>
    <w:rsid w:val="002A766D"/>
    <w:rsid w:val="002C3584"/>
    <w:rsid w:val="002C7819"/>
    <w:rsid w:val="002F536F"/>
    <w:rsid w:val="00317F65"/>
    <w:rsid w:val="00327B7E"/>
    <w:rsid w:val="00343F69"/>
    <w:rsid w:val="00346D95"/>
    <w:rsid w:val="003559FA"/>
    <w:rsid w:val="00377E31"/>
    <w:rsid w:val="003D4B17"/>
    <w:rsid w:val="003D7C91"/>
    <w:rsid w:val="003E35EC"/>
    <w:rsid w:val="003E498A"/>
    <w:rsid w:val="004118D0"/>
    <w:rsid w:val="00425ECF"/>
    <w:rsid w:val="00443FD3"/>
    <w:rsid w:val="00470AD5"/>
    <w:rsid w:val="00473D86"/>
    <w:rsid w:val="0048123C"/>
    <w:rsid w:val="00482A3D"/>
    <w:rsid w:val="0048368E"/>
    <w:rsid w:val="004C60E3"/>
    <w:rsid w:val="004E5A02"/>
    <w:rsid w:val="004F0281"/>
    <w:rsid w:val="004F3B88"/>
    <w:rsid w:val="00522BFF"/>
    <w:rsid w:val="0052748D"/>
    <w:rsid w:val="005742DB"/>
    <w:rsid w:val="00594957"/>
    <w:rsid w:val="005B7CC8"/>
    <w:rsid w:val="005C6003"/>
    <w:rsid w:val="005D644B"/>
    <w:rsid w:val="005F0273"/>
    <w:rsid w:val="005F3F5E"/>
    <w:rsid w:val="006229F7"/>
    <w:rsid w:val="006431A4"/>
    <w:rsid w:val="00682224"/>
    <w:rsid w:val="00694238"/>
    <w:rsid w:val="006A1004"/>
    <w:rsid w:val="006A6E7D"/>
    <w:rsid w:val="006A7504"/>
    <w:rsid w:val="006B6ED2"/>
    <w:rsid w:val="006B7F50"/>
    <w:rsid w:val="006C6F59"/>
    <w:rsid w:val="006D0255"/>
    <w:rsid w:val="006D3B3A"/>
    <w:rsid w:val="006F6AD5"/>
    <w:rsid w:val="007119D8"/>
    <w:rsid w:val="007361B4"/>
    <w:rsid w:val="0074344B"/>
    <w:rsid w:val="00754D54"/>
    <w:rsid w:val="00757631"/>
    <w:rsid w:val="007641BD"/>
    <w:rsid w:val="00765349"/>
    <w:rsid w:val="00771628"/>
    <w:rsid w:val="00772666"/>
    <w:rsid w:val="007A08E1"/>
    <w:rsid w:val="007C7F5F"/>
    <w:rsid w:val="007D25E0"/>
    <w:rsid w:val="007D60AE"/>
    <w:rsid w:val="007E1B11"/>
    <w:rsid w:val="007F3DD3"/>
    <w:rsid w:val="007F6337"/>
    <w:rsid w:val="00807709"/>
    <w:rsid w:val="00815710"/>
    <w:rsid w:val="00860430"/>
    <w:rsid w:val="00861AE6"/>
    <w:rsid w:val="00873FA5"/>
    <w:rsid w:val="00893F44"/>
    <w:rsid w:val="008F0048"/>
    <w:rsid w:val="009013D6"/>
    <w:rsid w:val="00901D4C"/>
    <w:rsid w:val="00914C6C"/>
    <w:rsid w:val="00916A0C"/>
    <w:rsid w:val="009200ED"/>
    <w:rsid w:val="0093130F"/>
    <w:rsid w:val="009335E4"/>
    <w:rsid w:val="00944A3B"/>
    <w:rsid w:val="00964229"/>
    <w:rsid w:val="00980B8A"/>
    <w:rsid w:val="00984894"/>
    <w:rsid w:val="00997D61"/>
    <w:rsid w:val="009A708E"/>
    <w:rsid w:val="009D19C6"/>
    <w:rsid w:val="009D2F3E"/>
    <w:rsid w:val="009E6200"/>
    <w:rsid w:val="00A13C25"/>
    <w:rsid w:val="00A16F51"/>
    <w:rsid w:val="00A33D8B"/>
    <w:rsid w:val="00A41E69"/>
    <w:rsid w:val="00A50E97"/>
    <w:rsid w:val="00A5259D"/>
    <w:rsid w:val="00A62D4E"/>
    <w:rsid w:val="00A73FA3"/>
    <w:rsid w:val="00A8023B"/>
    <w:rsid w:val="00AA5653"/>
    <w:rsid w:val="00AB4ED3"/>
    <w:rsid w:val="00AD003F"/>
    <w:rsid w:val="00AF63C6"/>
    <w:rsid w:val="00B10D9C"/>
    <w:rsid w:val="00B21E45"/>
    <w:rsid w:val="00B244B3"/>
    <w:rsid w:val="00B353DC"/>
    <w:rsid w:val="00B37109"/>
    <w:rsid w:val="00B43244"/>
    <w:rsid w:val="00B60EF3"/>
    <w:rsid w:val="00B64651"/>
    <w:rsid w:val="00B7315A"/>
    <w:rsid w:val="00B75CE8"/>
    <w:rsid w:val="00B80867"/>
    <w:rsid w:val="00B8577D"/>
    <w:rsid w:val="00B94FE3"/>
    <w:rsid w:val="00B956BC"/>
    <w:rsid w:val="00BB3966"/>
    <w:rsid w:val="00C07D61"/>
    <w:rsid w:val="00C45403"/>
    <w:rsid w:val="00C455D7"/>
    <w:rsid w:val="00C66A76"/>
    <w:rsid w:val="00C73324"/>
    <w:rsid w:val="00C7496F"/>
    <w:rsid w:val="00C9567C"/>
    <w:rsid w:val="00CB08E2"/>
    <w:rsid w:val="00CB5B72"/>
    <w:rsid w:val="00CD591C"/>
    <w:rsid w:val="00CD6602"/>
    <w:rsid w:val="00CE436C"/>
    <w:rsid w:val="00CF7438"/>
    <w:rsid w:val="00D2232B"/>
    <w:rsid w:val="00D3079B"/>
    <w:rsid w:val="00D4563A"/>
    <w:rsid w:val="00D45AC1"/>
    <w:rsid w:val="00D47096"/>
    <w:rsid w:val="00D77815"/>
    <w:rsid w:val="00D940C3"/>
    <w:rsid w:val="00DA1742"/>
    <w:rsid w:val="00DB00CC"/>
    <w:rsid w:val="00DE5F60"/>
    <w:rsid w:val="00DF25CA"/>
    <w:rsid w:val="00E212B3"/>
    <w:rsid w:val="00E21494"/>
    <w:rsid w:val="00E26F8B"/>
    <w:rsid w:val="00E3760A"/>
    <w:rsid w:val="00E376F7"/>
    <w:rsid w:val="00E4608D"/>
    <w:rsid w:val="00E51109"/>
    <w:rsid w:val="00E5368C"/>
    <w:rsid w:val="00E659AC"/>
    <w:rsid w:val="00E838E2"/>
    <w:rsid w:val="00E909B3"/>
    <w:rsid w:val="00EA3896"/>
    <w:rsid w:val="00EA7C0C"/>
    <w:rsid w:val="00F00A45"/>
    <w:rsid w:val="00F47F5F"/>
    <w:rsid w:val="00F51C22"/>
    <w:rsid w:val="00F5706A"/>
    <w:rsid w:val="00F57844"/>
    <w:rsid w:val="00F62F88"/>
    <w:rsid w:val="00F65B8C"/>
    <w:rsid w:val="00F93065"/>
    <w:rsid w:val="00FA5A0D"/>
    <w:rsid w:val="00FB2567"/>
    <w:rsid w:val="00FE7936"/>
    <w:rsid w:val="00FF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2BE4FA"/>
  <w15:chartTrackingRefBased/>
  <w15:docId w15:val="{1E95F93B-27A9-4CB6-80DF-1A4B83AA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651"/>
  </w:style>
  <w:style w:type="paragraph" w:styleId="Heading1">
    <w:name w:val="heading 1"/>
    <w:basedOn w:val="Normal"/>
    <w:next w:val="Normal"/>
    <w:link w:val="Heading1Char"/>
    <w:uiPriority w:val="9"/>
    <w:qFormat/>
    <w:rsid w:val="005F02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02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0273"/>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9B3"/>
    <w:pPr>
      <w:ind w:left="720"/>
      <w:contextualSpacing/>
    </w:pPr>
  </w:style>
  <w:style w:type="character" w:styleId="Hyperlink">
    <w:name w:val="Hyperlink"/>
    <w:basedOn w:val="DefaultParagraphFont"/>
    <w:uiPriority w:val="99"/>
    <w:unhideWhenUsed/>
    <w:rsid w:val="00E909B3"/>
    <w:rPr>
      <w:color w:val="0563C1" w:themeColor="hyperlink"/>
      <w:u w:val="single"/>
    </w:rPr>
  </w:style>
  <w:style w:type="character" w:styleId="UnresolvedMention">
    <w:name w:val="Unresolved Mention"/>
    <w:basedOn w:val="DefaultParagraphFont"/>
    <w:uiPriority w:val="99"/>
    <w:semiHidden/>
    <w:unhideWhenUsed/>
    <w:rsid w:val="00E909B3"/>
    <w:rPr>
      <w:color w:val="605E5C"/>
      <w:shd w:val="clear" w:color="auto" w:fill="E1DFDD"/>
    </w:rPr>
  </w:style>
  <w:style w:type="character" w:styleId="CommentReference">
    <w:name w:val="annotation reference"/>
    <w:basedOn w:val="DefaultParagraphFont"/>
    <w:uiPriority w:val="99"/>
    <w:semiHidden/>
    <w:unhideWhenUsed/>
    <w:rsid w:val="00B75CE8"/>
    <w:rPr>
      <w:sz w:val="16"/>
      <w:szCs w:val="16"/>
    </w:rPr>
  </w:style>
  <w:style w:type="paragraph" w:styleId="CommentText">
    <w:name w:val="annotation text"/>
    <w:basedOn w:val="Normal"/>
    <w:link w:val="CommentTextChar"/>
    <w:uiPriority w:val="99"/>
    <w:unhideWhenUsed/>
    <w:rsid w:val="00B75CE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B75CE8"/>
    <w:rPr>
      <w:rFonts w:asciiTheme="minorHAnsi" w:hAnsiTheme="minorHAnsi"/>
      <w:sz w:val="20"/>
      <w:szCs w:val="20"/>
    </w:rPr>
  </w:style>
  <w:style w:type="paragraph" w:customStyle="1" w:styleId="xmsonormal">
    <w:name w:val="x_msonormal"/>
    <w:basedOn w:val="Normal"/>
    <w:rsid w:val="003D4B17"/>
    <w:pPr>
      <w:spacing w:before="100" w:beforeAutospacing="1" w:after="100" w:afterAutospacing="1" w:line="240" w:lineRule="auto"/>
    </w:pPr>
    <w:rPr>
      <w:rFonts w:eastAsia="Times New Roman" w:cs="Times New Roman"/>
      <w:szCs w:val="24"/>
    </w:rPr>
  </w:style>
  <w:style w:type="paragraph" w:customStyle="1" w:styleId="Default">
    <w:name w:val="Default"/>
    <w:rsid w:val="00E51109"/>
    <w:pPr>
      <w:autoSpaceDE w:val="0"/>
      <w:autoSpaceDN w:val="0"/>
      <w:adjustRightInd w:val="0"/>
      <w:spacing w:after="0" w:line="240" w:lineRule="auto"/>
    </w:pPr>
    <w:rPr>
      <w:rFonts w:cs="Times New Roman"/>
      <w:color w:val="000000"/>
      <w:szCs w:val="24"/>
    </w:rPr>
  </w:style>
  <w:style w:type="character" w:customStyle="1" w:styleId="apple-converted-space">
    <w:name w:val="apple-converted-space"/>
    <w:basedOn w:val="DefaultParagraphFont"/>
    <w:rsid w:val="00E51109"/>
  </w:style>
  <w:style w:type="character" w:customStyle="1" w:styleId="ncitalic">
    <w:name w:val="ncitalic"/>
    <w:basedOn w:val="DefaultParagraphFont"/>
    <w:rsid w:val="00E51109"/>
  </w:style>
  <w:style w:type="paragraph" w:styleId="Header">
    <w:name w:val="header"/>
    <w:basedOn w:val="Normal"/>
    <w:link w:val="HeaderChar"/>
    <w:uiPriority w:val="99"/>
    <w:unhideWhenUsed/>
    <w:rsid w:val="00D77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815"/>
  </w:style>
  <w:style w:type="paragraph" w:styleId="Footer">
    <w:name w:val="footer"/>
    <w:basedOn w:val="Normal"/>
    <w:link w:val="FooterChar"/>
    <w:uiPriority w:val="99"/>
    <w:unhideWhenUsed/>
    <w:rsid w:val="00D77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815"/>
  </w:style>
  <w:style w:type="paragraph" w:styleId="Revision">
    <w:name w:val="Revision"/>
    <w:hidden/>
    <w:uiPriority w:val="99"/>
    <w:semiHidden/>
    <w:rsid w:val="00873FA5"/>
    <w:pPr>
      <w:spacing w:after="0" w:line="240" w:lineRule="auto"/>
    </w:pPr>
  </w:style>
  <w:style w:type="paragraph" w:styleId="FootnoteText">
    <w:name w:val="footnote text"/>
    <w:basedOn w:val="Normal"/>
    <w:link w:val="FootnoteTextChar"/>
    <w:uiPriority w:val="99"/>
    <w:semiHidden/>
    <w:unhideWhenUsed/>
    <w:rsid w:val="00BB3966"/>
    <w:pPr>
      <w:spacing w:before="120" w:after="12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B3966"/>
    <w:rPr>
      <w:rFonts w:ascii="Calibri" w:eastAsia="Calibri" w:hAnsi="Calibri" w:cs="Times New Roman"/>
      <w:sz w:val="20"/>
      <w:szCs w:val="20"/>
    </w:rPr>
  </w:style>
  <w:style w:type="character" w:styleId="FootnoteReference">
    <w:name w:val="footnote reference"/>
    <w:uiPriority w:val="99"/>
    <w:semiHidden/>
    <w:unhideWhenUsed/>
    <w:rsid w:val="00BB3966"/>
    <w:rPr>
      <w:vertAlign w:val="superscript"/>
    </w:rPr>
  </w:style>
  <w:style w:type="character" w:styleId="Emphasis">
    <w:name w:val="Emphasis"/>
    <w:basedOn w:val="DefaultParagraphFont"/>
    <w:uiPriority w:val="20"/>
    <w:qFormat/>
    <w:rsid w:val="00BB3966"/>
    <w:rPr>
      <w:i/>
      <w:iCs/>
    </w:rPr>
  </w:style>
  <w:style w:type="paragraph" w:styleId="NormalWeb">
    <w:name w:val="Normal (Web)"/>
    <w:basedOn w:val="Normal"/>
    <w:uiPriority w:val="99"/>
    <w:semiHidden/>
    <w:unhideWhenUsed/>
    <w:rsid w:val="002C3584"/>
    <w:pPr>
      <w:spacing w:before="100" w:beforeAutospacing="1" w:after="100" w:afterAutospacing="1" w:line="240" w:lineRule="auto"/>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E3760A"/>
    <w:rPr>
      <w:rFonts w:ascii="Times New Roman" w:hAnsi="Times New Roman"/>
      <w:b/>
      <w:bCs/>
    </w:rPr>
  </w:style>
  <w:style w:type="character" w:customStyle="1" w:styleId="CommentSubjectChar">
    <w:name w:val="Comment Subject Char"/>
    <w:basedOn w:val="CommentTextChar"/>
    <w:link w:val="CommentSubject"/>
    <w:uiPriority w:val="99"/>
    <w:semiHidden/>
    <w:rsid w:val="00E3760A"/>
    <w:rPr>
      <w:rFonts w:asciiTheme="minorHAnsi" w:hAnsiTheme="minorHAnsi"/>
      <w:b/>
      <w:bCs/>
      <w:sz w:val="20"/>
      <w:szCs w:val="20"/>
    </w:rPr>
  </w:style>
  <w:style w:type="character" w:styleId="FollowedHyperlink">
    <w:name w:val="FollowedHyperlink"/>
    <w:basedOn w:val="DefaultParagraphFont"/>
    <w:uiPriority w:val="99"/>
    <w:semiHidden/>
    <w:unhideWhenUsed/>
    <w:rsid w:val="00473D86"/>
    <w:rPr>
      <w:color w:val="954F72" w:themeColor="followedHyperlink"/>
      <w:u w:val="single"/>
    </w:rPr>
  </w:style>
  <w:style w:type="table" w:styleId="TableGrid">
    <w:name w:val="Table Grid"/>
    <w:basedOn w:val="TableNormal"/>
    <w:uiPriority w:val="39"/>
    <w:rsid w:val="007F6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02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02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0273"/>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74948">
      <w:bodyDiv w:val="1"/>
      <w:marLeft w:val="0"/>
      <w:marRight w:val="0"/>
      <w:marTop w:val="0"/>
      <w:marBottom w:val="0"/>
      <w:divBdr>
        <w:top w:val="none" w:sz="0" w:space="0" w:color="auto"/>
        <w:left w:val="none" w:sz="0" w:space="0" w:color="auto"/>
        <w:bottom w:val="none" w:sz="0" w:space="0" w:color="auto"/>
        <w:right w:val="none" w:sz="0" w:space="0" w:color="auto"/>
      </w:divBdr>
      <w:divsChild>
        <w:div w:id="464589612">
          <w:marLeft w:val="547"/>
          <w:marRight w:val="0"/>
          <w:marTop w:val="0"/>
          <w:marBottom w:val="160"/>
          <w:divBdr>
            <w:top w:val="none" w:sz="0" w:space="0" w:color="auto"/>
            <w:left w:val="none" w:sz="0" w:space="0" w:color="auto"/>
            <w:bottom w:val="none" w:sz="0" w:space="0" w:color="auto"/>
            <w:right w:val="none" w:sz="0" w:space="0" w:color="auto"/>
          </w:divBdr>
        </w:div>
      </w:divsChild>
    </w:div>
    <w:div w:id="605426194">
      <w:bodyDiv w:val="1"/>
      <w:marLeft w:val="0"/>
      <w:marRight w:val="0"/>
      <w:marTop w:val="0"/>
      <w:marBottom w:val="0"/>
      <w:divBdr>
        <w:top w:val="none" w:sz="0" w:space="0" w:color="auto"/>
        <w:left w:val="none" w:sz="0" w:space="0" w:color="auto"/>
        <w:bottom w:val="none" w:sz="0" w:space="0" w:color="auto"/>
        <w:right w:val="none" w:sz="0" w:space="0" w:color="auto"/>
      </w:divBdr>
    </w:div>
    <w:div w:id="716199422">
      <w:bodyDiv w:val="1"/>
      <w:marLeft w:val="0"/>
      <w:marRight w:val="0"/>
      <w:marTop w:val="0"/>
      <w:marBottom w:val="0"/>
      <w:divBdr>
        <w:top w:val="none" w:sz="0" w:space="0" w:color="auto"/>
        <w:left w:val="none" w:sz="0" w:space="0" w:color="auto"/>
        <w:bottom w:val="none" w:sz="0" w:space="0" w:color="auto"/>
        <w:right w:val="none" w:sz="0" w:space="0" w:color="auto"/>
      </w:divBdr>
    </w:div>
    <w:div w:id="9754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injury/stateprograms/coresipp/index.html" TargetMode="External"/><Relationship Id="rId13" Type="http://schemas.microsoft.com/office/2018/08/relationships/commentsExtensible" Target="commentsExtensible.xml"/><Relationship Id="rId18" Type="http://schemas.openxmlformats.org/officeDocument/2006/relationships/hyperlink" Target="https://doi.org/10.1016/j.rehab.2017.02.003" TargetMode="External"/><Relationship Id="rId26" Type="http://schemas.openxmlformats.org/officeDocument/2006/relationships/hyperlink" Target="http://leginfo.legislature.ca.gov/faces/billTextClient.xhtml?bill_id=201920200SB85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x.doi.org/10.1371/journal.pone.0132558" TargetMode="External"/><Relationship Id="rId34" Type="http://schemas.openxmlformats.org/officeDocument/2006/relationships/footer" Target="footer2.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doi.org/10.3109/02699052.2011.648705" TargetMode="External"/><Relationship Id="rId25" Type="http://schemas.openxmlformats.org/officeDocument/2006/relationships/hyperlink" Target="http://dx.doi.org/10.1111/j.1468-1331.2011.03581.x" TargetMode="Externa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cdc.gov/injury/pdfs/2020_state_injury_indicator_instructions-508.pdf" TargetMode="External"/><Relationship Id="rId20" Type="http://schemas.openxmlformats.org/officeDocument/2006/relationships/hyperlink" Target="http://www.nashia.org/pdf/tbi_hcbs_waiver_ltss_overview.pdf"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dx.doi.org/10.1037/rep0000255"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c.gov/features/traumatic-brain-injury/index.html" TargetMode="External"/><Relationship Id="rId23" Type="http://schemas.openxmlformats.org/officeDocument/2006/relationships/hyperlink" Target="http://www.census.gov/programs-surveys/geography/guidance/geo-areas/urban-rural.html" TargetMode="External"/><Relationship Id="rId28" Type="http://schemas.openxmlformats.org/officeDocument/2006/relationships/image" Target="media/image3.png"/><Relationship Id="rId36"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hyperlink" Target="http://dx.doi.org/10.1002/msj.20104"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Outreach-and-Education/American-Indian-Alaska-Native/AIAN/LTSS-TA-Center/info/1915-c-waivers-by-state" TargetMode="External"/><Relationship Id="rId14" Type="http://schemas.openxmlformats.org/officeDocument/2006/relationships/image" Target="media/image1.png"/><Relationship Id="rId22" Type="http://schemas.openxmlformats.org/officeDocument/2006/relationships/hyperlink" Target="http://dx.doi.org/10.1037/neu0000516"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support.sas.com/resources/papers/proceedings16/SAS352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B2634-CBE8-40F4-956C-83472B80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5808</Words>
  <Characters>33109</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Data Registry</vt:lpstr>
    </vt:vector>
  </TitlesOfParts>
  <Manager>Department of Rehabilitation</Manager>
  <Company/>
  <LinksUpToDate>false</LinksUpToDate>
  <CharactersWithSpaces>38840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Registry</dc:title>
  <dc:subject>TBI Community Prevalence</dc:subject>
  <dc:creator>Data Analytics Committee</dc:creator>
  <cp:keywords/>
  <dc:description/>
  <cp:lastModifiedBy>Huynh, Duy@DOR</cp:lastModifiedBy>
  <cp:revision>2</cp:revision>
  <dcterms:created xsi:type="dcterms:W3CDTF">2023-05-30T21:54:00Z</dcterms:created>
  <dcterms:modified xsi:type="dcterms:W3CDTF">2023-05-30T21:54:00Z</dcterms:modified>
</cp:coreProperties>
</file>