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67D10" w14:textId="619DE791" w:rsidR="00514606" w:rsidRPr="000F3777" w:rsidRDefault="00471986" w:rsidP="00B540B5">
      <w:pPr>
        <w:rPr>
          <w:b/>
        </w:rPr>
      </w:pPr>
      <w:r w:rsidRPr="000F3777">
        <w:rPr>
          <w:b/>
        </w:rPr>
        <w:t xml:space="preserve">California State Rehabilitation Council </w:t>
      </w:r>
      <w:r w:rsidR="00514606" w:rsidRPr="000F3777">
        <w:rPr>
          <w:b/>
        </w:rPr>
        <w:t>(SRC)</w:t>
      </w:r>
    </w:p>
    <w:p w14:paraId="0608D457" w14:textId="2C66E305" w:rsidR="00514606" w:rsidRPr="000F3777" w:rsidRDefault="00471986" w:rsidP="00B540B5">
      <w:pPr>
        <w:rPr>
          <w:b/>
        </w:rPr>
      </w:pPr>
      <w:r w:rsidRPr="000F3777">
        <w:rPr>
          <w:b/>
        </w:rPr>
        <w:t>Unified State Plan Committee Meeting</w:t>
      </w:r>
    </w:p>
    <w:p w14:paraId="1B37A80D" w14:textId="5345DCE1" w:rsidR="00F1298A" w:rsidRPr="00B540B5" w:rsidRDefault="007A7C4A" w:rsidP="00B540B5">
      <w:pPr>
        <w:rPr>
          <w:bCs/>
        </w:rPr>
      </w:pPr>
      <w:bookmarkStart w:id="0" w:name="_Hlk44562942"/>
      <w:bookmarkStart w:id="1" w:name="_Hlk71806435"/>
      <w:r w:rsidRPr="00B540B5">
        <w:rPr>
          <w:bCs/>
        </w:rPr>
        <w:t>Monday, November 13, 2023, 10:00 a.m. – 12:00 p.m.</w:t>
      </w:r>
    </w:p>
    <w:p w14:paraId="78AFC92F" w14:textId="4E395D89" w:rsidR="00B540B5" w:rsidRDefault="00B540B5" w:rsidP="00B540B5">
      <w:pPr>
        <w:rPr>
          <w:bCs/>
        </w:rPr>
      </w:pPr>
      <w:r w:rsidRPr="00B540B5">
        <w:rPr>
          <w:bCs/>
        </w:rPr>
        <w:t>Meeting held via Zoom</w:t>
      </w:r>
    </w:p>
    <w:p w14:paraId="6C9775A8" w14:textId="77777777" w:rsidR="00471986" w:rsidRDefault="00471986" w:rsidP="00B540B5">
      <w:pPr>
        <w:rPr>
          <w:bCs/>
        </w:rPr>
      </w:pPr>
    </w:p>
    <w:p w14:paraId="4B678CC7" w14:textId="24FA8211" w:rsidR="00B540B5" w:rsidRPr="000F3777" w:rsidRDefault="00633DB8" w:rsidP="00B540B5">
      <w:pPr>
        <w:rPr>
          <w:b/>
        </w:rPr>
      </w:pPr>
      <w:r>
        <w:rPr>
          <w:b/>
        </w:rPr>
        <w:t>Meeting Minutes</w:t>
      </w:r>
    </w:p>
    <w:bookmarkEnd w:id="0"/>
    <w:bookmarkEnd w:id="1"/>
    <w:p w14:paraId="718F274A" w14:textId="77777777" w:rsidR="00514606" w:rsidRDefault="00514606" w:rsidP="00B540B5">
      <w:pPr>
        <w:rPr>
          <w:b/>
          <w:bCs/>
        </w:rPr>
      </w:pPr>
    </w:p>
    <w:p w14:paraId="7E2830FE" w14:textId="4E68AF78" w:rsidR="00471986" w:rsidRPr="00471986" w:rsidRDefault="00471986" w:rsidP="00B540B5">
      <w:pPr>
        <w:rPr>
          <w:u w:val="single"/>
        </w:rPr>
      </w:pPr>
      <w:r w:rsidRPr="00471986">
        <w:rPr>
          <w:u w:val="single"/>
        </w:rPr>
        <w:t>In attendance:</w:t>
      </w:r>
    </w:p>
    <w:p w14:paraId="0474B9CA" w14:textId="21205EFE" w:rsidR="00B540B5" w:rsidRPr="00471986" w:rsidRDefault="00B540B5" w:rsidP="00B540B5">
      <w:r w:rsidRPr="00471986">
        <w:t xml:space="preserve">SRC members: </w:t>
      </w:r>
      <w:r w:rsidR="00471986">
        <w:t>Theresa Comstock, Ivan Guillen, Candis Welch, Chanel Brisbane, La Trena Robinson</w:t>
      </w:r>
    </w:p>
    <w:p w14:paraId="79BC6DE7" w14:textId="77777777" w:rsidR="00471986" w:rsidRPr="00471986" w:rsidRDefault="00471986" w:rsidP="00B540B5"/>
    <w:p w14:paraId="11A6CD27" w14:textId="7553844B" w:rsidR="00471986" w:rsidRDefault="00471986" w:rsidP="00B540B5">
      <w:r w:rsidRPr="00471986">
        <w:t>DOR staff:</w:t>
      </w:r>
      <w:r>
        <w:t xml:space="preserve"> John Galicinao, Sue Pelbath, Kim Rutledge, Carol Asch, Antoinette deBoisblanc, Judy Gonzalez, Peter Frangel, Trung Le, Mark Erlichman, Marla Harper, Michael Thomas, Nancy Wentling, Peter Dawson, Kate Bjerke</w:t>
      </w:r>
    </w:p>
    <w:p w14:paraId="46D424F6" w14:textId="77777777" w:rsidR="00471986" w:rsidRDefault="00471986" w:rsidP="00B540B5"/>
    <w:p w14:paraId="73337047" w14:textId="14E9F6FD" w:rsidR="00471986" w:rsidRPr="00471986" w:rsidRDefault="00471986" w:rsidP="00B540B5">
      <w:r>
        <w:t>Members of the public: Aaron Espinoza, Michelle Bello</w:t>
      </w:r>
    </w:p>
    <w:p w14:paraId="5441F377" w14:textId="77777777" w:rsidR="00B540B5" w:rsidRPr="00B74A22" w:rsidRDefault="00B540B5" w:rsidP="00B540B5"/>
    <w:p w14:paraId="1BE34037" w14:textId="6728D065" w:rsidR="00514606" w:rsidRPr="00A6339A" w:rsidRDefault="00514606" w:rsidP="00514606">
      <w:pPr>
        <w:pStyle w:val="Heading1"/>
      </w:pPr>
      <w:r>
        <w:t xml:space="preserve">Item 1: </w:t>
      </w:r>
      <w:r w:rsidRPr="00A6339A">
        <w:t xml:space="preserve">Welcome and Introductions </w:t>
      </w:r>
    </w:p>
    <w:p w14:paraId="3E99DC89" w14:textId="7860D4E4" w:rsidR="002D0466" w:rsidRDefault="002421C3" w:rsidP="00514606">
      <w:r>
        <w:t>Ivan Guillen</w:t>
      </w:r>
      <w:r w:rsidR="00514606" w:rsidRPr="00A6339A">
        <w:t>, SRC Chair</w:t>
      </w:r>
      <w:r w:rsidR="007A7C4A">
        <w:t xml:space="preserve"> and Unified State Plan Committee Chair</w:t>
      </w:r>
      <w:r w:rsidR="00471986">
        <w:t>, welcomed meeting attendees. SRC members introduced themselves. Guillen provided instructions for making public comment</w:t>
      </w:r>
      <w:r w:rsidR="00B803C8">
        <w:t>s</w:t>
      </w:r>
      <w:r w:rsidR="00471986">
        <w:t xml:space="preserve"> during the meeting.</w:t>
      </w:r>
    </w:p>
    <w:p w14:paraId="05BB3B72" w14:textId="77777777" w:rsidR="00514606" w:rsidRPr="00BC25EB" w:rsidRDefault="00514606" w:rsidP="00BC25EB">
      <w:pPr>
        <w:rPr>
          <w:color w:val="0000CC"/>
        </w:rPr>
      </w:pPr>
    </w:p>
    <w:p w14:paraId="7AE4296D" w14:textId="1458C8CB" w:rsidR="00514606" w:rsidRPr="00A6339A" w:rsidRDefault="00514606" w:rsidP="00E14AFD">
      <w:pPr>
        <w:pStyle w:val="Heading1"/>
      </w:pPr>
      <w:r>
        <w:t xml:space="preserve">Item </w:t>
      </w:r>
      <w:r w:rsidR="00A27B09">
        <w:t>2</w:t>
      </w:r>
      <w:r>
        <w:t xml:space="preserve">: </w:t>
      </w:r>
      <w:r w:rsidR="00E14AFD">
        <w:t xml:space="preserve">State Plan Priorities and Goals (10:05 – 11:00 a.m.) </w:t>
      </w:r>
    </w:p>
    <w:p w14:paraId="235EE5E8" w14:textId="76DC1265" w:rsidR="00C85510" w:rsidRDefault="00471986" w:rsidP="00C85510">
      <w:r>
        <w:t xml:space="preserve">Mark Erlichman, DOR VRED Deputy Director, led the presentation of the draft priorities and goals for the </w:t>
      </w:r>
      <w:r w:rsidR="00C85510">
        <w:t>2024-2</w:t>
      </w:r>
      <w:r w:rsidR="006211BE">
        <w:t>7</w:t>
      </w:r>
      <w:r w:rsidR="00C85510">
        <w:t xml:space="preserve"> VR Services Portion of the Unified State Plan. </w:t>
      </w:r>
    </w:p>
    <w:p w14:paraId="4DFD06A8" w14:textId="720BA771" w:rsidR="00471986" w:rsidRDefault="00471986" w:rsidP="00C85510">
      <w:r>
        <w:t>Feedback, questions, and comments from the SRC members included the following:</w:t>
      </w:r>
    </w:p>
    <w:p w14:paraId="73A79DDC" w14:textId="77777777" w:rsidR="0015399A" w:rsidRDefault="0015399A" w:rsidP="00C85510"/>
    <w:p w14:paraId="2E4D1262" w14:textId="03D1F0FB" w:rsidR="0015399A" w:rsidRDefault="0015399A" w:rsidP="0015399A">
      <w:r w:rsidRPr="0015399A">
        <w:rPr>
          <w:u w:val="single"/>
        </w:rPr>
        <w:t>Theresa Comstock</w:t>
      </w:r>
      <w:r w:rsidR="00A67531">
        <w:rPr>
          <w:u w:val="single"/>
        </w:rPr>
        <w:t>:</w:t>
      </w:r>
      <w:r>
        <w:t xml:space="preserve"> </w:t>
      </w:r>
      <w:r w:rsidR="00A67531">
        <w:t>gave</w:t>
      </w:r>
      <w:r>
        <w:t xml:space="preserve"> feedback regarding priority one, goal three: </w:t>
      </w:r>
      <w:r w:rsidRPr="0015399A">
        <w:rPr>
          <w:i/>
          <w:iCs/>
        </w:rPr>
        <w:t>Increasing the quality and quantity of employment outcomes for all Californians with disabilities served by the DOR. Goal 3: Expand and improve VR services to those who</w:t>
      </w:r>
      <w:r w:rsidRPr="0015399A">
        <w:t xml:space="preserve"> </w:t>
      </w:r>
      <w:r w:rsidRPr="0015399A">
        <w:rPr>
          <w:i/>
          <w:iCs/>
        </w:rPr>
        <w:t>have been underserved and underrepresented in the VR program.</w:t>
      </w:r>
    </w:p>
    <w:p w14:paraId="62954AFE" w14:textId="3DB1D067" w:rsidR="0015399A" w:rsidRDefault="0015399A" w:rsidP="00C85510">
      <w:pPr>
        <w:pStyle w:val="ListParagraph"/>
        <w:numPr>
          <w:ilvl w:val="0"/>
          <w:numId w:val="12"/>
        </w:numPr>
      </w:pPr>
      <w:r>
        <w:t>How can the overall services and outcomes for people that are accessing services related to behavioral health be increased and improved?</w:t>
      </w:r>
    </w:p>
    <w:p w14:paraId="5897021D" w14:textId="77777777" w:rsidR="0015399A" w:rsidRDefault="0015399A" w:rsidP="00C85510">
      <w:pPr>
        <w:pStyle w:val="ListParagraph"/>
        <w:numPr>
          <w:ilvl w:val="0"/>
          <w:numId w:val="12"/>
        </w:numPr>
      </w:pPr>
      <w:r>
        <w:t>When workforce partners are identified, is it appropriate to identify behavioral health agencies as a partner?</w:t>
      </w:r>
    </w:p>
    <w:p w14:paraId="3AD3B8B6" w14:textId="537E9B4B" w:rsidR="00471986" w:rsidRDefault="0015399A" w:rsidP="00B04D45">
      <w:pPr>
        <w:pStyle w:val="ListParagraph"/>
        <w:numPr>
          <w:ilvl w:val="0"/>
          <w:numId w:val="12"/>
        </w:numPr>
      </w:pPr>
      <w:proofErr w:type="gramStart"/>
      <w:r>
        <w:t>Would</w:t>
      </w:r>
      <w:proofErr w:type="gramEnd"/>
      <w:r>
        <w:t xml:space="preserve"> like to see goals towards improving outcomes overall in terms of people that have been identified with psychiatric disabilities.</w:t>
      </w:r>
    </w:p>
    <w:p w14:paraId="3164B36D" w14:textId="1B29D4AA" w:rsidR="0015399A" w:rsidRDefault="0015399A" w:rsidP="00B04D45">
      <w:pPr>
        <w:pStyle w:val="ListParagraph"/>
        <w:numPr>
          <w:ilvl w:val="0"/>
          <w:numId w:val="12"/>
        </w:numPr>
      </w:pPr>
      <w:r>
        <w:t xml:space="preserve">In March 2024, </w:t>
      </w:r>
      <w:r w:rsidR="00617995">
        <w:t>Proposition</w:t>
      </w:r>
      <w:r>
        <w:t xml:space="preserve"> 1, the </w:t>
      </w:r>
      <w:r w:rsidR="00617995">
        <w:t>Behavioral</w:t>
      </w:r>
      <w:r>
        <w:t xml:space="preserve"> Health Services Act, will likely be on the ballot. The Act identifies a lot of funding for workforce </w:t>
      </w:r>
      <w:r>
        <w:lastRenderedPageBreak/>
        <w:t xml:space="preserve">development. </w:t>
      </w:r>
      <w:r w:rsidR="00617995">
        <w:t>Can DOR include strategies in the State Plan to leverage Prop 1?</w:t>
      </w:r>
    </w:p>
    <w:p w14:paraId="0886E83A" w14:textId="77777777" w:rsidR="00617995" w:rsidRDefault="00617995" w:rsidP="00617995"/>
    <w:p w14:paraId="4E8DBB93" w14:textId="459D6864" w:rsidR="00617995" w:rsidRDefault="00617995" w:rsidP="00617995">
      <w:pPr>
        <w:rPr>
          <w:i/>
          <w:iCs/>
        </w:rPr>
      </w:pPr>
      <w:r w:rsidRPr="00617995">
        <w:rPr>
          <w:u w:val="single"/>
        </w:rPr>
        <w:t>Ivan Guillen</w:t>
      </w:r>
      <w:r w:rsidR="00A67531">
        <w:rPr>
          <w:u w:val="single"/>
        </w:rPr>
        <w:t>:</w:t>
      </w:r>
      <w:r>
        <w:t xml:space="preserve"> asked the following questions regarding Priority 1: </w:t>
      </w:r>
      <w:r w:rsidRPr="0015399A">
        <w:rPr>
          <w:i/>
          <w:iCs/>
        </w:rPr>
        <w:t>Increasing the quality and quantity of employment outcomes for all Californians with disabilities served by the DOR.</w:t>
      </w:r>
    </w:p>
    <w:p w14:paraId="7ABD2E14" w14:textId="4CBC613B" w:rsidR="00617995" w:rsidRDefault="00617995" w:rsidP="00617995">
      <w:pPr>
        <w:pStyle w:val="ListParagraph"/>
        <w:numPr>
          <w:ilvl w:val="0"/>
          <w:numId w:val="13"/>
        </w:numPr>
      </w:pPr>
      <w:r>
        <w:t>What does unsubsidized employment rate mean?</w:t>
      </w:r>
    </w:p>
    <w:p w14:paraId="5F3F0885" w14:textId="130A5393" w:rsidR="00617995" w:rsidRDefault="00617995" w:rsidP="00617995">
      <w:pPr>
        <w:pStyle w:val="ListParagraph"/>
        <w:numPr>
          <w:ilvl w:val="0"/>
          <w:numId w:val="13"/>
        </w:numPr>
      </w:pPr>
      <w:r>
        <w:t>How does DOR follow up with clients after case closure to inquire about employment status, wh</w:t>
      </w:r>
      <w:r w:rsidR="00AB77E0">
        <w:t xml:space="preserve">ether </w:t>
      </w:r>
      <w:r w:rsidR="00857F83">
        <w:t xml:space="preserve">its unsubsidized </w:t>
      </w:r>
      <w:proofErr w:type="gramStart"/>
      <w:r w:rsidR="00857F83">
        <w:t>or</w:t>
      </w:r>
      <w:proofErr w:type="gramEnd"/>
      <w:r w:rsidR="00857F83">
        <w:t xml:space="preserve"> clients are meeting wage earning thresholds. Is this through mail or email communication?</w:t>
      </w:r>
    </w:p>
    <w:p w14:paraId="217EDBBC" w14:textId="77777777" w:rsidR="00857F83" w:rsidRDefault="00857F83" w:rsidP="00857F83"/>
    <w:p w14:paraId="3E25B497" w14:textId="3FF6AB75" w:rsidR="00857F83" w:rsidRDefault="00857F83" w:rsidP="00857F83">
      <w:r w:rsidRPr="00857F83">
        <w:rPr>
          <w:u w:val="single"/>
        </w:rPr>
        <w:t>La Trena Robinson</w:t>
      </w:r>
      <w:r>
        <w:t>: when reviewing the priorities, it appears that DOR is identifying new targeted populations, and jobs with higher earning potential. New strategies generally mean doing something different.</w:t>
      </w:r>
    </w:p>
    <w:p w14:paraId="0ACEE2BF" w14:textId="5F0E024D" w:rsidR="00857F83" w:rsidRDefault="00857F83" w:rsidP="00857F83">
      <w:pPr>
        <w:pStyle w:val="ListParagraph"/>
        <w:numPr>
          <w:ilvl w:val="0"/>
          <w:numId w:val="14"/>
        </w:numPr>
      </w:pPr>
      <w:r>
        <w:t xml:space="preserve">What emerging techniques, programs and </w:t>
      </w:r>
      <w:proofErr w:type="gramStart"/>
      <w:r>
        <w:t>strategies is</w:t>
      </w:r>
      <w:proofErr w:type="gramEnd"/>
      <w:r>
        <w:t xml:space="preserve"> DOR proposing?</w:t>
      </w:r>
    </w:p>
    <w:p w14:paraId="29DBE437" w14:textId="73CAF9DC" w:rsidR="00857F83" w:rsidRDefault="00857F83" w:rsidP="00857F83">
      <w:pPr>
        <w:pStyle w:val="ListParagraph"/>
        <w:numPr>
          <w:ilvl w:val="0"/>
          <w:numId w:val="14"/>
        </w:numPr>
      </w:pPr>
      <w:r>
        <w:t>What is new versus what is continued?</w:t>
      </w:r>
    </w:p>
    <w:p w14:paraId="0DA5D306" w14:textId="77777777" w:rsidR="00857F83" w:rsidRDefault="00857F83" w:rsidP="00857F83"/>
    <w:p w14:paraId="70A37C2D" w14:textId="653CD946" w:rsidR="00857F83" w:rsidRPr="00A67531" w:rsidRDefault="00857F83" w:rsidP="00A67531">
      <w:pPr>
        <w:pStyle w:val="ListParagraph"/>
        <w:ind w:left="0"/>
        <w:rPr>
          <w:i/>
          <w:iCs/>
        </w:rPr>
      </w:pPr>
      <w:r w:rsidRPr="00A67531">
        <w:rPr>
          <w:u w:val="single"/>
        </w:rPr>
        <w:t>Chanel Brisbane</w:t>
      </w:r>
      <w:r w:rsidR="00A67531">
        <w:rPr>
          <w:u w:val="single"/>
        </w:rPr>
        <w:t>:</w:t>
      </w:r>
      <w:r w:rsidR="00A67531">
        <w:t xml:space="preserve"> regarding the </w:t>
      </w:r>
      <w:proofErr w:type="gramStart"/>
      <w:r w:rsidR="00A67531">
        <w:t>follow</w:t>
      </w:r>
      <w:proofErr w:type="gramEnd"/>
      <w:r w:rsidR="00A67531">
        <w:t xml:space="preserve"> strategy</w:t>
      </w:r>
      <w:r w:rsidR="000F3777">
        <w:t>:</w:t>
      </w:r>
      <w:r w:rsidR="00A67531">
        <w:t xml:space="preserve"> </w:t>
      </w:r>
      <w:r w:rsidR="00A67531">
        <w:rPr>
          <w:i/>
          <w:iCs/>
        </w:rPr>
        <w:t>DOR district management shall establish a protocol to evaluate and address reasons for consumer unsuccessful case closure, including, but not limited to pre- and post-closure follow-up on participants’ employment status and need(s) for continued or additional services or supports.</w:t>
      </w:r>
    </w:p>
    <w:p w14:paraId="4CCE4963" w14:textId="2B820D1A" w:rsidR="00A67531" w:rsidRDefault="00A67531" w:rsidP="00A67531">
      <w:pPr>
        <w:pStyle w:val="ListParagraph"/>
        <w:numPr>
          <w:ilvl w:val="0"/>
          <w:numId w:val="15"/>
        </w:numPr>
      </w:pPr>
      <w:r>
        <w:t>Who will be doing follow up with consumers after closure? Will follow up methods be surveys, like DOR has done in the past?</w:t>
      </w:r>
    </w:p>
    <w:p w14:paraId="6DB705AB" w14:textId="1C8B3E65" w:rsidR="00A67531" w:rsidRDefault="00A67531" w:rsidP="00A67531">
      <w:pPr>
        <w:pStyle w:val="ListParagraph"/>
        <w:numPr>
          <w:ilvl w:val="0"/>
          <w:numId w:val="15"/>
        </w:numPr>
      </w:pPr>
      <w:r>
        <w:t xml:space="preserve">Understands that staffing and vacancies </w:t>
      </w:r>
      <w:proofErr w:type="gramStart"/>
      <w:r>
        <w:t>is</w:t>
      </w:r>
      <w:proofErr w:type="gramEnd"/>
      <w:r>
        <w:t xml:space="preserve"> a challenge and impact how </w:t>
      </w:r>
      <w:proofErr w:type="gramStart"/>
      <w:r>
        <w:t>follow up</w:t>
      </w:r>
      <w:proofErr w:type="gramEnd"/>
      <w:r>
        <w:t xml:space="preserve"> can be facilitated. This presents a great opportunity to utilize the State Internship Program (SIP). An intern could do </w:t>
      </w:r>
      <w:proofErr w:type="gramStart"/>
      <w:r>
        <w:t>follow up</w:t>
      </w:r>
      <w:proofErr w:type="gramEnd"/>
      <w:r>
        <w:t xml:space="preserve"> and could be hired on a </w:t>
      </w:r>
      <w:r w:rsidR="00C96262">
        <w:t>project-based</w:t>
      </w:r>
      <w:r>
        <w:t xml:space="preserve"> timeline. Would be a consistent project with clear guidelines and expectations and could help with skills </w:t>
      </w:r>
      <w:r w:rsidR="00C96262">
        <w:t>development.</w:t>
      </w:r>
    </w:p>
    <w:p w14:paraId="3BC18A5B" w14:textId="77777777" w:rsidR="000F3777" w:rsidRDefault="00A67531" w:rsidP="00A67531">
      <w:pPr>
        <w:pStyle w:val="ListParagraph"/>
        <w:numPr>
          <w:ilvl w:val="0"/>
          <w:numId w:val="15"/>
        </w:numPr>
      </w:pPr>
      <w:r>
        <w:t xml:space="preserve">Best Buddies </w:t>
      </w:r>
      <w:proofErr w:type="gramStart"/>
      <w:r>
        <w:t>serves</w:t>
      </w:r>
      <w:proofErr w:type="gramEnd"/>
      <w:r>
        <w:t xml:space="preserve"> individuals with ID/</w:t>
      </w:r>
      <w:proofErr w:type="gramStart"/>
      <w:r>
        <w:t>DD</w:t>
      </w:r>
      <w:proofErr w:type="gramEnd"/>
      <w:r>
        <w:t xml:space="preserve"> and they work closely with the regional centers. At the end of every fiscal year Best Buddies receives a fiscal report of all consumers. The report lists all of the consumers that Best Buddies has supported in finding employment, and Best Buddies has to fill out a data sheet for each consumer regarding employment and benefits status. </w:t>
      </w:r>
    </w:p>
    <w:p w14:paraId="3CB44405" w14:textId="5AF191C3" w:rsidR="00A67531" w:rsidRDefault="00C96262" w:rsidP="000F3777">
      <w:pPr>
        <w:pStyle w:val="ListParagraph"/>
        <w:numPr>
          <w:ilvl w:val="1"/>
          <w:numId w:val="15"/>
        </w:numPr>
      </w:pPr>
      <w:r>
        <w:t>Could the CRPs that DOR works with do something similar?</w:t>
      </w:r>
      <w:r w:rsidR="000F3777">
        <w:t xml:space="preserve"> This could be an alternative</w:t>
      </w:r>
      <w:r>
        <w:t xml:space="preserve"> way to utilize resources that DOR already has when facing staffing challenges.</w:t>
      </w:r>
    </w:p>
    <w:p w14:paraId="4B2586BC" w14:textId="017B7289" w:rsidR="00A67531" w:rsidRDefault="00A67531" w:rsidP="00A67531"/>
    <w:p w14:paraId="20440569" w14:textId="2A9035B1" w:rsidR="00A67531" w:rsidRDefault="00C96262" w:rsidP="00A67531">
      <w:r w:rsidRPr="00C96262">
        <w:rPr>
          <w:u w:val="single"/>
        </w:rPr>
        <w:t>Ivan Guillen</w:t>
      </w:r>
      <w:r>
        <w:t xml:space="preserve">: happy to see a focus on increasing civil service employment for people with disabilities. There was a recent article in the </w:t>
      </w:r>
      <w:proofErr w:type="spellStart"/>
      <w:r>
        <w:t>SacBee</w:t>
      </w:r>
      <w:proofErr w:type="spellEnd"/>
      <w:r>
        <w:t xml:space="preserve"> newspaper </w:t>
      </w:r>
      <w:r>
        <w:lastRenderedPageBreak/>
        <w:t xml:space="preserve">regarding rate of employment for people with disabilities in California state government dropped from 14.7% in December 2017 to 8.8% in June 2023 – a 40% decrease, a significant drop. </w:t>
      </w:r>
    </w:p>
    <w:p w14:paraId="7EDA3EF6" w14:textId="77777777" w:rsidR="00C96262" w:rsidRDefault="00C96262" w:rsidP="00A67531"/>
    <w:p w14:paraId="3A828012" w14:textId="0B8327D8" w:rsidR="00C96262" w:rsidRDefault="00C96262" w:rsidP="00C96262">
      <w:pPr>
        <w:pStyle w:val="ListParagraph"/>
        <w:ind w:left="0"/>
        <w:rPr>
          <w:i/>
          <w:iCs/>
        </w:rPr>
      </w:pPr>
      <w:r w:rsidRPr="00C96262">
        <w:rPr>
          <w:u w:val="single"/>
        </w:rPr>
        <w:t>Ivan Guillen</w:t>
      </w:r>
      <w:r>
        <w:t xml:space="preserve">: question regarding </w:t>
      </w:r>
      <w:r w:rsidRPr="00C96262">
        <w:t>the following strategy:</w:t>
      </w:r>
      <w:r>
        <w:rPr>
          <w:i/>
          <w:iCs/>
        </w:rPr>
        <w:t xml:space="preserve"> VR service delivery team s</w:t>
      </w:r>
      <w:r w:rsidRPr="004E0B81">
        <w:rPr>
          <w:i/>
          <w:iCs/>
        </w:rPr>
        <w:t>taff will receive annual training on career technical education, apprenticeships, and degree programs to support the development of IPEs for career and advanced training and education.</w:t>
      </w:r>
      <w:r>
        <w:rPr>
          <w:i/>
          <w:iCs/>
        </w:rPr>
        <w:t xml:space="preserve"> </w:t>
      </w:r>
      <w:r w:rsidRPr="005C5099">
        <w:rPr>
          <w:i/>
          <w:iCs/>
        </w:rPr>
        <w:t>The training will include components on the development of training and education plans for individuals with intellectual and developmental disabilities, individuals from unserved and underserved communities and individuals with psychological or psychiatric disabilities</w:t>
      </w:r>
      <w:r>
        <w:rPr>
          <w:i/>
          <w:iCs/>
        </w:rPr>
        <w:t>.</w:t>
      </w:r>
    </w:p>
    <w:p w14:paraId="24D49F51" w14:textId="575230BF" w:rsidR="00C96262" w:rsidRDefault="00C96262" w:rsidP="00C96262">
      <w:pPr>
        <w:pStyle w:val="ListParagraph"/>
        <w:numPr>
          <w:ilvl w:val="0"/>
          <w:numId w:val="16"/>
        </w:numPr>
      </w:pPr>
      <w:r w:rsidRPr="00C96262">
        <w:t>Will this be a different type of IPE?</w:t>
      </w:r>
      <w:r>
        <w:t xml:space="preserve"> </w:t>
      </w:r>
      <w:proofErr w:type="gramStart"/>
      <w:r>
        <w:t>Or,</w:t>
      </w:r>
      <w:proofErr w:type="gramEnd"/>
      <w:r>
        <w:t xml:space="preserve"> will the focus be having counselors let clients know that DOR is prioritizing advanced training and helping individuals </w:t>
      </w:r>
      <w:r w:rsidR="000F3777">
        <w:t>access</w:t>
      </w:r>
      <w:r>
        <w:t xml:space="preserve"> more meaningful career outcomes. How will this be implemented in the field? </w:t>
      </w:r>
    </w:p>
    <w:p w14:paraId="292D4677" w14:textId="77777777" w:rsidR="00C96262" w:rsidRDefault="00C96262" w:rsidP="00C96262"/>
    <w:p w14:paraId="39A4CAD7" w14:textId="5C35CFDB" w:rsidR="000F3777" w:rsidRDefault="000F3777" w:rsidP="00C96262">
      <w:r w:rsidRPr="000F3777">
        <w:rPr>
          <w:u w:val="single"/>
        </w:rPr>
        <w:t>Ivan Guillen</w:t>
      </w:r>
      <w:r>
        <w:t>: overall great information. Clear that DOR did extensive work and research in developing the priorities, goals, and strategies.</w:t>
      </w:r>
    </w:p>
    <w:p w14:paraId="2CBCA5EA" w14:textId="77777777" w:rsidR="000F3777" w:rsidRDefault="000F3777" w:rsidP="00C96262"/>
    <w:p w14:paraId="5F2B9E67" w14:textId="2978555D" w:rsidR="00C96262" w:rsidRDefault="00C96262" w:rsidP="00A67531">
      <w:r w:rsidRPr="000F3777">
        <w:rPr>
          <w:u w:val="single"/>
        </w:rPr>
        <w:t>La Trena Robinson</w:t>
      </w:r>
      <w:proofErr w:type="gramStart"/>
      <w:r>
        <w:t xml:space="preserve">: </w:t>
      </w:r>
      <w:r w:rsidR="000F3777">
        <w:t>the</w:t>
      </w:r>
      <w:proofErr w:type="gramEnd"/>
      <w:r w:rsidR="000F3777">
        <w:t xml:space="preserve"> priorities, goals and strategies is a comprehensive report and considers many angels and perspectives. Applauds DOR’s efforts to include equity and community agencies.  </w:t>
      </w:r>
    </w:p>
    <w:p w14:paraId="35DD9D24" w14:textId="77777777" w:rsidR="005A770D" w:rsidRPr="00C75F2F" w:rsidRDefault="005A770D" w:rsidP="00514606"/>
    <w:p w14:paraId="79ABFE07" w14:textId="75B23462" w:rsidR="003C33CB" w:rsidRPr="00A6339A" w:rsidRDefault="003C33CB" w:rsidP="003C33CB">
      <w:pPr>
        <w:pStyle w:val="Heading1"/>
      </w:pPr>
      <w:r>
        <w:t xml:space="preserve">Item </w:t>
      </w:r>
      <w:r w:rsidR="00E14AFD">
        <w:t>3</w:t>
      </w:r>
      <w:r>
        <w:t xml:space="preserve">: </w:t>
      </w:r>
      <w:r w:rsidR="004D682E">
        <w:t xml:space="preserve">State Plan Description A – Input of the SRC </w:t>
      </w:r>
    </w:p>
    <w:p w14:paraId="6DE09A6D" w14:textId="5B18F828" w:rsidR="007F4637" w:rsidRPr="004251B9" w:rsidRDefault="00E14AFD" w:rsidP="00A67531">
      <w:pPr>
        <w:rPr>
          <w:rFonts w:cs="Arial"/>
          <w:color w:val="0000CC"/>
          <w:szCs w:val="28"/>
        </w:rPr>
      </w:pPr>
      <w:r>
        <w:t xml:space="preserve">Kate Bjerke, SRC Executive Officer, </w:t>
      </w:r>
      <w:r w:rsidR="00C96262">
        <w:t>presented</w:t>
      </w:r>
      <w:r>
        <w:t xml:space="preserve"> </w:t>
      </w:r>
      <w:r w:rsidR="008B691D">
        <w:t xml:space="preserve">draft </w:t>
      </w:r>
      <w:r w:rsidR="008B691D" w:rsidRPr="00AF0A98">
        <w:rPr>
          <w:rFonts w:cs="Arial"/>
          <w:i/>
          <w:iCs/>
          <w:szCs w:val="28"/>
        </w:rPr>
        <w:t>Description A – Input of the SRC</w:t>
      </w:r>
      <w:r w:rsidR="008B691D">
        <w:rPr>
          <w:rFonts w:cs="Arial"/>
          <w:szCs w:val="28"/>
        </w:rPr>
        <w:t xml:space="preserve"> for inclusion in the 2024-2</w:t>
      </w:r>
      <w:r w:rsidR="006211BE">
        <w:rPr>
          <w:rFonts w:cs="Arial"/>
          <w:szCs w:val="28"/>
        </w:rPr>
        <w:t>7</w:t>
      </w:r>
      <w:r w:rsidR="008B691D">
        <w:rPr>
          <w:rFonts w:cs="Arial"/>
          <w:szCs w:val="28"/>
        </w:rPr>
        <w:t xml:space="preserve"> VR Services Portion of the Unified State Plan. </w:t>
      </w:r>
      <w:r w:rsidR="00A67531">
        <w:rPr>
          <w:rFonts w:cs="Arial"/>
          <w:szCs w:val="28"/>
        </w:rPr>
        <w:t xml:space="preserve">The SRC members supported the draft; there was no discussion or comment. </w:t>
      </w:r>
    </w:p>
    <w:p w14:paraId="6D26B61E" w14:textId="77777777" w:rsidR="00D116D0" w:rsidRPr="00A6339A" w:rsidRDefault="00D116D0" w:rsidP="003C33CB"/>
    <w:p w14:paraId="34EF5EA8" w14:textId="28167379" w:rsidR="00107AC2" w:rsidRDefault="00514606" w:rsidP="00514606">
      <w:pPr>
        <w:pStyle w:val="Heading1"/>
      </w:pPr>
      <w:r>
        <w:t xml:space="preserve">Item </w:t>
      </w:r>
      <w:r w:rsidR="00D85D4B">
        <w:t>4</w:t>
      </w:r>
      <w:r>
        <w:t xml:space="preserve">: </w:t>
      </w:r>
      <w:r w:rsidR="004D682E">
        <w:t xml:space="preserve">Next Steps and Timeline </w:t>
      </w:r>
    </w:p>
    <w:p w14:paraId="7EB0E725" w14:textId="22582ACD" w:rsidR="00107AC2" w:rsidRDefault="00A67531" w:rsidP="00107AC2">
      <w:r>
        <w:t>Bjerke reviewed</w:t>
      </w:r>
      <w:r w:rsidR="00107AC2">
        <w:t xml:space="preserve"> the next steps and timeline for the</w:t>
      </w:r>
      <w:r w:rsidR="005E3CAC">
        <w:t xml:space="preserve"> submission of the</w:t>
      </w:r>
      <w:r w:rsidR="00107AC2">
        <w:t xml:space="preserve"> 2024-2</w:t>
      </w:r>
      <w:r w:rsidR="006211BE">
        <w:t>7</w:t>
      </w:r>
      <w:r w:rsidR="00107AC2">
        <w:t xml:space="preserve"> VR Services Portion of the Unified State Plan</w:t>
      </w:r>
      <w:r>
        <w:t>:</w:t>
      </w:r>
    </w:p>
    <w:p w14:paraId="2981D0D8" w14:textId="03E3E78E" w:rsidR="008958EB" w:rsidRPr="00A67531" w:rsidRDefault="008958EB" w:rsidP="00A67531">
      <w:pPr>
        <w:pStyle w:val="ListParagraph"/>
        <w:numPr>
          <w:ilvl w:val="0"/>
          <w:numId w:val="9"/>
        </w:numPr>
      </w:pPr>
      <w:r w:rsidRPr="00A67531">
        <w:rPr>
          <w:u w:val="single"/>
        </w:rPr>
        <w:t>December 6, 2023</w:t>
      </w:r>
      <w:r w:rsidRPr="00A67531">
        <w:t>: DOR draft due to CWDB</w:t>
      </w:r>
    </w:p>
    <w:p w14:paraId="0584CF94" w14:textId="4997D204" w:rsidR="008958EB" w:rsidRPr="00A67531" w:rsidRDefault="008958EB" w:rsidP="00A67531">
      <w:pPr>
        <w:pStyle w:val="ListParagraph"/>
        <w:numPr>
          <w:ilvl w:val="0"/>
          <w:numId w:val="9"/>
        </w:numPr>
      </w:pPr>
      <w:r w:rsidRPr="00A67531">
        <w:rPr>
          <w:u w:val="single"/>
        </w:rPr>
        <w:t>January 5, 2024</w:t>
      </w:r>
      <w:r w:rsidRPr="00A67531">
        <w:t>: CA Unified State Plan posted for public comment (30 days).</w:t>
      </w:r>
    </w:p>
    <w:p w14:paraId="793589B0" w14:textId="080C0621" w:rsidR="008958EB" w:rsidRPr="00A67531" w:rsidRDefault="008958EB" w:rsidP="00A67531">
      <w:pPr>
        <w:pStyle w:val="ListParagraph"/>
        <w:numPr>
          <w:ilvl w:val="0"/>
          <w:numId w:val="9"/>
        </w:numPr>
      </w:pPr>
      <w:r w:rsidRPr="00A67531">
        <w:rPr>
          <w:u w:val="single"/>
        </w:rPr>
        <w:t xml:space="preserve">February </w:t>
      </w:r>
      <w:r w:rsidR="00C77FDB" w:rsidRPr="00A67531">
        <w:rPr>
          <w:u w:val="single"/>
        </w:rPr>
        <w:t>5, 2024</w:t>
      </w:r>
      <w:r w:rsidR="00C77FDB" w:rsidRPr="00A67531">
        <w:t>:</w:t>
      </w:r>
      <w:r w:rsidRPr="00A67531">
        <w:t xml:space="preserve"> Public comment period closes</w:t>
      </w:r>
    </w:p>
    <w:p w14:paraId="3A82942B" w14:textId="2F0A14E4" w:rsidR="008958EB" w:rsidRPr="00A67531" w:rsidRDefault="008958EB" w:rsidP="00A67531">
      <w:pPr>
        <w:pStyle w:val="ListParagraph"/>
        <w:numPr>
          <w:ilvl w:val="0"/>
          <w:numId w:val="9"/>
        </w:numPr>
      </w:pPr>
      <w:r w:rsidRPr="00A67531">
        <w:rPr>
          <w:u w:val="single"/>
        </w:rPr>
        <w:t>January 5</w:t>
      </w:r>
      <w:r w:rsidR="00C77FDB" w:rsidRPr="00A67531">
        <w:rPr>
          <w:u w:val="single"/>
        </w:rPr>
        <w:t xml:space="preserve"> -</w:t>
      </w:r>
      <w:r w:rsidRPr="00A67531">
        <w:rPr>
          <w:u w:val="single"/>
        </w:rPr>
        <w:t xml:space="preserve"> February 6</w:t>
      </w:r>
      <w:r w:rsidR="00C77FDB" w:rsidRPr="00A67531">
        <w:rPr>
          <w:u w:val="single"/>
        </w:rPr>
        <w:t>, 2024</w:t>
      </w:r>
      <w:r w:rsidR="00C77FDB" w:rsidRPr="00A67531">
        <w:t>:</w:t>
      </w:r>
      <w:r w:rsidRPr="00A67531">
        <w:t xml:space="preserve"> DOR receives and reviews public </w:t>
      </w:r>
      <w:proofErr w:type="gramStart"/>
      <w:r w:rsidRPr="00A67531">
        <w:t>comment</w:t>
      </w:r>
      <w:proofErr w:type="gramEnd"/>
      <w:r w:rsidRPr="00A67531">
        <w:t xml:space="preserve"> that </w:t>
      </w:r>
      <w:proofErr w:type="gramStart"/>
      <w:r w:rsidRPr="00A67531">
        <w:t>was</w:t>
      </w:r>
      <w:proofErr w:type="gramEnd"/>
      <w:r w:rsidRPr="00A67531">
        <w:t xml:space="preserve"> submitted, CWDB forwarding weekly comments. </w:t>
      </w:r>
    </w:p>
    <w:p w14:paraId="11241E05" w14:textId="01B07124" w:rsidR="008958EB" w:rsidRPr="00A67531" w:rsidRDefault="008958EB" w:rsidP="00A67531">
      <w:pPr>
        <w:pStyle w:val="ListParagraph"/>
        <w:numPr>
          <w:ilvl w:val="0"/>
          <w:numId w:val="9"/>
        </w:numPr>
      </w:pPr>
      <w:r w:rsidRPr="00A67531">
        <w:rPr>
          <w:u w:val="single"/>
        </w:rPr>
        <w:t>March 4</w:t>
      </w:r>
      <w:r w:rsidR="00C77FDB" w:rsidRPr="00A67531">
        <w:rPr>
          <w:u w:val="single"/>
        </w:rPr>
        <w:t>, 2024</w:t>
      </w:r>
      <w:r w:rsidR="00C77FDB" w:rsidRPr="00A67531">
        <w:t>:</w:t>
      </w:r>
      <w:r w:rsidRPr="00A67531">
        <w:t xml:space="preserve"> Plan is submitted to RSA (</w:t>
      </w:r>
      <w:r w:rsidR="00C77FDB" w:rsidRPr="00A67531">
        <w:t>90-day</w:t>
      </w:r>
      <w:r w:rsidRPr="00A67531">
        <w:t xml:space="preserve"> RSA </w:t>
      </w:r>
      <w:r w:rsidR="00C77FDB" w:rsidRPr="00A67531">
        <w:t>r</w:t>
      </w:r>
      <w:r w:rsidRPr="00A67531">
        <w:t>eview)</w:t>
      </w:r>
    </w:p>
    <w:p w14:paraId="6DC5587A" w14:textId="68F11105" w:rsidR="008958EB" w:rsidRPr="00A67531" w:rsidRDefault="008958EB" w:rsidP="00A67531">
      <w:pPr>
        <w:pStyle w:val="ListParagraph"/>
        <w:numPr>
          <w:ilvl w:val="0"/>
          <w:numId w:val="9"/>
        </w:numPr>
      </w:pPr>
      <w:r w:rsidRPr="00A67531">
        <w:rPr>
          <w:u w:val="single"/>
        </w:rPr>
        <w:t>June 3</w:t>
      </w:r>
      <w:r w:rsidR="00C77FDB" w:rsidRPr="00A67531">
        <w:rPr>
          <w:u w:val="single"/>
        </w:rPr>
        <w:t>, 2024</w:t>
      </w:r>
      <w:r w:rsidR="00C77FDB" w:rsidRPr="00A67531">
        <w:t xml:space="preserve">: </w:t>
      </w:r>
      <w:r w:rsidRPr="00A67531">
        <w:t>Plan is approved by RSA</w:t>
      </w:r>
      <w:r w:rsidR="00C77FDB" w:rsidRPr="00A67531">
        <w:t>.</w:t>
      </w:r>
    </w:p>
    <w:p w14:paraId="46E04325" w14:textId="2628F960" w:rsidR="008958EB" w:rsidRPr="00A67531" w:rsidRDefault="008958EB" w:rsidP="00A67531">
      <w:pPr>
        <w:pStyle w:val="ListParagraph"/>
        <w:numPr>
          <w:ilvl w:val="0"/>
          <w:numId w:val="9"/>
        </w:numPr>
      </w:pPr>
      <w:r w:rsidRPr="00A67531">
        <w:rPr>
          <w:u w:val="single"/>
        </w:rPr>
        <w:t>July 1</w:t>
      </w:r>
      <w:r w:rsidR="00C77FDB" w:rsidRPr="00A67531">
        <w:rPr>
          <w:u w:val="single"/>
        </w:rPr>
        <w:t>, 2024</w:t>
      </w:r>
      <w:r w:rsidR="00C77FDB" w:rsidRPr="00A67531">
        <w:t xml:space="preserve">: </w:t>
      </w:r>
      <w:r w:rsidRPr="00A67531">
        <w:t xml:space="preserve"> Plan </w:t>
      </w:r>
      <w:r w:rsidR="00BC5CF9" w:rsidRPr="00A67531">
        <w:t>goes into effect.</w:t>
      </w:r>
    </w:p>
    <w:p w14:paraId="679E7E84" w14:textId="7CB3AE84" w:rsidR="008958EB" w:rsidRPr="00A67531" w:rsidRDefault="008958EB" w:rsidP="00A67531">
      <w:pPr>
        <w:pStyle w:val="ListParagraph"/>
        <w:numPr>
          <w:ilvl w:val="0"/>
          <w:numId w:val="9"/>
        </w:numPr>
      </w:pPr>
      <w:r w:rsidRPr="00A67531">
        <w:rPr>
          <w:u w:val="single"/>
        </w:rPr>
        <w:lastRenderedPageBreak/>
        <w:t xml:space="preserve">October/November </w:t>
      </w:r>
      <w:r w:rsidR="00C77FDB" w:rsidRPr="00A67531">
        <w:rPr>
          <w:u w:val="single"/>
        </w:rPr>
        <w:t>2024</w:t>
      </w:r>
      <w:r w:rsidR="00C77FDB" w:rsidRPr="00A67531">
        <w:t xml:space="preserve"> </w:t>
      </w:r>
      <w:r w:rsidRPr="00A67531">
        <w:t xml:space="preserve">SRC </w:t>
      </w:r>
      <w:r w:rsidR="00BC5CF9" w:rsidRPr="00A67531">
        <w:t xml:space="preserve">quarterly </w:t>
      </w:r>
      <w:r w:rsidRPr="00A67531">
        <w:t>meeting</w:t>
      </w:r>
      <w:r w:rsidR="00C77FDB" w:rsidRPr="00A67531">
        <w:t xml:space="preserve">: </w:t>
      </w:r>
      <w:r w:rsidRPr="00A67531">
        <w:t>SRC receives a first quarter update on the progress of the 2024-27 goals and priorities.</w:t>
      </w:r>
    </w:p>
    <w:p w14:paraId="03E65EF8" w14:textId="77777777" w:rsidR="00107AC2" w:rsidRPr="00F16A8B" w:rsidRDefault="00107AC2" w:rsidP="00F16A8B"/>
    <w:p w14:paraId="5B9008CE" w14:textId="3FAEBC19" w:rsidR="00C96262" w:rsidRDefault="007B7CE3" w:rsidP="00C96262">
      <w:pPr>
        <w:pStyle w:val="Heading1"/>
      </w:pPr>
      <w:r>
        <w:t>Item 5: Public Comment</w:t>
      </w:r>
      <w:r w:rsidR="003A357D">
        <w:t xml:space="preserve"> </w:t>
      </w:r>
    </w:p>
    <w:p w14:paraId="6ACF5AE6" w14:textId="180038CF" w:rsidR="00C7345A" w:rsidRPr="00C96262" w:rsidRDefault="00C96262" w:rsidP="00C96262">
      <w:pPr>
        <w:pStyle w:val="Heading1"/>
        <w:rPr>
          <w:b w:val="0"/>
          <w:bCs/>
        </w:rPr>
      </w:pPr>
      <w:r w:rsidRPr="00C96262">
        <w:rPr>
          <w:rFonts w:cs="Arial"/>
          <w:b w:val="0"/>
          <w:bCs/>
          <w:szCs w:val="28"/>
        </w:rPr>
        <w:t>There was no public comment.</w:t>
      </w:r>
    </w:p>
    <w:p w14:paraId="114A2C67" w14:textId="77777777" w:rsidR="007B7CE3" w:rsidRDefault="007B7CE3" w:rsidP="007B7CE3"/>
    <w:p w14:paraId="2253D71C" w14:textId="5D280A36" w:rsidR="003A357D" w:rsidRDefault="00514606" w:rsidP="00C96262">
      <w:pPr>
        <w:pStyle w:val="Heading1"/>
      </w:pPr>
      <w:r w:rsidRPr="00801716">
        <w:t>Adjourn</w:t>
      </w:r>
      <w:bookmarkStart w:id="2" w:name="_Hlk536179184"/>
    </w:p>
    <w:p w14:paraId="3B065680" w14:textId="5271C404" w:rsidR="00C96262" w:rsidRPr="00C96262" w:rsidRDefault="00C96262" w:rsidP="00C96262">
      <w:r>
        <w:t>It was moved/seconded (Guillen/Brisbane) to adjourn the November 13, 2023 SRC Unified State Plan Committee meeting.</w:t>
      </w:r>
      <w:bookmarkEnd w:id="2"/>
    </w:p>
    <w:sectPr w:rsidR="00C96262" w:rsidRPr="00C96262" w:rsidSect="00514606">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A25C" w14:textId="77777777" w:rsidR="00BD2790" w:rsidRDefault="00BD2790" w:rsidP="009B0956">
      <w:r>
        <w:separator/>
      </w:r>
    </w:p>
  </w:endnote>
  <w:endnote w:type="continuationSeparator" w:id="0">
    <w:p w14:paraId="4A249F31" w14:textId="77777777" w:rsidR="00BD2790" w:rsidRDefault="00BD2790" w:rsidP="009B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0E0E332B"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17F3" w14:textId="77777777" w:rsidR="00BD2790" w:rsidRDefault="00BD2790" w:rsidP="009B0956">
      <w:r>
        <w:separator/>
      </w:r>
    </w:p>
  </w:footnote>
  <w:footnote w:type="continuationSeparator" w:id="0">
    <w:p w14:paraId="3E56FBFB" w14:textId="77777777" w:rsidR="00BD2790" w:rsidRDefault="00BD2790" w:rsidP="009B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DC3"/>
    <w:multiLevelType w:val="hybridMultilevel"/>
    <w:tmpl w:val="51629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CBA"/>
    <w:multiLevelType w:val="hybridMultilevel"/>
    <w:tmpl w:val="757A4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C1483"/>
    <w:multiLevelType w:val="hybridMultilevel"/>
    <w:tmpl w:val="0F5C9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F47D6"/>
    <w:multiLevelType w:val="hybridMultilevel"/>
    <w:tmpl w:val="4570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1237"/>
    <w:multiLevelType w:val="hybridMultilevel"/>
    <w:tmpl w:val="069292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83FC4"/>
    <w:multiLevelType w:val="hybridMultilevel"/>
    <w:tmpl w:val="0A70D2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A5B30"/>
    <w:multiLevelType w:val="hybridMultilevel"/>
    <w:tmpl w:val="398C0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F0171F9"/>
    <w:multiLevelType w:val="hybridMultilevel"/>
    <w:tmpl w:val="746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F7CF7"/>
    <w:multiLevelType w:val="hybridMultilevel"/>
    <w:tmpl w:val="ECB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15C2A"/>
    <w:multiLevelType w:val="hybridMultilevel"/>
    <w:tmpl w:val="ED54626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56386162"/>
    <w:multiLevelType w:val="hybridMultilevel"/>
    <w:tmpl w:val="5D10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6479AC"/>
    <w:multiLevelType w:val="hybridMultilevel"/>
    <w:tmpl w:val="0560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783A67"/>
    <w:multiLevelType w:val="hybridMultilevel"/>
    <w:tmpl w:val="C19C17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6133568"/>
    <w:multiLevelType w:val="hybridMultilevel"/>
    <w:tmpl w:val="0E926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D0AF2"/>
    <w:multiLevelType w:val="hybridMultilevel"/>
    <w:tmpl w:val="0B8C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92B14"/>
    <w:multiLevelType w:val="hybridMultilevel"/>
    <w:tmpl w:val="B976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831203">
    <w:abstractNumId w:val="0"/>
  </w:num>
  <w:num w:numId="2" w16cid:durableId="430704695">
    <w:abstractNumId w:val="13"/>
  </w:num>
  <w:num w:numId="3" w16cid:durableId="1884711406">
    <w:abstractNumId w:val="3"/>
  </w:num>
  <w:num w:numId="4" w16cid:durableId="608123126">
    <w:abstractNumId w:val="6"/>
  </w:num>
  <w:num w:numId="5" w16cid:durableId="626742637">
    <w:abstractNumId w:val="15"/>
  </w:num>
  <w:num w:numId="6" w16cid:durableId="1853377218">
    <w:abstractNumId w:val="7"/>
  </w:num>
  <w:num w:numId="7" w16cid:durableId="94518396">
    <w:abstractNumId w:val="12"/>
  </w:num>
  <w:num w:numId="8" w16cid:durableId="2063290275">
    <w:abstractNumId w:val="14"/>
  </w:num>
  <w:num w:numId="9" w16cid:durableId="1249072475">
    <w:abstractNumId w:val="11"/>
  </w:num>
  <w:num w:numId="10" w16cid:durableId="2060007218">
    <w:abstractNumId w:val="8"/>
  </w:num>
  <w:num w:numId="11" w16cid:durableId="1269846913">
    <w:abstractNumId w:val="10"/>
  </w:num>
  <w:num w:numId="12" w16cid:durableId="544635344">
    <w:abstractNumId w:val="1"/>
  </w:num>
  <w:num w:numId="13" w16cid:durableId="2012947224">
    <w:abstractNumId w:val="2"/>
  </w:num>
  <w:num w:numId="14" w16cid:durableId="1919247768">
    <w:abstractNumId w:val="9"/>
  </w:num>
  <w:num w:numId="15" w16cid:durableId="1192182428">
    <w:abstractNumId w:val="4"/>
  </w:num>
  <w:num w:numId="16" w16cid:durableId="82646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45A6E"/>
    <w:rsid w:val="00076155"/>
    <w:rsid w:val="000A3B75"/>
    <w:rsid w:val="000F3777"/>
    <w:rsid w:val="0010048B"/>
    <w:rsid w:val="00107AC2"/>
    <w:rsid w:val="00117AC2"/>
    <w:rsid w:val="001225D6"/>
    <w:rsid w:val="00140D98"/>
    <w:rsid w:val="0015399A"/>
    <w:rsid w:val="001D2C66"/>
    <w:rsid w:val="001F6CAC"/>
    <w:rsid w:val="00213D3E"/>
    <w:rsid w:val="0023378D"/>
    <w:rsid w:val="00233AAE"/>
    <w:rsid w:val="002421C3"/>
    <w:rsid w:val="00242389"/>
    <w:rsid w:val="0025775D"/>
    <w:rsid w:val="00275195"/>
    <w:rsid w:val="00291AE9"/>
    <w:rsid w:val="002A5D92"/>
    <w:rsid w:val="002B4B07"/>
    <w:rsid w:val="002D0466"/>
    <w:rsid w:val="00310BB9"/>
    <w:rsid w:val="003413C7"/>
    <w:rsid w:val="00342FCE"/>
    <w:rsid w:val="003A357D"/>
    <w:rsid w:val="003B3135"/>
    <w:rsid w:val="003C33CB"/>
    <w:rsid w:val="003F71B4"/>
    <w:rsid w:val="004219DD"/>
    <w:rsid w:val="004251B9"/>
    <w:rsid w:val="00436867"/>
    <w:rsid w:val="00467F30"/>
    <w:rsid w:val="00471986"/>
    <w:rsid w:val="0047557B"/>
    <w:rsid w:val="004D682E"/>
    <w:rsid w:val="004F49E2"/>
    <w:rsid w:val="0051126B"/>
    <w:rsid w:val="005123D9"/>
    <w:rsid w:val="00514606"/>
    <w:rsid w:val="00561CC8"/>
    <w:rsid w:val="0056501C"/>
    <w:rsid w:val="00596955"/>
    <w:rsid w:val="005A770D"/>
    <w:rsid w:val="005B20A7"/>
    <w:rsid w:val="005B7223"/>
    <w:rsid w:val="005E3CAC"/>
    <w:rsid w:val="005E639C"/>
    <w:rsid w:val="006057B1"/>
    <w:rsid w:val="00617995"/>
    <w:rsid w:val="006211BE"/>
    <w:rsid w:val="00633DB8"/>
    <w:rsid w:val="00644021"/>
    <w:rsid w:val="00652F58"/>
    <w:rsid w:val="006745C6"/>
    <w:rsid w:val="00690000"/>
    <w:rsid w:val="006A1E79"/>
    <w:rsid w:val="006C1F76"/>
    <w:rsid w:val="006D642D"/>
    <w:rsid w:val="006E59F2"/>
    <w:rsid w:val="006F3CFF"/>
    <w:rsid w:val="00740F0F"/>
    <w:rsid w:val="0074601F"/>
    <w:rsid w:val="007808E9"/>
    <w:rsid w:val="007A7C4A"/>
    <w:rsid w:val="007B7CE3"/>
    <w:rsid w:val="007E7D6A"/>
    <w:rsid w:val="007F4637"/>
    <w:rsid w:val="0081149E"/>
    <w:rsid w:val="00847CB3"/>
    <w:rsid w:val="00853522"/>
    <w:rsid w:val="00857F83"/>
    <w:rsid w:val="008947E4"/>
    <w:rsid w:val="008958EB"/>
    <w:rsid w:val="008B691D"/>
    <w:rsid w:val="008E2975"/>
    <w:rsid w:val="00903DB8"/>
    <w:rsid w:val="00906F07"/>
    <w:rsid w:val="00920398"/>
    <w:rsid w:val="00961B74"/>
    <w:rsid w:val="009A6DFC"/>
    <w:rsid w:val="009B0956"/>
    <w:rsid w:val="009C2F9F"/>
    <w:rsid w:val="009F56CC"/>
    <w:rsid w:val="00A27939"/>
    <w:rsid w:val="00A27B09"/>
    <w:rsid w:val="00A67531"/>
    <w:rsid w:val="00A91FE9"/>
    <w:rsid w:val="00A97DBA"/>
    <w:rsid w:val="00AA746E"/>
    <w:rsid w:val="00AB77E0"/>
    <w:rsid w:val="00AC0501"/>
    <w:rsid w:val="00AD2B1C"/>
    <w:rsid w:val="00AE0CAF"/>
    <w:rsid w:val="00AE40B3"/>
    <w:rsid w:val="00AF6C7B"/>
    <w:rsid w:val="00B105AC"/>
    <w:rsid w:val="00B10C78"/>
    <w:rsid w:val="00B41439"/>
    <w:rsid w:val="00B540B5"/>
    <w:rsid w:val="00B65D81"/>
    <w:rsid w:val="00B803C8"/>
    <w:rsid w:val="00BB3BB3"/>
    <w:rsid w:val="00BC0037"/>
    <w:rsid w:val="00BC25EB"/>
    <w:rsid w:val="00BC5CF9"/>
    <w:rsid w:val="00BD2790"/>
    <w:rsid w:val="00BD34AD"/>
    <w:rsid w:val="00C334CE"/>
    <w:rsid w:val="00C6346C"/>
    <w:rsid w:val="00C7345A"/>
    <w:rsid w:val="00C77FDB"/>
    <w:rsid w:val="00C85510"/>
    <w:rsid w:val="00C96262"/>
    <w:rsid w:val="00CE432C"/>
    <w:rsid w:val="00D116D0"/>
    <w:rsid w:val="00D11719"/>
    <w:rsid w:val="00D30FE3"/>
    <w:rsid w:val="00D56802"/>
    <w:rsid w:val="00D728A8"/>
    <w:rsid w:val="00D85D4B"/>
    <w:rsid w:val="00D95931"/>
    <w:rsid w:val="00D97FE3"/>
    <w:rsid w:val="00DA7599"/>
    <w:rsid w:val="00E14AFD"/>
    <w:rsid w:val="00E51F4E"/>
    <w:rsid w:val="00E83653"/>
    <w:rsid w:val="00E96143"/>
    <w:rsid w:val="00EA5E3A"/>
    <w:rsid w:val="00EB539F"/>
    <w:rsid w:val="00EC08CD"/>
    <w:rsid w:val="00EC19C8"/>
    <w:rsid w:val="00F07899"/>
    <w:rsid w:val="00F1298A"/>
    <w:rsid w:val="00F16A8B"/>
    <w:rsid w:val="00F21A28"/>
    <w:rsid w:val="00F26C35"/>
    <w:rsid w:val="00F434CD"/>
    <w:rsid w:val="00F67079"/>
    <w:rsid w:val="00F76138"/>
    <w:rsid w:val="00F85D0D"/>
    <w:rsid w:val="00FD0531"/>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styleId="Strong">
    <w:name w:val="Strong"/>
    <w:basedOn w:val="DefaultParagraphFont"/>
    <w:uiPriority w:val="22"/>
    <w:qFormat/>
    <w:rsid w:val="00BC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367">
      <w:bodyDiv w:val="1"/>
      <w:marLeft w:val="0"/>
      <w:marRight w:val="0"/>
      <w:marTop w:val="0"/>
      <w:marBottom w:val="0"/>
      <w:divBdr>
        <w:top w:val="none" w:sz="0" w:space="0" w:color="auto"/>
        <w:left w:val="none" w:sz="0" w:space="0" w:color="auto"/>
        <w:bottom w:val="none" w:sz="0" w:space="0" w:color="auto"/>
        <w:right w:val="none" w:sz="0" w:space="0" w:color="auto"/>
      </w:divBdr>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691609967">
      <w:bodyDiv w:val="1"/>
      <w:marLeft w:val="0"/>
      <w:marRight w:val="0"/>
      <w:marTop w:val="0"/>
      <w:marBottom w:val="0"/>
      <w:divBdr>
        <w:top w:val="none" w:sz="0" w:space="0" w:color="auto"/>
        <w:left w:val="none" w:sz="0" w:space="0" w:color="auto"/>
        <w:bottom w:val="none" w:sz="0" w:space="0" w:color="auto"/>
        <w:right w:val="none" w:sz="0" w:space="0" w:color="auto"/>
      </w:divBdr>
    </w:div>
    <w:div w:id="1218543128">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9277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224</TotalTime>
  <Pages>4</Pages>
  <Words>1042</Words>
  <Characters>5734</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131</cp:revision>
  <dcterms:created xsi:type="dcterms:W3CDTF">2022-09-21T17:47:00Z</dcterms:created>
  <dcterms:modified xsi:type="dcterms:W3CDTF">2026-06-09T21:23:00Z</dcterms:modified>
</cp:coreProperties>
</file>