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8C81" w14:textId="77777777" w:rsidR="00F33539" w:rsidRDefault="00F33539" w:rsidP="00F33539">
      <w:pPr>
        <w:pStyle w:val="Heading1"/>
      </w:pPr>
      <w:r>
        <w:t xml:space="preserve">What is an Order of Selection? </w:t>
      </w:r>
    </w:p>
    <w:p w14:paraId="6CD0063E" w14:textId="5B548BC0" w:rsidR="00F33539" w:rsidRDefault="00F33539" w:rsidP="00F33539">
      <w:pPr>
        <w:pStyle w:val="DOR"/>
      </w:pPr>
      <w:r>
        <w:t xml:space="preserve">DOR uses </w:t>
      </w:r>
      <w:r w:rsidR="005F4F2E">
        <w:t xml:space="preserve">the federal </w:t>
      </w:r>
      <w:r w:rsidR="005F4F2E">
        <w:t>vocational rehabilitation (VR) grant</w:t>
      </w:r>
      <w:r>
        <w:t xml:space="preserve"> to pay for its staff, services, and programs. However, if the demand for </w:t>
      </w:r>
      <w:r w:rsidR="007A3569">
        <w:t>VR</w:t>
      </w:r>
      <w:r>
        <w:t xml:space="preserve"> services is greater than the amount of money or staffing DOR has available, DOR must create a waiting list to make sure new applicants are served in a fair and organized way. This federally required process is called an “Order of Selection.”</w:t>
      </w:r>
    </w:p>
    <w:p w14:paraId="038C5F54" w14:textId="77777777" w:rsidR="00F33539" w:rsidRDefault="00F33539" w:rsidP="00F33539">
      <w:pPr>
        <w:pStyle w:val="DOR"/>
      </w:pPr>
    </w:p>
    <w:p w14:paraId="3B31D516" w14:textId="77777777" w:rsidR="00F33539" w:rsidRDefault="00F33539" w:rsidP="00F33539">
      <w:pPr>
        <w:pStyle w:val="DOR"/>
      </w:pPr>
      <w:r>
        <w:t xml:space="preserve">When an Order of Selection, or OOS, goes into effect, new applicants for DOR services are placed into one of three priority categories: </w:t>
      </w:r>
    </w:p>
    <w:p w14:paraId="01C86FFB" w14:textId="44D6C4D6" w:rsidR="00F33539" w:rsidRDefault="00F33539" w:rsidP="00F33539">
      <w:pPr>
        <w:pStyle w:val="DOR"/>
        <w:numPr>
          <w:ilvl w:val="0"/>
          <w:numId w:val="11"/>
        </w:numPr>
      </w:pPr>
      <w:r>
        <w:t>Priority Category 1: Individuals with the most significant disabilities</w:t>
      </w:r>
    </w:p>
    <w:p w14:paraId="017CB280" w14:textId="7E6DB47E" w:rsidR="00F33539" w:rsidRDefault="00F33539" w:rsidP="00F33539">
      <w:pPr>
        <w:pStyle w:val="DOR"/>
        <w:numPr>
          <w:ilvl w:val="0"/>
          <w:numId w:val="11"/>
        </w:numPr>
      </w:pPr>
      <w:r>
        <w:t>Priority Category 2: Individuals with significant disabilities</w:t>
      </w:r>
    </w:p>
    <w:p w14:paraId="27D88277" w14:textId="3FEB514A" w:rsidR="00F33539" w:rsidRDefault="00F33539" w:rsidP="00F33539">
      <w:pPr>
        <w:pStyle w:val="DOR"/>
        <w:numPr>
          <w:ilvl w:val="0"/>
          <w:numId w:val="11"/>
        </w:numPr>
      </w:pPr>
      <w:r>
        <w:t>Priority Category 3: Individuals with disabilities</w:t>
      </w:r>
    </w:p>
    <w:p w14:paraId="3811CEEA" w14:textId="77777777" w:rsidR="00F33539" w:rsidRDefault="00F33539" w:rsidP="00F33539">
      <w:pPr>
        <w:pStyle w:val="DOR"/>
      </w:pPr>
    </w:p>
    <w:p w14:paraId="1E3BBCD7" w14:textId="77777777" w:rsidR="00F33539" w:rsidRDefault="00F33539" w:rsidP="00F33539">
      <w:pPr>
        <w:pStyle w:val="DOR"/>
      </w:pPr>
      <w:r>
        <w:t>DOR then serves new applicants when there are enough funds and staff. DOR must first serve individuals in Priority Category 1, because they need the highest level of support to achieve their employment goals. Within each category, individuals are served in the order in which they applied.</w:t>
      </w:r>
    </w:p>
    <w:p w14:paraId="74C84D62" w14:textId="77777777" w:rsidR="00F33539" w:rsidRDefault="00F33539" w:rsidP="00F33539">
      <w:pPr>
        <w:pStyle w:val="DOR"/>
      </w:pPr>
    </w:p>
    <w:p w14:paraId="434D9B2B" w14:textId="77777777" w:rsidR="00F33539" w:rsidRDefault="00F33539" w:rsidP="00F33539">
      <w:pPr>
        <w:pStyle w:val="DOR"/>
      </w:pPr>
      <w:r>
        <w:t>Important Note: The following people will not be impacted by an OOS:</w:t>
      </w:r>
    </w:p>
    <w:p w14:paraId="13469020" w14:textId="47B15304" w:rsidR="00F33539" w:rsidRDefault="00F33539" w:rsidP="00F33539">
      <w:pPr>
        <w:pStyle w:val="DOR"/>
        <w:numPr>
          <w:ilvl w:val="0"/>
          <w:numId w:val="12"/>
        </w:numPr>
      </w:pPr>
      <w:r>
        <w:t>Individuals who already have an employment plan with DOR will continue to receive services.</w:t>
      </w:r>
    </w:p>
    <w:p w14:paraId="1513C464" w14:textId="0DAB16A6" w:rsidR="00F33539" w:rsidRDefault="00F33539" w:rsidP="00F33539">
      <w:pPr>
        <w:pStyle w:val="DOR"/>
        <w:numPr>
          <w:ilvl w:val="0"/>
          <w:numId w:val="12"/>
        </w:numPr>
      </w:pPr>
      <w:r>
        <w:t>Individuals with disabilities ages 16–21 receiving Student Services through DOR funded programs will continue to receive services.</w:t>
      </w:r>
    </w:p>
    <w:p w14:paraId="3261DC9D" w14:textId="77777777" w:rsidR="00F33539" w:rsidRDefault="00F33539" w:rsidP="00F33539">
      <w:pPr>
        <w:pStyle w:val="DOR"/>
      </w:pPr>
    </w:p>
    <w:p w14:paraId="6F5933EC" w14:textId="77777777" w:rsidR="00F33539" w:rsidRDefault="00F33539" w:rsidP="00F33539">
      <w:pPr>
        <w:pStyle w:val="Heading1"/>
      </w:pPr>
      <w:r>
        <w:t xml:space="preserve">Why is DOR going into an Order of Selection?  </w:t>
      </w:r>
    </w:p>
    <w:p w14:paraId="4C29CA1D" w14:textId="77777777" w:rsidR="00F33539" w:rsidRDefault="00F33539" w:rsidP="00F33539">
      <w:pPr>
        <w:pStyle w:val="DOR"/>
      </w:pPr>
    </w:p>
    <w:p w14:paraId="7A3B8B3B" w14:textId="77777777" w:rsidR="00F33539" w:rsidRDefault="00F33539" w:rsidP="00F33539">
      <w:pPr>
        <w:pStyle w:val="Heading2"/>
      </w:pPr>
      <w:r>
        <w:t>Reason 1) Demand for Services</w:t>
      </w:r>
    </w:p>
    <w:p w14:paraId="59594853" w14:textId="77777777" w:rsidR="00F33539" w:rsidRDefault="00F33539" w:rsidP="00F33539">
      <w:pPr>
        <w:pStyle w:val="DOR"/>
      </w:pPr>
      <w:r>
        <w:t>DOR has experienced a significant and sustained increase in the demand for VR services.</w:t>
      </w:r>
    </w:p>
    <w:p w14:paraId="51387596" w14:textId="77777777" w:rsidR="00F33539" w:rsidRDefault="00F33539" w:rsidP="00F33539">
      <w:pPr>
        <w:pStyle w:val="DOR"/>
      </w:pPr>
    </w:p>
    <w:p w14:paraId="7E03E8BC" w14:textId="77777777" w:rsidR="00F33539" w:rsidRDefault="00F33539" w:rsidP="00F33539">
      <w:pPr>
        <w:pStyle w:val="Heading3"/>
      </w:pPr>
      <w:r>
        <w:t>Referrals</w:t>
      </w:r>
    </w:p>
    <w:p w14:paraId="77046E0D" w14:textId="77777777" w:rsidR="00F33539" w:rsidRDefault="00F33539" w:rsidP="00F33539">
      <w:pPr>
        <w:pStyle w:val="DOR"/>
      </w:pPr>
      <w:r>
        <w:t>The number of referrals for VR services has increased 103% from 2019 to 2024.</w:t>
      </w:r>
    </w:p>
    <w:p w14:paraId="6BCBE7E2" w14:textId="77777777" w:rsidR="00F33539" w:rsidRDefault="00F33539" w:rsidP="00F33539">
      <w:pPr>
        <w:pStyle w:val="DOR"/>
        <w:numPr>
          <w:ilvl w:val="0"/>
          <w:numId w:val="6"/>
        </w:numPr>
      </w:pPr>
      <w:r>
        <w:t>In 2019, DOR received 18,272 referrals for VR services.</w:t>
      </w:r>
    </w:p>
    <w:p w14:paraId="7231D2B8" w14:textId="64B0C03E" w:rsidR="00F33539" w:rsidRDefault="00F33539" w:rsidP="00F33539">
      <w:pPr>
        <w:pStyle w:val="DOR"/>
        <w:numPr>
          <w:ilvl w:val="0"/>
          <w:numId w:val="6"/>
        </w:numPr>
      </w:pPr>
      <w:r>
        <w:t>In 2024, DOR received 37,062 referrals for VR services</w:t>
      </w:r>
    </w:p>
    <w:p w14:paraId="7C6DDA7F" w14:textId="77777777" w:rsidR="00F33539" w:rsidRDefault="00F33539" w:rsidP="00F33539">
      <w:pPr>
        <w:pStyle w:val="DOR"/>
      </w:pPr>
    </w:p>
    <w:p w14:paraId="1D642B81" w14:textId="1CB377F8" w:rsidR="00F33539" w:rsidRDefault="00F33539" w:rsidP="00F33539">
      <w:pPr>
        <w:pStyle w:val="DOR"/>
      </w:pPr>
      <w:r>
        <w:t xml:space="preserve">The number of referrals for </w:t>
      </w:r>
      <w:r w:rsidR="007A3569">
        <w:t xml:space="preserve">Student Services </w:t>
      </w:r>
      <w:r>
        <w:t xml:space="preserve">for youth with disabilities has increased 460% from 2019 to 2024. </w:t>
      </w:r>
    </w:p>
    <w:p w14:paraId="26E5C6F6" w14:textId="4A94C08C" w:rsidR="00F33539" w:rsidRDefault="00F33539" w:rsidP="00F33539">
      <w:pPr>
        <w:pStyle w:val="DOR"/>
        <w:numPr>
          <w:ilvl w:val="0"/>
          <w:numId w:val="7"/>
        </w:numPr>
      </w:pPr>
      <w:r>
        <w:lastRenderedPageBreak/>
        <w:t xml:space="preserve">In 2019, DOR received 870 referrals for </w:t>
      </w:r>
      <w:r w:rsidR="007A3569">
        <w:t>Student Services.</w:t>
      </w:r>
    </w:p>
    <w:p w14:paraId="580E8FB3" w14:textId="1F034EB7" w:rsidR="00F33539" w:rsidRDefault="00F33539" w:rsidP="00F33539">
      <w:pPr>
        <w:pStyle w:val="DOR"/>
        <w:numPr>
          <w:ilvl w:val="0"/>
          <w:numId w:val="7"/>
        </w:numPr>
      </w:pPr>
      <w:r>
        <w:t xml:space="preserve">In 2024, DOR received 4,875 referrals for </w:t>
      </w:r>
      <w:r w:rsidR="007A3569">
        <w:t xml:space="preserve">Student Services. </w:t>
      </w:r>
      <w:r>
        <w:t xml:space="preserve"> </w:t>
      </w:r>
    </w:p>
    <w:p w14:paraId="41ABB90B" w14:textId="77777777" w:rsidR="00F33539" w:rsidRDefault="00F33539" w:rsidP="00F33539">
      <w:pPr>
        <w:pStyle w:val="DOR"/>
      </w:pPr>
    </w:p>
    <w:p w14:paraId="73E6ADDD" w14:textId="77777777" w:rsidR="00F33539" w:rsidRDefault="00F33539" w:rsidP="00F33539">
      <w:pPr>
        <w:pStyle w:val="Heading3"/>
      </w:pPr>
      <w:r>
        <w:t>Applications</w:t>
      </w:r>
    </w:p>
    <w:p w14:paraId="73A8F370" w14:textId="77777777" w:rsidR="00F33539" w:rsidRDefault="00F33539" w:rsidP="00F33539">
      <w:pPr>
        <w:pStyle w:val="DOR"/>
      </w:pPr>
      <w:r>
        <w:t>The number of applications for VR services has increased 49% from 2019 to 2024:</w:t>
      </w:r>
    </w:p>
    <w:p w14:paraId="33900F24" w14:textId="032E20C3" w:rsidR="00F33539" w:rsidRDefault="00F33539" w:rsidP="00F33539">
      <w:pPr>
        <w:pStyle w:val="DOR"/>
        <w:numPr>
          <w:ilvl w:val="0"/>
          <w:numId w:val="8"/>
        </w:numPr>
      </w:pPr>
      <w:r>
        <w:t>In 2019, DOR received 26,745 applications for VR services</w:t>
      </w:r>
    </w:p>
    <w:p w14:paraId="38A1B0DE" w14:textId="211E5AFD" w:rsidR="00F33539" w:rsidRDefault="00F33539" w:rsidP="00F33539">
      <w:pPr>
        <w:pStyle w:val="DOR"/>
        <w:numPr>
          <w:ilvl w:val="0"/>
          <w:numId w:val="8"/>
        </w:numPr>
      </w:pPr>
      <w:r>
        <w:t>In 2024, DOR received 39,807 applications for VR services.</w:t>
      </w:r>
    </w:p>
    <w:p w14:paraId="2E0B17DB" w14:textId="77777777" w:rsidR="00F33539" w:rsidRDefault="00F33539" w:rsidP="00F33539">
      <w:pPr>
        <w:pStyle w:val="DOR"/>
      </w:pPr>
    </w:p>
    <w:p w14:paraId="7A9EF2EA" w14:textId="2EA3FA6E" w:rsidR="00F33539" w:rsidRDefault="00F33539" w:rsidP="00F33539">
      <w:pPr>
        <w:pStyle w:val="DOR"/>
      </w:pPr>
      <w:r>
        <w:t xml:space="preserve">The number of applications </w:t>
      </w:r>
      <w:r w:rsidR="007A3569">
        <w:t>for Student Services</w:t>
      </w:r>
      <w:r>
        <w:t xml:space="preserve"> </w:t>
      </w:r>
      <w:proofErr w:type="gramStart"/>
      <w:r>
        <w:t>has increased</w:t>
      </w:r>
      <w:proofErr w:type="gramEnd"/>
      <w:r>
        <w:t xml:space="preserve"> 56% from 2019 to 2024: </w:t>
      </w:r>
    </w:p>
    <w:p w14:paraId="3ED9EA5A" w14:textId="64BF0C68" w:rsidR="00F33539" w:rsidRPr="00F33539" w:rsidRDefault="00F33539" w:rsidP="00F33539">
      <w:pPr>
        <w:pStyle w:val="DOR"/>
        <w:numPr>
          <w:ilvl w:val="0"/>
          <w:numId w:val="9"/>
        </w:numPr>
      </w:pPr>
      <w:r w:rsidRPr="00F33539">
        <w:t xml:space="preserve">In 2019, DOR received 12,070 applications for </w:t>
      </w:r>
      <w:r w:rsidR="007A3569">
        <w:t xml:space="preserve">Student Services.  </w:t>
      </w:r>
    </w:p>
    <w:p w14:paraId="49005589" w14:textId="4930C904" w:rsidR="00F33539" w:rsidRPr="00F33539" w:rsidRDefault="00F33539" w:rsidP="00F33539">
      <w:pPr>
        <w:pStyle w:val="DOR"/>
        <w:numPr>
          <w:ilvl w:val="0"/>
          <w:numId w:val="9"/>
        </w:numPr>
      </w:pPr>
      <w:r w:rsidRPr="00F33539">
        <w:t xml:space="preserve">In 2024, DOR received 18,878 applications for </w:t>
      </w:r>
      <w:r w:rsidR="007A3569">
        <w:t xml:space="preserve">Student Services.  </w:t>
      </w:r>
    </w:p>
    <w:p w14:paraId="2CDE569E" w14:textId="77777777" w:rsidR="00F33539" w:rsidRDefault="00F33539" w:rsidP="00F33539">
      <w:pPr>
        <w:pStyle w:val="DOR"/>
      </w:pPr>
    </w:p>
    <w:p w14:paraId="68ADA9D0" w14:textId="77777777" w:rsidR="00F33539" w:rsidRDefault="00F33539" w:rsidP="00F33539">
      <w:pPr>
        <w:pStyle w:val="Heading3"/>
      </w:pPr>
      <w:r>
        <w:t>Total Number of Individuals Served</w:t>
      </w:r>
    </w:p>
    <w:p w14:paraId="01BA0ECA" w14:textId="446C74DB" w:rsidR="00F33539" w:rsidRDefault="00F33539" w:rsidP="00F33539">
      <w:pPr>
        <w:pStyle w:val="DOR"/>
      </w:pPr>
      <w:r>
        <w:t>DOR is serving more people than ever before. The table below shows that the total number of people receiving services has increased by 76.8% over the past ten years:</w:t>
      </w:r>
    </w:p>
    <w:tbl>
      <w:tblPr>
        <w:tblStyle w:val="TableGrid"/>
        <w:tblW w:w="6498" w:type="dxa"/>
        <w:tblInd w:w="-113" w:type="dxa"/>
        <w:tblLook w:val="04A0" w:firstRow="1" w:lastRow="0" w:firstColumn="1" w:lastColumn="0" w:noHBand="0" w:noVBand="1"/>
      </w:tblPr>
      <w:tblGrid>
        <w:gridCol w:w="2898"/>
        <w:gridCol w:w="3600"/>
      </w:tblGrid>
      <w:tr w:rsidR="00F33539" w:rsidRPr="000C5231" w14:paraId="5D8C39FA" w14:textId="77777777" w:rsidTr="00195013">
        <w:trPr>
          <w:trHeight w:val="800"/>
        </w:trPr>
        <w:tc>
          <w:tcPr>
            <w:tcW w:w="2898" w:type="dxa"/>
            <w:shd w:val="clear" w:color="auto" w:fill="D1D1D1" w:themeFill="background2" w:themeFillShade="E6"/>
            <w:vAlign w:val="center"/>
          </w:tcPr>
          <w:p w14:paraId="7E337733" w14:textId="77777777" w:rsidR="00F33539" w:rsidRPr="00AC2D15" w:rsidRDefault="00F33539" w:rsidP="00195013">
            <w:pPr>
              <w:jc w:val="center"/>
              <w:rPr>
                <w:rStyle w:val="68"/>
                <w:rFonts w:eastAsia="Century Gothic" w:cs="Arial"/>
                <w:b w:val="0"/>
                <w:bCs/>
                <w:caps w:val="0"/>
                <w:color w:val="auto"/>
                <w:sz w:val="28"/>
                <w:szCs w:val="28"/>
              </w:rPr>
            </w:pPr>
            <w:r w:rsidRPr="00AC2D15">
              <w:rPr>
                <w:rStyle w:val="68"/>
                <w:rFonts w:eastAsia="Century Gothic" w:cs="Arial"/>
                <w:b w:val="0"/>
                <w:bCs/>
                <w:caps w:val="0"/>
                <w:color w:val="auto"/>
                <w:sz w:val="28"/>
                <w:szCs w:val="28"/>
              </w:rPr>
              <w:t>Fiscal Year</w:t>
            </w:r>
          </w:p>
        </w:tc>
        <w:tc>
          <w:tcPr>
            <w:tcW w:w="3600" w:type="dxa"/>
            <w:shd w:val="clear" w:color="auto" w:fill="D1D1D1" w:themeFill="background2" w:themeFillShade="E6"/>
            <w:vAlign w:val="center"/>
          </w:tcPr>
          <w:p w14:paraId="1770CD9A" w14:textId="77777777" w:rsidR="00F33539" w:rsidRPr="00AC2D15" w:rsidRDefault="00F33539" w:rsidP="00195013">
            <w:pPr>
              <w:jc w:val="center"/>
              <w:rPr>
                <w:rStyle w:val="68"/>
                <w:rFonts w:eastAsia="Century Gothic" w:cs="Arial"/>
                <w:b w:val="0"/>
                <w:bCs/>
                <w:caps w:val="0"/>
                <w:color w:val="auto"/>
                <w:sz w:val="28"/>
                <w:szCs w:val="28"/>
              </w:rPr>
            </w:pPr>
            <w:r w:rsidRPr="00AC2D15">
              <w:rPr>
                <w:rFonts w:eastAsia="Century Gothic"/>
                <w:bCs/>
              </w:rPr>
              <w:t>Total Number of People Served by DOR</w:t>
            </w:r>
          </w:p>
        </w:tc>
      </w:tr>
      <w:tr w:rsidR="00F33539" w:rsidRPr="000C5231" w14:paraId="499FEC45" w14:textId="77777777" w:rsidTr="00195013">
        <w:trPr>
          <w:trHeight w:val="350"/>
        </w:trPr>
        <w:tc>
          <w:tcPr>
            <w:tcW w:w="2898" w:type="dxa"/>
            <w:vAlign w:val="center"/>
          </w:tcPr>
          <w:p w14:paraId="67990C07"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2016</w:t>
            </w:r>
            <w:r>
              <w:rPr>
                <w:rStyle w:val="68"/>
                <w:rFonts w:eastAsia="Century Gothic" w:cs="Arial"/>
                <w:b w:val="0"/>
                <w:color w:val="auto"/>
                <w:sz w:val="28"/>
                <w:szCs w:val="28"/>
              </w:rPr>
              <w:t xml:space="preserve"> -</w:t>
            </w:r>
            <w:r w:rsidRPr="003153D6">
              <w:rPr>
                <w:rStyle w:val="68"/>
                <w:rFonts w:eastAsia="Century Gothic" w:cs="Arial"/>
                <w:b w:val="0"/>
                <w:color w:val="auto"/>
                <w:sz w:val="28"/>
                <w:szCs w:val="28"/>
              </w:rPr>
              <w:t>17</w:t>
            </w:r>
          </w:p>
        </w:tc>
        <w:tc>
          <w:tcPr>
            <w:tcW w:w="3600" w:type="dxa"/>
            <w:vAlign w:val="center"/>
          </w:tcPr>
          <w:p w14:paraId="756F4B12"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100,442</w:t>
            </w:r>
          </w:p>
        </w:tc>
      </w:tr>
      <w:tr w:rsidR="00F33539" w:rsidRPr="000C5231" w14:paraId="4E8D594A" w14:textId="77777777" w:rsidTr="00195013">
        <w:trPr>
          <w:trHeight w:val="287"/>
        </w:trPr>
        <w:tc>
          <w:tcPr>
            <w:tcW w:w="2898" w:type="dxa"/>
            <w:vAlign w:val="center"/>
          </w:tcPr>
          <w:p w14:paraId="1738014A"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2017</w:t>
            </w:r>
            <w:r>
              <w:rPr>
                <w:rStyle w:val="68"/>
                <w:rFonts w:eastAsia="Century Gothic" w:cs="Arial"/>
                <w:b w:val="0"/>
                <w:color w:val="auto"/>
                <w:sz w:val="28"/>
                <w:szCs w:val="28"/>
              </w:rPr>
              <w:t xml:space="preserve"> -</w:t>
            </w:r>
            <w:r w:rsidRPr="003153D6">
              <w:rPr>
                <w:rStyle w:val="68"/>
                <w:rFonts w:eastAsia="Century Gothic" w:cs="Arial"/>
                <w:b w:val="0"/>
                <w:color w:val="auto"/>
                <w:sz w:val="28"/>
                <w:szCs w:val="28"/>
              </w:rPr>
              <w:t>18</w:t>
            </w:r>
          </w:p>
        </w:tc>
        <w:tc>
          <w:tcPr>
            <w:tcW w:w="3600" w:type="dxa"/>
            <w:vAlign w:val="center"/>
          </w:tcPr>
          <w:p w14:paraId="5A962EC6"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101,750</w:t>
            </w:r>
          </w:p>
        </w:tc>
      </w:tr>
      <w:tr w:rsidR="00F33539" w:rsidRPr="000C5231" w14:paraId="4873BE56" w14:textId="77777777" w:rsidTr="00195013">
        <w:trPr>
          <w:trHeight w:val="377"/>
        </w:trPr>
        <w:tc>
          <w:tcPr>
            <w:tcW w:w="2898" w:type="dxa"/>
            <w:vAlign w:val="center"/>
          </w:tcPr>
          <w:p w14:paraId="1FA75349"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2018</w:t>
            </w:r>
            <w:r>
              <w:rPr>
                <w:rStyle w:val="68"/>
                <w:rFonts w:eastAsia="Century Gothic" w:cs="Arial"/>
                <w:b w:val="0"/>
                <w:color w:val="auto"/>
                <w:sz w:val="28"/>
                <w:szCs w:val="28"/>
              </w:rPr>
              <w:t xml:space="preserve"> </w:t>
            </w:r>
            <w:r w:rsidRPr="003153D6">
              <w:rPr>
                <w:rStyle w:val="68"/>
                <w:rFonts w:eastAsia="Century Gothic" w:cs="Arial"/>
                <w:b w:val="0"/>
                <w:color w:val="auto"/>
                <w:sz w:val="28"/>
                <w:szCs w:val="28"/>
              </w:rPr>
              <w:t>-19</w:t>
            </w:r>
          </w:p>
        </w:tc>
        <w:tc>
          <w:tcPr>
            <w:tcW w:w="3600" w:type="dxa"/>
            <w:vAlign w:val="center"/>
          </w:tcPr>
          <w:p w14:paraId="7132E478"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108,916</w:t>
            </w:r>
          </w:p>
        </w:tc>
      </w:tr>
      <w:tr w:rsidR="00F33539" w:rsidRPr="000C5231" w14:paraId="6C037F1E" w14:textId="77777777" w:rsidTr="00195013">
        <w:trPr>
          <w:trHeight w:val="350"/>
        </w:trPr>
        <w:tc>
          <w:tcPr>
            <w:tcW w:w="2898" w:type="dxa"/>
            <w:vAlign w:val="center"/>
          </w:tcPr>
          <w:p w14:paraId="1B59D511"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2019</w:t>
            </w:r>
            <w:r>
              <w:rPr>
                <w:rStyle w:val="68"/>
                <w:rFonts w:eastAsia="Century Gothic" w:cs="Arial"/>
                <w:b w:val="0"/>
                <w:color w:val="auto"/>
                <w:sz w:val="28"/>
                <w:szCs w:val="28"/>
              </w:rPr>
              <w:t xml:space="preserve"> </w:t>
            </w:r>
            <w:r w:rsidRPr="003153D6">
              <w:rPr>
                <w:rStyle w:val="68"/>
                <w:rFonts w:eastAsia="Century Gothic" w:cs="Arial"/>
                <w:b w:val="0"/>
                <w:color w:val="auto"/>
                <w:sz w:val="28"/>
                <w:szCs w:val="28"/>
              </w:rPr>
              <w:t>-20</w:t>
            </w:r>
          </w:p>
        </w:tc>
        <w:tc>
          <w:tcPr>
            <w:tcW w:w="3600" w:type="dxa"/>
            <w:vAlign w:val="center"/>
          </w:tcPr>
          <w:p w14:paraId="604FAF43"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109,845</w:t>
            </w:r>
          </w:p>
        </w:tc>
      </w:tr>
      <w:tr w:rsidR="00F33539" w:rsidRPr="000C5231" w14:paraId="67DDB4FD" w14:textId="77777777" w:rsidTr="00195013">
        <w:trPr>
          <w:trHeight w:val="350"/>
        </w:trPr>
        <w:tc>
          <w:tcPr>
            <w:tcW w:w="2898" w:type="dxa"/>
            <w:vAlign w:val="center"/>
          </w:tcPr>
          <w:p w14:paraId="5D30A3AC"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2020</w:t>
            </w:r>
            <w:r>
              <w:rPr>
                <w:rStyle w:val="68"/>
                <w:rFonts w:eastAsia="Century Gothic" w:cs="Arial"/>
                <w:b w:val="0"/>
                <w:color w:val="auto"/>
                <w:sz w:val="28"/>
                <w:szCs w:val="28"/>
              </w:rPr>
              <w:t xml:space="preserve"> </w:t>
            </w:r>
            <w:r w:rsidRPr="003153D6">
              <w:rPr>
                <w:rStyle w:val="68"/>
                <w:rFonts w:eastAsia="Century Gothic" w:cs="Arial"/>
                <w:b w:val="0"/>
                <w:color w:val="auto"/>
                <w:sz w:val="28"/>
                <w:szCs w:val="28"/>
              </w:rPr>
              <w:t>-21</w:t>
            </w:r>
          </w:p>
        </w:tc>
        <w:tc>
          <w:tcPr>
            <w:tcW w:w="3600" w:type="dxa"/>
            <w:vAlign w:val="center"/>
          </w:tcPr>
          <w:p w14:paraId="2E03EE67"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101,879</w:t>
            </w:r>
          </w:p>
        </w:tc>
      </w:tr>
      <w:tr w:rsidR="00F33539" w:rsidRPr="000C5231" w14:paraId="127C9C1D" w14:textId="77777777" w:rsidTr="00195013">
        <w:trPr>
          <w:trHeight w:val="350"/>
        </w:trPr>
        <w:tc>
          <w:tcPr>
            <w:tcW w:w="2898" w:type="dxa"/>
            <w:vAlign w:val="center"/>
          </w:tcPr>
          <w:p w14:paraId="3F754A5E"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2021</w:t>
            </w:r>
            <w:r>
              <w:rPr>
                <w:rStyle w:val="68"/>
                <w:rFonts w:eastAsia="Century Gothic" w:cs="Arial"/>
                <w:b w:val="0"/>
                <w:color w:val="auto"/>
                <w:sz w:val="28"/>
                <w:szCs w:val="28"/>
              </w:rPr>
              <w:t xml:space="preserve"> </w:t>
            </w:r>
            <w:r w:rsidRPr="003153D6">
              <w:rPr>
                <w:rStyle w:val="68"/>
                <w:rFonts w:eastAsia="Century Gothic" w:cs="Arial"/>
                <w:b w:val="0"/>
                <w:color w:val="auto"/>
                <w:sz w:val="28"/>
                <w:szCs w:val="28"/>
              </w:rPr>
              <w:t>-22</w:t>
            </w:r>
          </w:p>
        </w:tc>
        <w:tc>
          <w:tcPr>
            <w:tcW w:w="3600" w:type="dxa"/>
            <w:vAlign w:val="center"/>
          </w:tcPr>
          <w:p w14:paraId="11B2C6AD"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116,584</w:t>
            </w:r>
          </w:p>
        </w:tc>
      </w:tr>
      <w:tr w:rsidR="00F33539" w:rsidRPr="000C5231" w14:paraId="130F8089" w14:textId="77777777" w:rsidTr="00195013">
        <w:trPr>
          <w:trHeight w:val="350"/>
        </w:trPr>
        <w:tc>
          <w:tcPr>
            <w:tcW w:w="2898" w:type="dxa"/>
            <w:vAlign w:val="center"/>
          </w:tcPr>
          <w:p w14:paraId="517DC007"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2022</w:t>
            </w:r>
            <w:r>
              <w:rPr>
                <w:rStyle w:val="68"/>
                <w:rFonts w:eastAsia="Century Gothic" w:cs="Arial"/>
                <w:b w:val="0"/>
                <w:color w:val="auto"/>
                <w:sz w:val="28"/>
                <w:szCs w:val="28"/>
              </w:rPr>
              <w:t xml:space="preserve"> </w:t>
            </w:r>
            <w:r w:rsidRPr="003153D6">
              <w:rPr>
                <w:rStyle w:val="68"/>
                <w:rFonts w:eastAsia="Century Gothic" w:cs="Arial"/>
                <w:b w:val="0"/>
                <w:color w:val="auto"/>
                <w:sz w:val="28"/>
                <w:szCs w:val="28"/>
              </w:rPr>
              <w:t>-23</w:t>
            </w:r>
          </w:p>
        </w:tc>
        <w:tc>
          <w:tcPr>
            <w:tcW w:w="3600" w:type="dxa"/>
            <w:vAlign w:val="center"/>
          </w:tcPr>
          <w:p w14:paraId="603CAEEC"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134,369</w:t>
            </w:r>
          </w:p>
        </w:tc>
      </w:tr>
      <w:tr w:rsidR="00F33539" w:rsidRPr="000C5231" w14:paraId="39A97AC6" w14:textId="77777777" w:rsidTr="00195013">
        <w:trPr>
          <w:trHeight w:val="350"/>
        </w:trPr>
        <w:tc>
          <w:tcPr>
            <w:tcW w:w="2898" w:type="dxa"/>
            <w:vAlign w:val="center"/>
          </w:tcPr>
          <w:p w14:paraId="54C2B15B"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2023</w:t>
            </w:r>
            <w:r>
              <w:rPr>
                <w:rStyle w:val="68"/>
                <w:rFonts w:eastAsia="Century Gothic" w:cs="Arial"/>
                <w:b w:val="0"/>
                <w:color w:val="auto"/>
                <w:sz w:val="28"/>
                <w:szCs w:val="28"/>
              </w:rPr>
              <w:t xml:space="preserve"> </w:t>
            </w:r>
            <w:r w:rsidRPr="003153D6">
              <w:rPr>
                <w:rStyle w:val="68"/>
                <w:rFonts w:eastAsia="Century Gothic" w:cs="Arial"/>
                <w:b w:val="0"/>
                <w:color w:val="auto"/>
                <w:sz w:val="28"/>
                <w:szCs w:val="28"/>
              </w:rPr>
              <w:t>-24</w:t>
            </w:r>
          </w:p>
        </w:tc>
        <w:tc>
          <w:tcPr>
            <w:tcW w:w="3600" w:type="dxa"/>
            <w:vAlign w:val="center"/>
          </w:tcPr>
          <w:p w14:paraId="4C1AC2A1" w14:textId="77777777" w:rsidR="00F33539" w:rsidRPr="003153D6" w:rsidRDefault="00F33539" w:rsidP="00195013">
            <w:pPr>
              <w:jc w:val="center"/>
              <w:rPr>
                <w:rStyle w:val="68"/>
                <w:rFonts w:eastAsia="Century Gothic" w:cs="Arial"/>
                <w:b w:val="0"/>
                <w:caps w:val="0"/>
                <w:color w:val="auto"/>
                <w:sz w:val="28"/>
                <w:szCs w:val="28"/>
              </w:rPr>
            </w:pPr>
            <w:r w:rsidRPr="003153D6">
              <w:rPr>
                <w:rStyle w:val="68"/>
                <w:rFonts w:eastAsia="Century Gothic" w:cs="Arial"/>
                <w:b w:val="0"/>
                <w:color w:val="auto"/>
                <w:sz w:val="28"/>
                <w:szCs w:val="28"/>
              </w:rPr>
              <w:t>154,547</w:t>
            </w:r>
          </w:p>
        </w:tc>
      </w:tr>
      <w:tr w:rsidR="00F33539" w:rsidRPr="000C5231" w14:paraId="463D12AE" w14:textId="77777777" w:rsidTr="00195013">
        <w:trPr>
          <w:trHeight w:val="350"/>
        </w:trPr>
        <w:tc>
          <w:tcPr>
            <w:tcW w:w="2898" w:type="dxa"/>
            <w:vAlign w:val="center"/>
          </w:tcPr>
          <w:p w14:paraId="35D7C111" w14:textId="77777777" w:rsidR="00F33539" w:rsidRPr="003E1117" w:rsidRDefault="00F33539" w:rsidP="00195013">
            <w:pPr>
              <w:jc w:val="center"/>
              <w:rPr>
                <w:rStyle w:val="68"/>
                <w:rFonts w:eastAsia="Century Gothic" w:cs="Arial"/>
                <w:b w:val="0"/>
                <w:caps w:val="0"/>
                <w:color w:val="auto"/>
                <w:sz w:val="28"/>
                <w:szCs w:val="28"/>
              </w:rPr>
            </w:pPr>
            <w:r w:rsidRPr="003E1117">
              <w:rPr>
                <w:rStyle w:val="68"/>
                <w:rFonts w:eastAsia="Century Gothic" w:cs="Arial"/>
                <w:b w:val="0"/>
                <w:color w:val="auto"/>
                <w:sz w:val="28"/>
                <w:szCs w:val="28"/>
              </w:rPr>
              <w:t>2024 -25</w:t>
            </w:r>
          </w:p>
        </w:tc>
        <w:tc>
          <w:tcPr>
            <w:tcW w:w="3600" w:type="dxa"/>
            <w:vAlign w:val="center"/>
          </w:tcPr>
          <w:p w14:paraId="3116796D" w14:textId="77777777" w:rsidR="00F33539" w:rsidRPr="003E1117" w:rsidRDefault="00F33539" w:rsidP="00195013">
            <w:pPr>
              <w:jc w:val="center"/>
              <w:rPr>
                <w:rStyle w:val="68"/>
                <w:rFonts w:eastAsia="Century Gothic" w:cs="Arial"/>
                <w:b w:val="0"/>
                <w:caps w:val="0"/>
                <w:color w:val="auto"/>
                <w:sz w:val="28"/>
                <w:szCs w:val="28"/>
              </w:rPr>
            </w:pPr>
            <w:r w:rsidRPr="003E1117">
              <w:rPr>
                <w:rStyle w:val="68"/>
                <w:rFonts w:eastAsia="Century Gothic" w:cs="Arial"/>
                <w:b w:val="0"/>
                <w:color w:val="auto"/>
                <w:sz w:val="28"/>
                <w:szCs w:val="28"/>
              </w:rPr>
              <w:t>176,815</w:t>
            </w:r>
          </w:p>
        </w:tc>
      </w:tr>
    </w:tbl>
    <w:p w14:paraId="654786FA" w14:textId="77777777" w:rsidR="006D64A7" w:rsidRDefault="006D64A7" w:rsidP="00F33539">
      <w:pPr>
        <w:pStyle w:val="Heading2"/>
      </w:pPr>
    </w:p>
    <w:p w14:paraId="5661BEF2" w14:textId="14644213" w:rsidR="00F33539" w:rsidRDefault="00F33539" w:rsidP="00F33539">
      <w:pPr>
        <w:pStyle w:val="Heading2"/>
      </w:pPr>
      <w:r>
        <w:t>Reason 2) Cost of Services</w:t>
      </w:r>
    </w:p>
    <w:p w14:paraId="7EE73715" w14:textId="77777777" w:rsidR="00F33539" w:rsidRDefault="00F33539" w:rsidP="00F33539">
      <w:pPr>
        <w:pStyle w:val="DOR"/>
      </w:pPr>
      <w:r>
        <w:t xml:space="preserve">DOR is contending with increasing costs associated with this growing demand for services and inflationary increases to the costs of services. This pattern of escalating expenditures across various service categories, alongside an increasing number of participants, places immense pressure on available resources. The following examples demonstrate these significant cost increases: </w:t>
      </w:r>
    </w:p>
    <w:p w14:paraId="0739136C" w14:textId="2B5699DF" w:rsidR="00F33539" w:rsidRDefault="00F33539" w:rsidP="00F33539">
      <w:pPr>
        <w:pStyle w:val="DOR"/>
        <w:numPr>
          <w:ilvl w:val="0"/>
          <w:numId w:val="10"/>
        </w:numPr>
      </w:pPr>
      <w:r>
        <w:lastRenderedPageBreak/>
        <w:t>In 2020, DOR spent $9.65 million on work-based learning experiences for youth with disabilities. In 2024, DOR spent $44.43 million. This is an increase of 360%.</w:t>
      </w:r>
    </w:p>
    <w:p w14:paraId="33AAD433" w14:textId="77777777" w:rsidR="00F33539" w:rsidRDefault="00F33539" w:rsidP="00F33539">
      <w:pPr>
        <w:pStyle w:val="DOR"/>
      </w:pPr>
    </w:p>
    <w:p w14:paraId="3B9B8AAF" w14:textId="75AB5601" w:rsidR="00F33539" w:rsidRDefault="00F33539" w:rsidP="00F33539">
      <w:pPr>
        <w:pStyle w:val="DOR"/>
        <w:numPr>
          <w:ilvl w:val="0"/>
          <w:numId w:val="10"/>
        </w:numPr>
      </w:pPr>
      <w:r>
        <w:t>In 2020, DOR spent $29.03 million on college and universities. In 2024, DOR spent $63.46 million. This is an increase of 119%.</w:t>
      </w:r>
    </w:p>
    <w:p w14:paraId="59243377" w14:textId="77777777" w:rsidR="00F33539" w:rsidRDefault="00F33539" w:rsidP="00F33539">
      <w:pPr>
        <w:pStyle w:val="DOR"/>
      </w:pPr>
    </w:p>
    <w:p w14:paraId="5CD7388A" w14:textId="6B44C671" w:rsidR="00F33539" w:rsidRDefault="00F33539" w:rsidP="00F33539">
      <w:pPr>
        <w:pStyle w:val="DOR"/>
        <w:numPr>
          <w:ilvl w:val="0"/>
          <w:numId w:val="10"/>
        </w:numPr>
      </w:pPr>
      <w:r>
        <w:t xml:space="preserve">In 2020, DOR spent $7.53 million on business and vocational trainings. In 2024, DOR spent $30.70 million. This is an increase of 308%. </w:t>
      </w:r>
    </w:p>
    <w:p w14:paraId="47A0FDF1" w14:textId="77777777" w:rsidR="00F33539" w:rsidRDefault="00F33539" w:rsidP="00F33539">
      <w:pPr>
        <w:pStyle w:val="DOR"/>
      </w:pPr>
    </w:p>
    <w:p w14:paraId="063AF167" w14:textId="77777777" w:rsidR="00F33539" w:rsidRDefault="00F33539" w:rsidP="00F33539">
      <w:pPr>
        <w:pStyle w:val="Heading2"/>
      </w:pPr>
      <w:r>
        <w:t>Reason 3) Financial Shortfalls</w:t>
      </w:r>
    </w:p>
    <w:p w14:paraId="1E4BB0A5" w14:textId="77777777" w:rsidR="00F33539" w:rsidRDefault="00F33539" w:rsidP="00F33539">
      <w:pPr>
        <w:pStyle w:val="DOR"/>
      </w:pPr>
      <w:r>
        <w:t>DOR faces a projected financial deficit that necessitates the implementation of an OOS. These financial shortfalls arise from factors such as increased cost of VR services and increased caseloads.</w:t>
      </w:r>
    </w:p>
    <w:p w14:paraId="58C47492" w14:textId="7FE08FB0" w:rsidR="00F33539" w:rsidRDefault="00F33539" w:rsidP="00F33539">
      <w:pPr>
        <w:pStyle w:val="DOR"/>
      </w:pPr>
      <w:r>
        <w:t xml:space="preserve">Without the implementation of an OOS, the total available funds for federal </w:t>
      </w:r>
      <w:r w:rsidRPr="000B1F72">
        <w:t>fiscal year 202</w:t>
      </w:r>
      <w:r w:rsidR="000B1F72" w:rsidRPr="000B1F72">
        <w:t>7</w:t>
      </w:r>
      <w:r w:rsidRPr="000B1F72">
        <w:t xml:space="preserve"> are projected at $440 million, against projected estimated costs of $5</w:t>
      </w:r>
      <w:r w:rsidR="000B1F72" w:rsidRPr="000B1F72">
        <w:t>68</w:t>
      </w:r>
      <w:r w:rsidRPr="000B1F72">
        <w:t xml:space="preserve"> million, resulting in a projected deficit of $</w:t>
      </w:r>
      <w:r w:rsidR="000B1F72" w:rsidRPr="000B1F72">
        <w:t>128</w:t>
      </w:r>
      <w:r w:rsidRPr="000B1F72">
        <w:t xml:space="preserve"> million.</w:t>
      </w:r>
    </w:p>
    <w:p w14:paraId="03B8DB96" w14:textId="77777777" w:rsidR="00F33539" w:rsidRDefault="00F33539" w:rsidP="00F33539">
      <w:pPr>
        <w:pStyle w:val="DOR"/>
      </w:pPr>
    </w:p>
    <w:p w14:paraId="65CCB519" w14:textId="77777777" w:rsidR="00F33539" w:rsidRDefault="00F33539" w:rsidP="00F33539">
      <w:pPr>
        <w:pStyle w:val="DOR"/>
      </w:pPr>
      <w:r>
        <w:t>DOR’s base grant of VR funds has only increased from about $303 million in 2017 to about $335 million in 2025.</w:t>
      </w:r>
    </w:p>
    <w:p w14:paraId="47B02C3F" w14:textId="77777777" w:rsidR="00F33539" w:rsidRDefault="00F33539" w:rsidP="00F33539">
      <w:pPr>
        <w:pStyle w:val="DOR"/>
      </w:pPr>
    </w:p>
    <w:p w14:paraId="4C9E48D3" w14:textId="77777777" w:rsidR="00F33539" w:rsidRDefault="00F33539" w:rsidP="00F33539">
      <w:pPr>
        <w:pStyle w:val="Heading1"/>
      </w:pPr>
      <w:r>
        <w:t>Conclusion</w:t>
      </w:r>
    </w:p>
    <w:p w14:paraId="6F5C9B9E" w14:textId="77777777" w:rsidR="00F33539" w:rsidRDefault="00F33539" w:rsidP="00F33539">
      <w:pPr>
        <w:pStyle w:val="DOR"/>
      </w:pPr>
      <w:r>
        <w:t xml:space="preserve">The decision to implement an OOS is a necessary and fiscally responsible action to address the critical imbalance between the increasing demand for VR services and the finite financial and personnel resources available to DOR. </w:t>
      </w:r>
    </w:p>
    <w:p w14:paraId="4ECAFBDA" w14:textId="77777777" w:rsidR="00F33539" w:rsidRDefault="00F33539" w:rsidP="00F33539">
      <w:pPr>
        <w:pStyle w:val="DOR"/>
      </w:pPr>
    </w:p>
    <w:p w14:paraId="5C2CB2FC" w14:textId="77777777" w:rsidR="00F33539" w:rsidRDefault="00F33539" w:rsidP="00F33539">
      <w:pPr>
        <w:pStyle w:val="DOR"/>
      </w:pPr>
      <w:r>
        <w:t>By prioritizing services for individuals with the most significant disabilities, DOR will uphold its commitment to federal mandates, stabilize its fiscal health, and, most importantly, safeguard the quality and continuity of services for those most in need.</w:t>
      </w:r>
    </w:p>
    <w:p w14:paraId="39DB50C1" w14:textId="77777777" w:rsidR="00F33539" w:rsidRDefault="00F33539" w:rsidP="00F33539">
      <w:pPr>
        <w:pStyle w:val="DOR"/>
      </w:pPr>
    </w:p>
    <w:p w14:paraId="3C848EB9" w14:textId="5B49A71E" w:rsidR="006F4C97" w:rsidRDefault="00F33539" w:rsidP="00F33539">
      <w:pPr>
        <w:pStyle w:val="DOR"/>
      </w:pPr>
      <w:r>
        <w:t>DOR is committed to continuously assessing its financial outlook and actively pursuing opportunities to open all priority categories as fiscal resources become available.</w:t>
      </w:r>
    </w:p>
    <w:sectPr w:rsidR="006F4C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580A" w14:textId="77777777" w:rsidR="00A05372" w:rsidRDefault="00A05372" w:rsidP="00F33539">
      <w:r>
        <w:separator/>
      </w:r>
    </w:p>
  </w:endnote>
  <w:endnote w:type="continuationSeparator" w:id="0">
    <w:p w14:paraId="24BD6D0C" w14:textId="77777777" w:rsidR="00A05372" w:rsidRDefault="00A05372" w:rsidP="00F3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03481"/>
      <w:docPartObj>
        <w:docPartGallery w:val="Page Numbers (Bottom of Page)"/>
        <w:docPartUnique/>
      </w:docPartObj>
    </w:sdtPr>
    <w:sdtEndPr/>
    <w:sdtContent>
      <w:sdt>
        <w:sdtPr>
          <w:id w:val="-1705238520"/>
          <w:docPartObj>
            <w:docPartGallery w:val="Page Numbers (Top of Page)"/>
            <w:docPartUnique/>
          </w:docPartObj>
        </w:sdtPr>
        <w:sdtEndPr/>
        <w:sdtContent>
          <w:p w14:paraId="44F2B2C9" w14:textId="5D6D5F3F" w:rsidR="00F33539" w:rsidRPr="00F33539" w:rsidRDefault="00F33539" w:rsidP="00F33539">
            <w:pPr>
              <w:pStyle w:val="Footer"/>
              <w:jc w:val="right"/>
            </w:pPr>
            <w:r w:rsidRPr="00F33539">
              <w:t xml:space="preserve">Page </w:t>
            </w:r>
            <w:r w:rsidRPr="00F33539">
              <w:rPr>
                <w:szCs w:val="24"/>
              </w:rPr>
              <w:fldChar w:fldCharType="begin"/>
            </w:r>
            <w:r w:rsidRPr="00F33539">
              <w:instrText xml:space="preserve"> PAGE </w:instrText>
            </w:r>
            <w:r w:rsidRPr="00F33539">
              <w:rPr>
                <w:szCs w:val="24"/>
              </w:rPr>
              <w:fldChar w:fldCharType="separate"/>
            </w:r>
            <w:r w:rsidRPr="00F33539">
              <w:rPr>
                <w:noProof/>
              </w:rPr>
              <w:t>2</w:t>
            </w:r>
            <w:r w:rsidRPr="00F33539">
              <w:rPr>
                <w:szCs w:val="24"/>
              </w:rPr>
              <w:fldChar w:fldCharType="end"/>
            </w:r>
            <w:r w:rsidRPr="00F33539">
              <w:t xml:space="preserve"> of </w:t>
            </w:r>
            <w:fldSimple w:instr=" NUMPAGES  ">
              <w:r w:rsidRPr="00F33539">
                <w:rPr>
                  <w:noProof/>
                </w:rPr>
                <w:t>2</w:t>
              </w:r>
            </w:fldSimple>
          </w:p>
        </w:sdtContent>
      </w:sdt>
    </w:sdtContent>
  </w:sdt>
  <w:p w14:paraId="0273F13F" w14:textId="77777777" w:rsidR="00F33539" w:rsidRPr="00F33539" w:rsidRDefault="00F3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F173" w14:textId="77777777" w:rsidR="00A05372" w:rsidRDefault="00A05372" w:rsidP="00F33539">
      <w:r>
        <w:separator/>
      </w:r>
    </w:p>
  </w:footnote>
  <w:footnote w:type="continuationSeparator" w:id="0">
    <w:p w14:paraId="1FD94F97" w14:textId="77777777" w:rsidR="00A05372" w:rsidRDefault="00A05372" w:rsidP="00F33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0741" w14:textId="27626FE4" w:rsidR="00F33539" w:rsidRPr="00F33539" w:rsidRDefault="00F33539">
    <w:pPr>
      <w:pStyle w:val="Header"/>
      <w:rPr>
        <w:sz w:val="28"/>
        <w:szCs w:val="24"/>
      </w:rPr>
    </w:pPr>
    <w:r w:rsidRPr="00F33539">
      <w:rPr>
        <w:sz w:val="28"/>
        <w:szCs w:val="24"/>
      </w:rPr>
      <w:t xml:space="preserve">Item 7: Order of Selection Update </w:t>
    </w:r>
  </w:p>
  <w:p w14:paraId="274D82C2" w14:textId="3DFFD076" w:rsidR="00F33539" w:rsidRPr="00F33539" w:rsidRDefault="00F33539">
    <w:pPr>
      <w:pStyle w:val="Header"/>
      <w:rPr>
        <w:sz w:val="28"/>
        <w:szCs w:val="24"/>
      </w:rPr>
    </w:pPr>
    <w:r w:rsidRPr="00F33539">
      <w:rPr>
        <w:sz w:val="28"/>
        <w:szCs w:val="24"/>
      </w:rPr>
      <w:t>July 22 – 23, 2026 SRC Quarterly Meeting</w:t>
    </w:r>
  </w:p>
  <w:p w14:paraId="34924F31" w14:textId="77777777" w:rsidR="00F33539" w:rsidRDefault="00F33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7C"/>
    <w:multiLevelType w:val="hybridMultilevel"/>
    <w:tmpl w:val="CA2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3F24"/>
    <w:multiLevelType w:val="hybridMultilevel"/>
    <w:tmpl w:val="2C52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33DA"/>
    <w:multiLevelType w:val="hybridMultilevel"/>
    <w:tmpl w:val="DB42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0477E"/>
    <w:multiLevelType w:val="hybridMultilevel"/>
    <w:tmpl w:val="FE80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A4EC2"/>
    <w:multiLevelType w:val="hybridMultilevel"/>
    <w:tmpl w:val="5688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11609"/>
    <w:multiLevelType w:val="hybridMultilevel"/>
    <w:tmpl w:val="36A8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470A0"/>
    <w:multiLevelType w:val="hybridMultilevel"/>
    <w:tmpl w:val="F29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218C1"/>
    <w:multiLevelType w:val="hybridMultilevel"/>
    <w:tmpl w:val="C6BC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623B9"/>
    <w:multiLevelType w:val="hybridMultilevel"/>
    <w:tmpl w:val="3D62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00DED"/>
    <w:multiLevelType w:val="hybridMultilevel"/>
    <w:tmpl w:val="C528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25AC8"/>
    <w:multiLevelType w:val="hybridMultilevel"/>
    <w:tmpl w:val="D7EA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814E7"/>
    <w:multiLevelType w:val="hybridMultilevel"/>
    <w:tmpl w:val="3F1E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CF5EF7"/>
    <w:multiLevelType w:val="hybridMultilevel"/>
    <w:tmpl w:val="0942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569531">
    <w:abstractNumId w:val="11"/>
  </w:num>
  <w:num w:numId="2" w16cid:durableId="1001351095">
    <w:abstractNumId w:val="3"/>
  </w:num>
  <w:num w:numId="3" w16cid:durableId="1396273978">
    <w:abstractNumId w:val="10"/>
  </w:num>
  <w:num w:numId="4" w16cid:durableId="1732578344">
    <w:abstractNumId w:val="2"/>
  </w:num>
  <w:num w:numId="5" w16cid:durableId="704405714">
    <w:abstractNumId w:val="4"/>
  </w:num>
  <w:num w:numId="6" w16cid:durableId="1215508708">
    <w:abstractNumId w:val="9"/>
  </w:num>
  <w:num w:numId="7" w16cid:durableId="927806203">
    <w:abstractNumId w:val="12"/>
  </w:num>
  <w:num w:numId="8" w16cid:durableId="671760296">
    <w:abstractNumId w:val="8"/>
  </w:num>
  <w:num w:numId="9" w16cid:durableId="1729913775">
    <w:abstractNumId w:val="1"/>
  </w:num>
  <w:num w:numId="10" w16cid:durableId="796873437">
    <w:abstractNumId w:val="6"/>
  </w:num>
  <w:num w:numId="11" w16cid:durableId="1230917523">
    <w:abstractNumId w:val="0"/>
  </w:num>
  <w:num w:numId="12" w16cid:durableId="1589343007">
    <w:abstractNumId w:val="7"/>
  </w:num>
  <w:num w:numId="13" w16cid:durableId="1517882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39"/>
    <w:rsid w:val="00084D72"/>
    <w:rsid w:val="000B1F72"/>
    <w:rsid w:val="0014580C"/>
    <w:rsid w:val="002D1515"/>
    <w:rsid w:val="005F4F2E"/>
    <w:rsid w:val="0061062B"/>
    <w:rsid w:val="00645510"/>
    <w:rsid w:val="00680780"/>
    <w:rsid w:val="006D64A7"/>
    <w:rsid w:val="006F4C97"/>
    <w:rsid w:val="00791EDD"/>
    <w:rsid w:val="00792068"/>
    <w:rsid w:val="00795BE1"/>
    <w:rsid w:val="007A3569"/>
    <w:rsid w:val="008116CE"/>
    <w:rsid w:val="0084462A"/>
    <w:rsid w:val="00916A3A"/>
    <w:rsid w:val="009F41ED"/>
    <w:rsid w:val="00A0390B"/>
    <w:rsid w:val="00A05372"/>
    <w:rsid w:val="00A64E5F"/>
    <w:rsid w:val="00B35E26"/>
    <w:rsid w:val="00C922F0"/>
    <w:rsid w:val="00CD61D0"/>
    <w:rsid w:val="00D31BE6"/>
    <w:rsid w:val="00D615B9"/>
    <w:rsid w:val="00D7093F"/>
    <w:rsid w:val="00DE6DE7"/>
    <w:rsid w:val="00E514C3"/>
    <w:rsid w:val="00ED67E0"/>
    <w:rsid w:val="00EE6DD9"/>
    <w:rsid w:val="00F3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A4D2"/>
  <w15:chartTrackingRefBased/>
  <w15:docId w15:val="{D5F44FAD-9E3A-4E17-8A98-47B28391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72"/>
    <w:pPr>
      <w:spacing w:after="0" w:line="240" w:lineRule="auto"/>
    </w:pPr>
    <w:rPr>
      <w:rFonts w:ascii="Arial" w:hAnsi="Arial"/>
      <w:sz w:val="24"/>
    </w:rPr>
  </w:style>
  <w:style w:type="paragraph" w:styleId="Heading1">
    <w:name w:val="heading 1"/>
    <w:basedOn w:val="Normal"/>
    <w:next w:val="Normal"/>
    <w:link w:val="Heading1Char"/>
    <w:uiPriority w:val="9"/>
    <w:qFormat/>
    <w:rsid w:val="00F33539"/>
    <w:pPr>
      <w:keepNext/>
      <w:keepLines/>
      <w:outlineLvl w:val="0"/>
    </w:pPr>
    <w:rPr>
      <w:rFonts w:eastAsiaTheme="majorEastAsia" w:cstheme="majorBidi"/>
      <w:b/>
      <w:color w:val="0F4761" w:themeColor="accent1" w:themeShade="BF"/>
      <w:sz w:val="28"/>
      <w:szCs w:val="40"/>
      <w:u w:val="single"/>
    </w:rPr>
  </w:style>
  <w:style w:type="paragraph" w:styleId="Heading2">
    <w:name w:val="heading 2"/>
    <w:basedOn w:val="Normal"/>
    <w:next w:val="Normal"/>
    <w:link w:val="Heading2Char"/>
    <w:uiPriority w:val="9"/>
    <w:unhideWhenUsed/>
    <w:qFormat/>
    <w:rsid w:val="00F33539"/>
    <w:pPr>
      <w:keepNext/>
      <w:keepLines/>
      <w:outlineLvl w:val="1"/>
    </w:pPr>
    <w:rPr>
      <w:rFonts w:eastAsiaTheme="majorEastAsia" w:cstheme="majorBidi"/>
      <w:b/>
      <w:color w:val="153D63" w:themeColor="text2" w:themeTint="E6"/>
      <w:sz w:val="28"/>
      <w:szCs w:val="32"/>
    </w:rPr>
  </w:style>
  <w:style w:type="paragraph" w:styleId="Heading3">
    <w:name w:val="heading 3"/>
    <w:basedOn w:val="Normal"/>
    <w:next w:val="Normal"/>
    <w:link w:val="Heading3Char"/>
    <w:uiPriority w:val="9"/>
    <w:unhideWhenUsed/>
    <w:qFormat/>
    <w:rsid w:val="00F33539"/>
    <w:pPr>
      <w:keepNext/>
      <w:keepLines/>
      <w:outlineLvl w:val="2"/>
    </w:pPr>
    <w:rPr>
      <w:rFonts w:eastAsiaTheme="majorEastAsia" w:cstheme="majorBidi"/>
      <w:color w:val="0F4761" w:themeColor="accent1" w:themeShade="BF"/>
      <w:sz w:val="28"/>
      <w:szCs w:val="28"/>
      <w:u w:val="single"/>
    </w:rPr>
  </w:style>
  <w:style w:type="paragraph" w:styleId="Heading4">
    <w:name w:val="heading 4"/>
    <w:basedOn w:val="Normal"/>
    <w:next w:val="Normal"/>
    <w:link w:val="Heading4Char"/>
    <w:uiPriority w:val="9"/>
    <w:semiHidden/>
    <w:unhideWhenUsed/>
    <w:qFormat/>
    <w:rsid w:val="00F335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35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35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35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35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35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R">
    <w:name w:val="DOR"/>
    <w:basedOn w:val="Normal"/>
    <w:link w:val="DORChar"/>
    <w:autoRedefine/>
    <w:qFormat/>
    <w:rsid w:val="00A64E5F"/>
    <w:rPr>
      <w:rFonts w:cs="Calibri"/>
      <w:kern w:val="0"/>
      <w:sz w:val="28"/>
    </w:rPr>
  </w:style>
  <w:style w:type="character" w:customStyle="1" w:styleId="DORChar">
    <w:name w:val="DOR Char"/>
    <w:basedOn w:val="DefaultParagraphFont"/>
    <w:link w:val="DOR"/>
    <w:rsid w:val="00A64E5F"/>
    <w:rPr>
      <w:rFonts w:ascii="Arial" w:hAnsi="Arial" w:cs="Calibri"/>
      <w:kern w:val="0"/>
      <w:sz w:val="28"/>
    </w:rPr>
  </w:style>
  <w:style w:type="paragraph" w:customStyle="1" w:styleId="Kate">
    <w:name w:val="Kate"/>
    <w:basedOn w:val="DOR"/>
    <w:qFormat/>
    <w:rsid w:val="00791EDD"/>
  </w:style>
  <w:style w:type="character" w:customStyle="1" w:styleId="Heading2Char">
    <w:name w:val="Heading 2 Char"/>
    <w:basedOn w:val="DefaultParagraphFont"/>
    <w:link w:val="Heading2"/>
    <w:uiPriority w:val="9"/>
    <w:rsid w:val="00F33539"/>
    <w:rPr>
      <w:rFonts w:ascii="Arial" w:eastAsiaTheme="majorEastAsia" w:hAnsi="Arial" w:cstheme="majorBidi"/>
      <w:b/>
      <w:color w:val="153D63" w:themeColor="text2" w:themeTint="E6"/>
      <w:sz w:val="28"/>
      <w:szCs w:val="32"/>
    </w:rPr>
  </w:style>
  <w:style w:type="character" w:customStyle="1" w:styleId="Heading1Char">
    <w:name w:val="Heading 1 Char"/>
    <w:basedOn w:val="DefaultParagraphFont"/>
    <w:link w:val="Heading1"/>
    <w:uiPriority w:val="9"/>
    <w:rsid w:val="00F33539"/>
    <w:rPr>
      <w:rFonts w:ascii="Arial" w:eastAsiaTheme="majorEastAsia" w:hAnsi="Arial" w:cstheme="majorBidi"/>
      <w:b/>
      <w:color w:val="0F4761" w:themeColor="accent1" w:themeShade="BF"/>
      <w:sz w:val="28"/>
      <w:szCs w:val="40"/>
      <w:u w:val="single"/>
    </w:rPr>
  </w:style>
  <w:style w:type="character" w:customStyle="1" w:styleId="Heading3Char">
    <w:name w:val="Heading 3 Char"/>
    <w:basedOn w:val="DefaultParagraphFont"/>
    <w:link w:val="Heading3"/>
    <w:uiPriority w:val="9"/>
    <w:rsid w:val="00F33539"/>
    <w:rPr>
      <w:rFonts w:ascii="Arial" w:eastAsiaTheme="majorEastAsia" w:hAnsi="Arial" w:cstheme="majorBidi"/>
      <w:color w:val="0F4761" w:themeColor="accent1" w:themeShade="BF"/>
      <w:sz w:val="28"/>
      <w:szCs w:val="28"/>
      <w:u w:val="single"/>
    </w:rPr>
  </w:style>
  <w:style w:type="character" w:customStyle="1" w:styleId="Heading4Char">
    <w:name w:val="Heading 4 Char"/>
    <w:basedOn w:val="DefaultParagraphFont"/>
    <w:link w:val="Heading4"/>
    <w:uiPriority w:val="9"/>
    <w:semiHidden/>
    <w:rsid w:val="00F3353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3353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3353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3353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3353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3353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33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5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5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3539"/>
    <w:rPr>
      <w:rFonts w:ascii="Arial" w:hAnsi="Arial"/>
      <w:i/>
      <w:iCs/>
      <w:color w:val="404040" w:themeColor="text1" w:themeTint="BF"/>
      <w:sz w:val="24"/>
    </w:rPr>
  </w:style>
  <w:style w:type="paragraph" w:styleId="ListParagraph">
    <w:name w:val="List Paragraph"/>
    <w:basedOn w:val="Normal"/>
    <w:uiPriority w:val="34"/>
    <w:qFormat/>
    <w:rsid w:val="00F33539"/>
    <w:pPr>
      <w:ind w:left="720"/>
      <w:contextualSpacing/>
    </w:pPr>
  </w:style>
  <w:style w:type="character" w:styleId="IntenseEmphasis">
    <w:name w:val="Intense Emphasis"/>
    <w:basedOn w:val="DefaultParagraphFont"/>
    <w:uiPriority w:val="21"/>
    <w:qFormat/>
    <w:rsid w:val="00F33539"/>
    <w:rPr>
      <w:i/>
      <w:iCs/>
      <w:color w:val="0F4761" w:themeColor="accent1" w:themeShade="BF"/>
    </w:rPr>
  </w:style>
  <w:style w:type="paragraph" w:styleId="IntenseQuote">
    <w:name w:val="Intense Quote"/>
    <w:basedOn w:val="Normal"/>
    <w:next w:val="Normal"/>
    <w:link w:val="IntenseQuoteChar"/>
    <w:uiPriority w:val="30"/>
    <w:qFormat/>
    <w:rsid w:val="00F33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539"/>
    <w:rPr>
      <w:rFonts w:ascii="Arial" w:hAnsi="Arial"/>
      <w:i/>
      <w:iCs/>
      <w:color w:val="0F4761" w:themeColor="accent1" w:themeShade="BF"/>
      <w:sz w:val="24"/>
    </w:rPr>
  </w:style>
  <w:style w:type="character" w:styleId="IntenseReference">
    <w:name w:val="Intense Reference"/>
    <w:basedOn w:val="DefaultParagraphFont"/>
    <w:uiPriority w:val="32"/>
    <w:qFormat/>
    <w:rsid w:val="00F33539"/>
    <w:rPr>
      <w:b/>
      <w:bCs/>
      <w:smallCaps/>
      <w:color w:val="0F4761" w:themeColor="accent1" w:themeShade="BF"/>
      <w:spacing w:val="5"/>
    </w:rPr>
  </w:style>
  <w:style w:type="character" w:customStyle="1" w:styleId="68">
    <w:name w:val="6/8"/>
    <w:rsid w:val="00F33539"/>
    <w:rPr>
      <w:rFonts w:ascii="Arial" w:hAnsi="Arial"/>
      <w:b/>
      <w:caps/>
      <w:color w:val="0000FF"/>
      <w:sz w:val="12"/>
      <w:u w:val="none"/>
      <w:vertAlign w:val="baseline"/>
    </w:rPr>
  </w:style>
  <w:style w:type="table" w:styleId="TableGrid">
    <w:name w:val="Table Grid"/>
    <w:basedOn w:val="TableNormal"/>
    <w:uiPriority w:val="39"/>
    <w:rsid w:val="00F335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539"/>
    <w:pPr>
      <w:tabs>
        <w:tab w:val="center" w:pos="4680"/>
        <w:tab w:val="right" w:pos="9360"/>
      </w:tabs>
    </w:pPr>
  </w:style>
  <w:style w:type="character" w:customStyle="1" w:styleId="HeaderChar">
    <w:name w:val="Header Char"/>
    <w:basedOn w:val="DefaultParagraphFont"/>
    <w:link w:val="Header"/>
    <w:uiPriority w:val="99"/>
    <w:rsid w:val="00F33539"/>
    <w:rPr>
      <w:rFonts w:ascii="Arial" w:hAnsi="Arial"/>
      <w:sz w:val="24"/>
    </w:rPr>
  </w:style>
  <w:style w:type="paragraph" w:styleId="Footer">
    <w:name w:val="footer"/>
    <w:basedOn w:val="Normal"/>
    <w:link w:val="FooterChar"/>
    <w:uiPriority w:val="99"/>
    <w:unhideWhenUsed/>
    <w:rsid w:val="00F33539"/>
    <w:pPr>
      <w:tabs>
        <w:tab w:val="center" w:pos="4680"/>
        <w:tab w:val="right" w:pos="9360"/>
      </w:tabs>
    </w:pPr>
  </w:style>
  <w:style w:type="character" w:customStyle="1" w:styleId="FooterChar">
    <w:name w:val="Footer Char"/>
    <w:basedOn w:val="DefaultParagraphFont"/>
    <w:link w:val="Footer"/>
    <w:uiPriority w:val="99"/>
    <w:rsid w:val="00F3353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755</Words>
  <Characters>4079</Characters>
  <Application>Microsoft Office Word</Application>
  <DocSecurity>0</DocSecurity>
  <Lines>123</Lines>
  <Paragraphs>71</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Duron, Victor@DOR</cp:lastModifiedBy>
  <cp:revision>15</cp:revision>
  <dcterms:created xsi:type="dcterms:W3CDTF">2026-07-14T17:42:00Z</dcterms:created>
  <dcterms:modified xsi:type="dcterms:W3CDTF">2026-07-15T22:53:00Z</dcterms:modified>
</cp:coreProperties>
</file>