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8F38" w14:textId="77777777" w:rsidR="00385E8D" w:rsidRPr="00214E53" w:rsidRDefault="00385E8D" w:rsidP="00214E53">
      <w:pPr>
        <w:rPr>
          <w:b/>
          <w:bCs/>
        </w:rPr>
      </w:pPr>
      <w:r w:rsidRPr="00214E53">
        <w:rPr>
          <w:b/>
          <w:bCs/>
        </w:rPr>
        <w:t>State Rehabilitation Council (SRC)</w:t>
      </w:r>
    </w:p>
    <w:p w14:paraId="54FD2651" w14:textId="77777777" w:rsidR="00385E8D" w:rsidRPr="00214E53" w:rsidRDefault="00385E8D" w:rsidP="00214E53">
      <w:pPr>
        <w:rPr>
          <w:b/>
          <w:bCs/>
        </w:rPr>
      </w:pPr>
      <w:r w:rsidRPr="00214E53">
        <w:rPr>
          <w:b/>
          <w:bCs/>
        </w:rPr>
        <w:t>Policy Committee Meeting</w:t>
      </w:r>
    </w:p>
    <w:p w14:paraId="0EB3DC80" w14:textId="77777777" w:rsidR="00385E8D" w:rsidRPr="00214E53" w:rsidRDefault="00385E8D" w:rsidP="00214E53">
      <w:pPr>
        <w:rPr>
          <w:b/>
          <w:bCs/>
        </w:rPr>
      </w:pPr>
      <w:r w:rsidRPr="00214E53">
        <w:rPr>
          <w:b/>
          <w:bCs/>
        </w:rPr>
        <w:t>April 7, 2026, 1:30 p.m. – 3:00 p.m.</w:t>
      </w:r>
    </w:p>
    <w:p w14:paraId="251EE3A2" w14:textId="1DC35F45" w:rsidR="00385E8D" w:rsidRPr="00214E53" w:rsidRDefault="00385E8D" w:rsidP="00214E53">
      <w:r w:rsidRPr="00214E53">
        <w:t xml:space="preserve">Location: Department of Rehabilitation (DOR) Central Office, Room 401, Sacramento, CA </w:t>
      </w:r>
      <w:r w:rsidR="002E637D">
        <w:t>95814</w:t>
      </w:r>
    </w:p>
    <w:p w14:paraId="7C2EFB95" w14:textId="77777777" w:rsidR="00214E53" w:rsidRDefault="00214E53" w:rsidP="00214E53">
      <w:pPr>
        <w:rPr>
          <w:i/>
          <w:iCs/>
        </w:rPr>
      </w:pPr>
    </w:p>
    <w:p w14:paraId="2D0F7C1E" w14:textId="492DC6C3" w:rsidR="00385E8D" w:rsidRPr="00214E53" w:rsidRDefault="00385E8D" w:rsidP="00214E53">
      <w:pPr>
        <w:rPr>
          <w:b/>
          <w:bCs/>
          <w:i/>
          <w:iCs/>
        </w:rPr>
      </w:pPr>
      <w:r w:rsidRPr="00214E53">
        <w:rPr>
          <w:b/>
          <w:bCs/>
          <w:i/>
          <w:iCs/>
        </w:rPr>
        <w:t>Draft Meeting Minutes</w:t>
      </w:r>
    </w:p>
    <w:p w14:paraId="46196291" w14:textId="77777777" w:rsidR="00385E8D" w:rsidRPr="00214E53" w:rsidRDefault="00385E8D" w:rsidP="00214E53"/>
    <w:p w14:paraId="56E71C15" w14:textId="0AFBBDC8" w:rsidR="00385E8D" w:rsidRPr="00214E53" w:rsidRDefault="00385E8D" w:rsidP="00214E53">
      <w:r w:rsidRPr="00214E53">
        <w:t>Note: This committee meeting was held in accordance with California Government Code section 11123.5. There may be members of the public body who participated in meeting who were granted a reasonable accommodation per the Americans with Disabilities Act.</w:t>
      </w:r>
    </w:p>
    <w:p w14:paraId="3155A0BC" w14:textId="77777777" w:rsidR="009D4192" w:rsidRPr="00214E53" w:rsidRDefault="009D4192" w:rsidP="00214E53"/>
    <w:p w14:paraId="20696A42" w14:textId="6B2A890C" w:rsidR="00B71879" w:rsidRPr="002E637D" w:rsidRDefault="00B71879" w:rsidP="00214E53">
      <w:pPr>
        <w:rPr>
          <w:b/>
          <w:bCs/>
        </w:rPr>
      </w:pPr>
      <w:r w:rsidRPr="002E637D">
        <w:rPr>
          <w:b/>
          <w:bCs/>
        </w:rPr>
        <w:t>In Attendance</w:t>
      </w:r>
      <w:r w:rsidR="002E637D">
        <w:rPr>
          <w:b/>
          <w:bCs/>
        </w:rPr>
        <w:t>:</w:t>
      </w:r>
    </w:p>
    <w:p w14:paraId="0F38C4C0" w14:textId="35746D27" w:rsidR="002E637D" w:rsidRDefault="002E637D" w:rsidP="002E637D">
      <w:pPr>
        <w:pStyle w:val="ListParagraph"/>
        <w:numPr>
          <w:ilvl w:val="0"/>
          <w:numId w:val="14"/>
        </w:numPr>
      </w:pPr>
      <w:r w:rsidRPr="00E33ACB">
        <w:t xml:space="preserve">SRC Policy Committee </w:t>
      </w:r>
      <w:r>
        <w:t>m</w:t>
      </w:r>
      <w:r w:rsidRPr="00E33ACB">
        <w:t>embers (</w:t>
      </w:r>
      <w:r>
        <w:t xml:space="preserve">by </w:t>
      </w:r>
      <w:r w:rsidRPr="00E33ACB">
        <w:t xml:space="preserve">Zoom): </w:t>
      </w:r>
      <w:r>
        <w:t xml:space="preserve">Yuki Nagasawa, </w:t>
      </w:r>
      <w:r w:rsidRPr="00E33ACB">
        <w:t>Ivan Guillen</w:t>
      </w:r>
      <w:r>
        <w:t xml:space="preserve"> </w:t>
      </w:r>
    </w:p>
    <w:p w14:paraId="76BEE20D" w14:textId="475FC398" w:rsidR="002E637D" w:rsidRDefault="002E637D" w:rsidP="002E637D">
      <w:pPr>
        <w:pStyle w:val="ListParagraph"/>
        <w:numPr>
          <w:ilvl w:val="0"/>
          <w:numId w:val="14"/>
        </w:numPr>
      </w:pPr>
      <w:r>
        <w:t>SRC Policy Committee members absent: La Trena Robinson</w:t>
      </w:r>
    </w:p>
    <w:p w14:paraId="4D7F717F" w14:textId="2AB226C2" w:rsidR="002E637D" w:rsidRDefault="002E637D" w:rsidP="002E637D">
      <w:pPr>
        <w:pStyle w:val="ListParagraph"/>
        <w:numPr>
          <w:ilvl w:val="0"/>
          <w:numId w:val="14"/>
        </w:numPr>
      </w:pPr>
      <w:r>
        <w:t>SRC members in attendance as members of the public (by Zoom): Shannon Coe, Shellena Heber</w:t>
      </w:r>
    </w:p>
    <w:p w14:paraId="7C721915" w14:textId="658B7595" w:rsidR="002E637D" w:rsidRDefault="002E637D" w:rsidP="002E637D">
      <w:pPr>
        <w:pStyle w:val="ListParagraph"/>
        <w:numPr>
          <w:ilvl w:val="0"/>
          <w:numId w:val="14"/>
        </w:numPr>
      </w:pPr>
      <w:r>
        <w:t>DOR staff (in-person): Lisa Cushman</w:t>
      </w:r>
    </w:p>
    <w:p w14:paraId="2EC8A0C1" w14:textId="0F85ADCF" w:rsidR="002E637D" w:rsidRDefault="002E637D" w:rsidP="002E637D">
      <w:pPr>
        <w:pStyle w:val="ListParagraph"/>
        <w:numPr>
          <w:ilvl w:val="0"/>
          <w:numId w:val="14"/>
        </w:numPr>
      </w:pPr>
      <w:r>
        <w:t>DOR staff (by Zoom): Victor Duron, Jessica Grove, Sue Pelbath, Dante Allen, Kate Bjerke</w:t>
      </w:r>
    </w:p>
    <w:p w14:paraId="699ACBE1" w14:textId="6F438CD6" w:rsidR="002E637D" w:rsidRDefault="002E637D" w:rsidP="002E637D">
      <w:pPr>
        <w:pStyle w:val="ListParagraph"/>
        <w:numPr>
          <w:ilvl w:val="0"/>
          <w:numId w:val="14"/>
        </w:numPr>
      </w:pPr>
      <w:r>
        <w:t>Members of the public (by Zoom): Leslie Gibbons</w:t>
      </w:r>
    </w:p>
    <w:p w14:paraId="164CAF8C" w14:textId="77777777" w:rsidR="002E637D" w:rsidRPr="002E637D" w:rsidRDefault="002E637D" w:rsidP="00214E53">
      <w:pPr>
        <w:rPr>
          <w:b/>
          <w:bCs/>
        </w:rPr>
      </w:pPr>
    </w:p>
    <w:p w14:paraId="31374B9B" w14:textId="77777777" w:rsidR="00B71879" w:rsidRPr="002E637D" w:rsidRDefault="00B71879" w:rsidP="00214E53">
      <w:pPr>
        <w:rPr>
          <w:b/>
          <w:bCs/>
        </w:rPr>
      </w:pPr>
      <w:r w:rsidRPr="002E637D">
        <w:rPr>
          <w:b/>
          <w:bCs/>
        </w:rPr>
        <w:t>Item 1: Welcome and Introductions</w:t>
      </w:r>
    </w:p>
    <w:p w14:paraId="3D44AC73" w14:textId="23484226" w:rsidR="00BE659C" w:rsidRPr="00214E53" w:rsidRDefault="00BE659C" w:rsidP="00214E53">
      <w:r w:rsidRPr="00214E53">
        <w:t>Yuki Nagasawa, SRC Policy Committee Chair, welcomed attendees to the meeting.</w:t>
      </w:r>
      <w:r w:rsidR="00752877" w:rsidRPr="00214E53">
        <w:t xml:space="preserve"> </w:t>
      </w:r>
      <w:r w:rsidR="00B71879" w:rsidRPr="00214E53">
        <w:t>Lisa Cushman</w:t>
      </w:r>
      <w:r w:rsidRPr="00214E53">
        <w:t>, Acting SRC Executive Officer, reviewed the Bagley-Keene Open Meeting Act requirements.</w:t>
      </w:r>
    </w:p>
    <w:p w14:paraId="6BF4F0FF" w14:textId="77777777" w:rsidR="002E637D" w:rsidRDefault="002E637D" w:rsidP="00214E53">
      <w:pPr>
        <w:rPr>
          <w:color w:val="0F4761" w:themeColor="accent1" w:themeShade="BF"/>
        </w:rPr>
      </w:pPr>
    </w:p>
    <w:p w14:paraId="7268D029" w14:textId="0C712714" w:rsidR="00B71879" w:rsidRPr="00967787" w:rsidRDefault="00B71879" w:rsidP="00214E53">
      <w:pPr>
        <w:rPr>
          <w:b/>
          <w:bCs/>
        </w:rPr>
      </w:pPr>
      <w:r w:rsidRPr="00967787">
        <w:rPr>
          <w:b/>
          <w:bCs/>
        </w:rPr>
        <w:t xml:space="preserve">Item </w:t>
      </w:r>
      <w:r w:rsidR="00DA357E" w:rsidRPr="00967787">
        <w:rPr>
          <w:b/>
          <w:bCs/>
        </w:rPr>
        <w:t>2</w:t>
      </w:r>
      <w:r w:rsidRPr="00967787">
        <w:rPr>
          <w:b/>
          <w:bCs/>
        </w:rPr>
        <w:t>: Order of Selection (OOS) Update</w:t>
      </w:r>
    </w:p>
    <w:p w14:paraId="2BBDB018" w14:textId="259B3027" w:rsidR="00B71879" w:rsidRDefault="00967787" w:rsidP="00214E53">
      <w:r>
        <w:t xml:space="preserve">An overview of OOS was provided by </w:t>
      </w:r>
      <w:r w:rsidR="00B71879" w:rsidRPr="00214E53">
        <w:t xml:space="preserve">Victor Duron, </w:t>
      </w:r>
      <w:r>
        <w:t xml:space="preserve">DOR </w:t>
      </w:r>
      <w:r w:rsidR="00B71879" w:rsidRPr="00214E53">
        <w:t>Chief Deputy Director</w:t>
      </w:r>
      <w:r>
        <w:t>.</w:t>
      </w:r>
      <w:r w:rsidR="00B71879" w:rsidRPr="00214E53">
        <w:t xml:space="preserve"> </w:t>
      </w:r>
      <w:r w:rsidR="00DA357E" w:rsidRPr="00214E53">
        <w:t xml:space="preserve">OOS is </w:t>
      </w:r>
      <w:r w:rsidR="00B71879" w:rsidRPr="00214E53">
        <w:t xml:space="preserve">the federally required </w:t>
      </w:r>
      <w:r w:rsidR="00936C04">
        <w:t xml:space="preserve">process </w:t>
      </w:r>
      <w:r>
        <w:t>that Vocational Rehabilitation (VR) agencies utilize when</w:t>
      </w:r>
      <w:r w:rsidR="00B71879" w:rsidRPr="00214E53">
        <w:t xml:space="preserve"> resources</w:t>
      </w:r>
      <w:r>
        <w:t xml:space="preserve">, like funding and staffing, </w:t>
      </w:r>
      <w:r w:rsidR="00B71879" w:rsidRPr="00214E53">
        <w:t xml:space="preserve">are insufficient to serve all eligible individuals requesting services. </w:t>
      </w:r>
      <w:r>
        <w:t>It was noted that</w:t>
      </w:r>
      <w:r w:rsidR="00B71879" w:rsidRPr="00214E53">
        <w:t xml:space="preserve"> </w:t>
      </w:r>
      <w:r w:rsidR="000B213F" w:rsidRPr="00214E53">
        <w:t>DOR is not an entitlement program</w:t>
      </w:r>
      <w:r>
        <w:t xml:space="preserve">, whereas </w:t>
      </w:r>
      <w:r w:rsidR="00AA0119" w:rsidRPr="00214E53">
        <w:t xml:space="preserve">Medicare, Social Security and other entitlement programs must provide benefits to eligible recipients, regardless of fiscal and staff constraints. </w:t>
      </w:r>
    </w:p>
    <w:p w14:paraId="2A1D0213" w14:textId="77777777" w:rsidR="00967787" w:rsidRDefault="00967787" w:rsidP="00214E53"/>
    <w:p w14:paraId="58619B36" w14:textId="4AA9139F" w:rsidR="00AA0119" w:rsidRPr="00214E53" w:rsidRDefault="00967787" w:rsidP="00214E53">
      <w:r>
        <w:lastRenderedPageBreak/>
        <w:t xml:space="preserve">In an OOS, priority categories are used to prioritize individuals with the most significant disabilities.  </w:t>
      </w:r>
    </w:p>
    <w:p w14:paraId="082D6AA2" w14:textId="77777777" w:rsidR="00967787" w:rsidRDefault="00967787" w:rsidP="00214E53"/>
    <w:p w14:paraId="098475D9" w14:textId="77C04763" w:rsidR="000B213F" w:rsidRDefault="000B213F" w:rsidP="00214E53">
      <w:r w:rsidRPr="00214E53">
        <w:t>The OOS will not affect i</w:t>
      </w:r>
      <w:r w:rsidR="00B71879" w:rsidRPr="00214E53">
        <w:t xml:space="preserve">ndividuals </w:t>
      </w:r>
      <w:r w:rsidR="00967787">
        <w:t>who already have a</w:t>
      </w:r>
      <w:r w:rsidR="00B71879" w:rsidRPr="00214E53">
        <w:t xml:space="preserve"> signed </w:t>
      </w:r>
      <w:r w:rsidR="00967787">
        <w:t>I</w:t>
      </w:r>
      <w:r w:rsidR="00CD346D" w:rsidRPr="00214E53">
        <w:t>ndividualized Plan for Employment (</w:t>
      </w:r>
      <w:r w:rsidR="00B71879" w:rsidRPr="00214E53">
        <w:t>IPE</w:t>
      </w:r>
      <w:r w:rsidR="00CD346D" w:rsidRPr="00214E53">
        <w:t>)</w:t>
      </w:r>
      <w:r w:rsidR="00B71879" w:rsidRPr="00214E53">
        <w:t xml:space="preserve"> and youth receiving Student Services</w:t>
      </w:r>
      <w:r w:rsidRPr="00214E53">
        <w:t xml:space="preserve"> in the Potentially Eligible (PE) </w:t>
      </w:r>
      <w:r w:rsidR="00936C04">
        <w:t>c</w:t>
      </w:r>
      <w:r w:rsidRPr="00214E53">
        <w:t xml:space="preserve">ase </w:t>
      </w:r>
      <w:r w:rsidR="00936C04">
        <w:t>t</w:t>
      </w:r>
      <w:r w:rsidRPr="00214E53">
        <w:t>ype.</w:t>
      </w:r>
    </w:p>
    <w:p w14:paraId="0037B58B" w14:textId="77777777" w:rsidR="00967787" w:rsidRPr="00214E53" w:rsidRDefault="00967787" w:rsidP="00214E53"/>
    <w:p w14:paraId="5C4405E9" w14:textId="722ED7B4" w:rsidR="00967787" w:rsidRDefault="00967787" w:rsidP="00214E53">
      <w:r>
        <w:t xml:space="preserve">An OOS is needed because the </w:t>
      </w:r>
      <w:r w:rsidR="00AA0119" w:rsidRPr="00214E53">
        <w:t>cost of caseload expenditures ha</w:t>
      </w:r>
      <w:r w:rsidR="009C092E">
        <w:t>ve</w:t>
      </w:r>
      <w:r w:rsidR="00AA0119" w:rsidRPr="00214E53">
        <w:t xml:space="preserve"> </w:t>
      </w:r>
      <w:r>
        <w:t xml:space="preserve">significantly </w:t>
      </w:r>
      <w:r w:rsidR="00AA0119" w:rsidRPr="00214E53">
        <w:t>increased</w:t>
      </w:r>
      <w:r>
        <w:t xml:space="preserve"> and </w:t>
      </w:r>
      <w:r w:rsidR="00B71879" w:rsidRPr="00214E53">
        <w:t xml:space="preserve">DOR is serving far more consumers than </w:t>
      </w:r>
      <w:r w:rsidR="000B213F" w:rsidRPr="00214E53">
        <w:t xml:space="preserve">it served in the past. </w:t>
      </w:r>
      <w:r>
        <w:t xml:space="preserve">A handout providing background information on OOS, </w:t>
      </w:r>
      <w:r w:rsidR="009C092E">
        <w:t xml:space="preserve">fiscal and caseload </w:t>
      </w:r>
      <w:r>
        <w:t>data, and next steps was presented</w:t>
      </w:r>
      <w:r w:rsidR="00936C04">
        <w:t xml:space="preserve"> (reference </w:t>
      </w:r>
      <w:hyperlink w:anchor="_Appendix_A" w:history="1">
        <w:r w:rsidR="00936C04" w:rsidRPr="009C092E">
          <w:rPr>
            <w:rStyle w:val="Hyperlink"/>
          </w:rPr>
          <w:t>Appendix A</w:t>
        </w:r>
      </w:hyperlink>
      <w:r w:rsidR="00936C04">
        <w:t xml:space="preserve"> for a copy of the handout)</w:t>
      </w:r>
    </w:p>
    <w:p w14:paraId="7E82AECB" w14:textId="77777777" w:rsidR="00967787" w:rsidRDefault="00967787" w:rsidP="00214E53"/>
    <w:p w14:paraId="37863AA0" w14:textId="0850E1DC" w:rsidR="00B558D1" w:rsidRDefault="009C092E" w:rsidP="00214E53">
      <w:r>
        <w:t xml:space="preserve">It was explained that OOS puts individuals who apply on a waitlist, and DOR can serve individuals off the waiting list when resources are available. DOR is currently </w:t>
      </w:r>
      <w:r w:rsidR="00B558D1" w:rsidRPr="00214E53">
        <w:t xml:space="preserve">waiting for approval from the Rehabilitation Services Administration </w:t>
      </w:r>
      <w:r w:rsidR="00746C95" w:rsidRPr="00214E53">
        <w:t xml:space="preserve">(RSA) </w:t>
      </w:r>
      <w:r w:rsidR="00B558D1" w:rsidRPr="00214E53">
        <w:t xml:space="preserve">to implement an OOS. </w:t>
      </w:r>
      <w:r>
        <w:t xml:space="preserve">DOR </w:t>
      </w:r>
      <w:r w:rsidR="00746C95" w:rsidRPr="00214E53">
        <w:t xml:space="preserve">will </w:t>
      </w:r>
      <w:r w:rsidR="00B71879" w:rsidRPr="00214E53">
        <w:t xml:space="preserve">monitor data </w:t>
      </w:r>
      <w:r w:rsidR="002C72BB" w:rsidRPr="00214E53">
        <w:t xml:space="preserve">on </w:t>
      </w:r>
      <w:r w:rsidR="00B71879" w:rsidRPr="00214E53">
        <w:t xml:space="preserve">caseloads, employment outcomes, expenditures, </w:t>
      </w:r>
      <w:r w:rsidR="002C72BB" w:rsidRPr="00214E53">
        <w:t xml:space="preserve">and </w:t>
      </w:r>
      <w:r w:rsidR="00B71879" w:rsidRPr="00214E53">
        <w:t xml:space="preserve">funding </w:t>
      </w:r>
      <w:r w:rsidR="002C72BB" w:rsidRPr="00214E53">
        <w:t>on a monthly basis</w:t>
      </w:r>
      <w:r w:rsidR="00B558D1" w:rsidRPr="00214E53">
        <w:t>.</w:t>
      </w:r>
      <w:r>
        <w:t xml:space="preserve"> If an OOS is not implemented, the DOR may run out of funding </w:t>
      </w:r>
      <w:r w:rsidR="0043665F">
        <w:t>fr</w:t>
      </w:r>
      <w:r>
        <w:t xml:space="preserve">om the VR grant before the year ends, in which case, all entities that DOR works with will be impacted, including consumers and community partners. </w:t>
      </w:r>
      <w:r w:rsidR="00B558D1" w:rsidRPr="00214E53">
        <w:t xml:space="preserve"> </w:t>
      </w:r>
    </w:p>
    <w:p w14:paraId="1AA06F9C" w14:textId="4AB3EB5A" w:rsidR="00B71879" w:rsidRDefault="00B558D1" w:rsidP="009C092E">
      <w:r w:rsidRPr="00214E53">
        <w:t>If caseload sizes continue to grow, DOR’s employment outcomes and service quality will decrease.</w:t>
      </w:r>
      <w:r w:rsidR="009C092E">
        <w:t xml:space="preserve"> The DOR intends to exit the OOS as soon as possible. </w:t>
      </w:r>
    </w:p>
    <w:p w14:paraId="2FBFDD58" w14:textId="77777777" w:rsidR="009C092E" w:rsidRDefault="009C092E" w:rsidP="009C092E"/>
    <w:p w14:paraId="56BC2CC5" w14:textId="6C821EE7" w:rsidR="009C092E" w:rsidRPr="00214E53" w:rsidRDefault="009C092E" w:rsidP="009C092E">
      <w:r>
        <w:t>SRC Policy Committee members had the opportunity to ask questions and engage in discussion. Highlights included the following:</w:t>
      </w:r>
    </w:p>
    <w:p w14:paraId="2FB17B90" w14:textId="77777777" w:rsidR="009C092E" w:rsidRDefault="009C092E" w:rsidP="00214E53">
      <w:pPr>
        <w:rPr>
          <w:color w:val="0F4761" w:themeColor="accent1" w:themeShade="BF"/>
        </w:rPr>
      </w:pPr>
    </w:p>
    <w:p w14:paraId="2B252A2F" w14:textId="59625C59" w:rsidR="00A021B0" w:rsidRDefault="00874E68" w:rsidP="00214E53">
      <w:r w:rsidRPr="00214E53">
        <w:t>Yuki Nagasawa</w:t>
      </w:r>
      <w:r w:rsidR="009C092E">
        <w:t xml:space="preserve">, SRC Policy Committee Chair, reflected on expedited eligibility determination, and spoke about the difference between what people need, and what people want. </w:t>
      </w:r>
      <w:r w:rsidR="00C911C7" w:rsidRPr="00214E53">
        <w:t xml:space="preserve"> </w:t>
      </w:r>
      <w:r w:rsidR="009C092E">
        <w:t xml:space="preserve"> </w:t>
      </w:r>
    </w:p>
    <w:p w14:paraId="48305D66" w14:textId="77777777" w:rsidR="009C092E" w:rsidRPr="00214E53" w:rsidRDefault="009C092E" w:rsidP="00214E53"/>
    <w:p w14:paraId="41CA9C7E" w14:textId="01AE31A9" w:rsidR="00E87E3B" w:rsidRDefault="00874E68" w:rsidP="00214E53">
      <w:r w:rsidRPr="00214E53">
        <w:t>Ivan Guillen</w:t>
      </w:r>
      <w:r w:rsidR="009C092E">
        <w:t>, SRC Policy Committee member,</w:t>
      </w:r>
      <w:r w:rsidRPr="00214E53">
        <w:t xml:space="preserve"> </w:t>
      </w:r>
      <w:r w:rsidR="00BD052C" w:rsidRPr="00214E53">
        <w:t>asked if i</w:t>
      </w:r>
      <w:r w:rsidRPr="00214E53">
        <w:t xml:space="preserve">ndividuals already </w:t>
      </w:r>
      <w:r w:rsidR="00CD346D" w:rsidRPr="00214E53">
        <w:t xml:space="preserve">determined </w:t>
      </w:r>
      <w:r w:rsidR="009C092E">
        <w:t>e</w:t>
      </w:r>
      <w:r w:rsidRPr="00214E53">
        <w:t xml:space="preserve">ligible but without a signed IPE </w:t>
      </w:r>
      <w:r w:rsidR="009C092E">
        <w:t>will be</w:t>
      </w:r>
      <w:r w:rsidRPr="00214E53">
        <w:t xml:space="preserve"> impacted</w:t>
      </w:r>
      <w:r w:rsidR="0088280B" w:rsidRPr="00214E53">
        <w:t>.</w:t>
      </w:r>
      <w:r w:rsidRPr="00214E53">
        <w:t xml:space="preserve"> </w:t>
      </w:r>
      <w:r w:rsidR="0093479D" w:rsidRPr="00214E53">
        <w:t xml:space="preserve">Guillen has been encouraging individuals to apply quickly </w:t>
      </w:r>
      <w:r w:rsidR="009C092E">
        <w:t xml:space="preserve">for DOR services. Guillen </w:t>
      </w:r>
      <w:r w:rsidR="00A843BC" w:rsidRPr="00214E53">
        <w:t xml:space="preserve"> perceives that DOR is focusing more on providing only services that align with a consumer’s employment goal. </w:t>
      </w:r>
    </w:p>
    <w:p w14:paraId="64235A0C" w14:textId="77777777" w:rsidR="00C245D7" w:rsidRPr="00C245D7" w:rsidRDefault="00C245D7" w:rsidP="00214E53">
      <w:pPr>
        <w:rPr>
          <w:b/>
          <w:bCs/>
        </w:rPr>
      </w:pPr>
    </w:p>
    <w:p w14:paraId="175B291F" w14:textId="3D5FEC12" w:rsidR="009C092E" w:rsidRPr="00C245D7" w:rsidRDefault="00936BEE" w:rsidP="00214E53">
      <w:pPr>
        <w:rPr>
          <w:b/>
          <w:bCs/>
        </w:rPr>
      </w:pPr>
      <w:r w:rsidRPr="00C245D7">
        <w:rPr>
          <w:b/>
          <w:bCs/>
        </w:rPr>
        <w:t xml:space="preserve">Public </w:t>
      </w:r>
      <w:r w:rsidR="00C245D7" w:rsidRPr="00C245D7">
        <w:rPr>
          <w:b/>
          <w:bCs/>
        </w:rPr>
        <w:t>c</w:t>
      </w:r>
      <w:r w:rsidRPr="00C245D7">
        <w:rPr>
          <w:b/>
          <w:bCs/>
        </w:rPr>
        <w:t>omment</w:t>
      </w:r>
      <w:r w:rsidR="00C245D7" w:rsidRPr="00C245D7">
        <w:rPr>
          <w:b/>
          <w:bCs/>
        </w:rPr>
        <w:t>s:</w:t>
      </w:r>
    </w:p>
    <w:p w14:paraId="0DC515BE" w14:textId="77777777" w:rsidR="00C245D7" w:rsidRDefault="00F64ED5" w:rsidP="00214E53">
      <w:r w:rsidRPr="00214E53">
        <w:lastRenderedPageBreak/>
        <w:t>Shellena Heber</w:t>
      </w:r>
      <w:r w:rsidR="00C245D7">
        <w:t xml:space="preserve">, SRC member, </w:t>
      </w:r>
      <w:r w:rsidRPr="00214E53">
        <w:t xml:space="preserve">asked where DOR stands with RSA in the OOS approval process. </w:t>
      </w:r>
      <w:r w:rsidR="00C245D7">
        <w:t xml:space="preserve">Heber asked a clarifying question about the OOS data that was presented. </w:t>
      </w:r>
    </w:p>
    <w:p w14:paraId="2E716362" w14:textId="23F04D1A" w:rsidR="005D1F05" w:rsidRPr="00214E53" w:rsidRDefault="005D1F05" w:rsidP="00214E53"/>
    <w:p w14:paraId="69D053C5" w14:textId="7BA00D24" w:rsidR="00017B3E" w:rsidRDefault="00B71879" w:rsidP="00214E53">
      <w:r w:rsidRPr="00214E53">
        <w:t xml:space="preserve">Leslie Gibbons </w:t>
      </w:r>
      <w:r w:rsidR="00516B8F" w:rsidRPr="00214E53">
        <w:t>raised c</w:t>
      </w:r>
      <w:r w:rsidRPr="00214E53">
        <w:t>oncern</w:t>
      </w:r>
      <w:r w:rsidR="00516B8F" w:rsidRPr="00214E53">
        <w:t>s</w:t>
      </w:r>
      <w:r w:rsidRPr="00214E53">
        <w:t xml:space="preserve"> about impacts on </w:t>
      </w:r>
      <w:r w:rsidR="00516B8F" w:rsidRPr="00214E53">
        <w:t xml:space="preserve">community resource partners and other providers </w:t>
      </w:r>
      <w:r w:rsidRPr="00214E53">
        <w:t>if capacity diminishes during OOS</w:t>
      </w:r>
      <w:r w:rsidR="00516B8F" w:rsidRPr="00214E53">
        <w:t>.</w:t>
      </w:r>
      <w:r w:rsidRPr="00214E53">
        <w:t xml:space="preserve"> </w:t>
      </w:r>
      <w:r w:rsidR="00C245D7">
        <w:t xml:space="preserve"> </w:t>
      </w:r>
    </w:p>
    <w:p w14:paraId="07DF9D58" w14:textId="77777777" w:rsidR="00C245D7" w:rsidRPr="00C245D7" w:rsidRDefault="00C245D7" w:rsidP="00214E53">
      <w:pPr>
        <w:rPr>
          <w:b/>
          <w:bCs/>
        </w:rPr>
      </w:pPr>
    </w:p>
    <w:p w14:paraId="4279F7B0" w14:textId="2D08C9E1" w:rsidR="00696414" w:rsidRPr="00C245D7" w:rsidRDefault="00696414" w:rsidP="00214E53">
      <w:pPr>
        <w:rPr>
          <w:b/>
          <w:bCs/>
        </w:rPr>
      </w:pPr>
      <w:r w:rsidRPr="00C245D7">
        <w:rPr>
          <w:b/>
          <w:bCs/>
        </w:rPr>
        <w:t xml:space="preserve">Item 3: Approval of the </w:t>
      </w:r>
      <w:bookmarkStart w:id="0" w:name="_Hlk221523655"/>
      <w:r w:rsidRPr="00C245D7">
        <w:rPr>
          <w:b/>
          <w:bCs/>
        </w:rPr>
        <w:t xml:space="preserve">October 30, </w:t>
      </w:r>
      <w:r w:rsidR="001863B8" w:rsidRPr="00C245D7">
        <w:rPr>
          <w:b/>
          <w:bCs/>
        </w:rPr>
        <w:t>2025,</w:t>
      </w:r>
      <w:r w:rsidRPr="00C245D7">
        <w:rPr>
          <w:b/>
          <w:bCs/>
        </w:rPr>
        <w:t xml:space="preserve"> </w:t>
      </w:r>
      <w:bookmarkEnd w:id="0"/>
      <w:r w:rsidRPr="00C245D7">
        <w:rPr>
          <w:b/>
          <w:bCs/>
        </w:rPr>
        <w:t>Policy Committee Meeting Minutes</w:t>
      </w:r>
    </w:p>
    <w:p w14:paraId="5538345F" w14:textId="61FDE926" w:rsidR="00BE659C" w:rsidRDefault="00BE659C" w:rsidP="00214E53">
      <w:r w:rsidRPr="00214E53">
        <w:t xml:space="preserve">The </w:t>
      </w:r>
      <w:r w:rsidR="00C245D7">
        <w:t xml:space="preserve">SRC Policy Committee </w:t>
      </w:r>
      <w:r w:rsidR="00E87E3B" w:rsidRPr="00214E53">
        <w:t xml:space="preserve">tabled </w:t>
      </w:r>
      <w:r w:rsidRPr="00214E53">
        <w:t xml:space="preserve">approval </w:t>
      </w:r>
      <w:r w:rsidR="00E87E3B" w:rsidRPr="00214E53">
        <w:t>of the October 30</w:t>
      </w:r>
      <w:r w:rsidR="00C245D7">
        <w:t xml:space="preserve">, 2025 minutes to a future meeting due to a lack of quorum.  </w:t>
      </w:r>
    </w:p>
    <w:p w14:paraId="70911CD5" w14:textId="77777777" w:rsidR="00C245D7" w:rsidRPr="00214E53" w:rsidRDefault="00C245D7" w:rsidP="00214E53"/>
    <w:p w14:paraId="1EE2C1C7" w14:textId="4DFBEA58" w:rsidR="00B71879" w:rsidRPr="00C245D7" w:rsidRDefault="00B71879" w:rsidP="00214E53">
      <w:pPr>
        <w:rPr>
          <w:b/>
          <w:bCs/>
        </w:rPr>
      </w:pPr>
      <w:r w:rsidRPr="00C245D7">
        <w:rPr>
          <w:b/>
          <w:bCs/>
        </w:rPr>
        <w:t>Item</w:t>
      </w:r>
      <w:r w:rsidR="008D22E4" w:rsidRPr="00C245D7">
        <w:rPr>
          <w:b/>
          <w:bCs/>
        </w:rPr>
        <w:t xml:space="preserve"> 4</w:t>
      </w:r>
      <w:r w:rsidRPr="00C245D7">
        <w:rPr>
          <w:b/>
          <w:bCs/>
        </w:rPr>
        <w:t>: Debrief and Recommendations</w:t>
      </w:r>
    </w:p>
    <w:p w14:paraId="214D3029" w14:textId="77951A81" w:rsidR="00C245D7" w:rsidRDefault="008D22E4" w:rsidP="00214E53">
      <w:r w:rsidRPr="00214E53">
        <w:t>Ivan Guillen</w:t>
      </w:r>
      <w:r w:rsidR="00C245D7">
        <w:t xml:space="preserve">, SRC </w:t>
      </w:r>
      <w:r w:rsidR="00936C04">
        <w:t xml:space="preserve">Policy Committee </w:t>
      </w:r>
      <w:r w:rsidR="00C245D7">
        <w:t>member, suggested that the SRC Policy Committee provide an OOS update during the June 2026 SRC quarterly meeting. Guillen spoke about the OOS recommendation adopted by the SRC during the March 2026 SRC quarterly meeting and explained that it would be beneficial to possibly revisit this recommendation given the details and data presented during the April 7</w:t>
      </w:r>
      <w:r w:rsidR="00C245D7" w:rsidRPr="00C245D7">
        <w:rPr>
          <w:vertAlign w:val="superscript"/>
        </w:rPr>
        <w:t>th</w:t>
      </w:r>
      <w:r w:rsidR="00C245D7">
        <w:t xml:space="preserve"> SRC Policy Committee meeting. Guillen spoke about the importance of messaging and accurate information about OOS. </w:t>
      </w:r>
    </w:p>
    <w:p w14:paraId="42F695FE" w14:textId="6876B0B0" w:rsidR="0047766F" w:rsidRPr="00214E53" w:rsidRDefault="0047766F" w:rsidP="00214E53"/>
    <w:p w14:paraId="0B40B741" w14:textId="3AF0419E" w:rsidR="0047766F" w:rsidRDefault="0047766F" w:rsidP="00214E53">
      <w:r w:rsidRPr="00214E53">
        <w:t>Yuki Nagasawa</w:t>
      </w:r>
      <w:r w:rsidR="00C245D7">
        <w:t>, SRC Policy Committee Chair,</w:t>
      </w:r>
      <w:r w:rsidRPr="00214E53">
        <w:t xml:space="preserve"> has met many participants who are very nervous about OOS. </w:t>
      </w:r>
      <w:r w:rsidR="00C245D7">
        <w:t xml:space="preserve"> </w:t>
      </w:r>
    </w:p>
    <w:p w14:paraId="05C92F15" w14:textId="77777777" w:rsidR="00C245D7" w:rsidRPr="00214E53" w:rsidRDefault="00C245D7" w:rsidP="00214E53"/>
    <w:p w14:paraId="45156B00" w14:textId="72E6253A" w:rsidR="0047766F" w:rsidRPr="00C245D7" w:rsidRDefault="0047766F" w:rsidP="00214E53">
      <w:pPr>
        <w:rPr>
          <w:b/>
          <w:bCs/>
        </w:rPr>
      </w:pPr>
      <w:r w:rsidRPr="00C245D7">
        <w:rPr>
          <w:b/>
          <w:bCs/>
        </w:rPr>
        <w:t xml:space="preserve">Public </w:t>
      </w:r>
      <w:r w:rsidR="00C245D7" w:rsidRPr="00C245D7">
        <w:rPr>
          <w:b/>
          <w:bCs/>
        </w:rPr>
        <w:t>c</w:t>
      </w:r>
      <w:r w:rsidRPr="00C245D7">
        <w:rPr>
          <w:b/>
          <w:bCs/>
        </w:rPr>
        <w:t>omment</w:t>
      </w:r>
      <w:r w:rsidR="00C245D7" w:rsidRPr="00C245D7">
        <w:rPr>
          <w:b/>
          <w:bCs/>
        </w:rPr>
        <w:t>:</w:t>
      </w:r>
    </w:p>
    <w:p w14:paraId="449DCFCA" w14:textId="6CC66704" w:rsidR="00AF71A5" w:rsidRDefault="00B71879" w:rsidP="00214E53">
      <w:r w:rsidRPr="00214E53">
        <w:t>Shellena Heber</w:t>
      </w:r>
      <w:r w:rsidR="00C245D7">
        <w:t xml:space="preserve">, SRC member, suggested that the SRC uphold </w:t>
      </w:r>
      <w:r w:rsidR="005F0BE5">
        <w:t>its</w:t>
      </w:r>
      <w:r w:rsidR="00C245D7">
        <w:t xml:space="preserve"> OOS recommendation but refine it to recommend that Category 1 be kept open and that Category 2 be reopened as soon as possible. Heber spoke about the impact that OOS will have on service providers throughout California. </w:t>
      </w:r>
    </w:p>
    <w:p w14:paraId="326D6DE2" w14:textId="77777777" w:rsidR="00AF71A5" w:rsidRDefault="00AF71A5" w:rsidP="00214E53"/>
    <w:p w14:paraId="5D842728" w14:textId="49205971" w:rsidR="006F55C5" w:rsidRDefault="00214F60" w:rsidP="00214E53">
      <w:r>
        <w:t>Heber also spok</w:t>
      </w:r>
      <w:r w:rsidR="00AF71A5">
        <w:t xml:space="preserve">e from her role as </w:t>
      </w:r>
      <w:r w:rsidR="0028179B" w:rsidRPr="00214E53">
        <w:t>Executive Director of Valley Center for the Blind</w:t>
      </w:r>
      <w:r w:rsidR="00AF71A5">
        <w:t xml:space="preserve"> and</w:t>
      </w:r>
      <w:r w:rsidR="0028179B" w:rsidRPr="00214E53">
        <w:t xml:space="preserve"> reported that DOR still has not paid many vendors </w:t>
      </w:r>
      <w:r w:rsidR="00AF71A5">
        <w:t xml:space="preserve">in accordance with </w:t>
      </w:r>
      <w:r w:rsidR="0028179B" w:rsidRPr="00214E53">
        <w:t xml:space="preserve">the Prompt Payment Act. </w:t>
      </w:r>
      <w:r w:rsidR="00AF71A5">
        <w:t xml:space="preserve">Heber suggested that the SRC receive a future presentation on </w:t>
      </w:r>
      <w:r w:rsidR="0028179B" w:rsidRPr="00214E53">
        <w:t>how DOR will handle obligations under the Prompt Payment Act.</w:t>
      </w:r>
    </w:p>
    <w:p w14:paraId="2E3137B2" w14:textId="77777777" w:rsidR="005F0BE5" w:rsidRPr="00214E53" w:rsidRDefault="005F0BE5" w:rsidP="00214E53"/>
    <w:p w14:paraId="503A368A" w14:textId="5275500B" w:rsidR="0028179B" w:rsidRDefault="0028179B" w:rsidP="00214E53">
      <w:r w:rsidRPr="00214E53">
        <w:t>Yuki Nagasawa</w:t>
      </w:r>
      <w:r w:rsidR="00AF71A5">
        <w:t xml:space="preserve">, SRC Policy Committee </w:t>
      </w:r>
      <w:r w:rsidR="005F0BE5">
        <w:t>Chair</w:t>
      </w:r>
      <w:r w:rsidR="00AF71A5">
        <w:t>,</w:t>
      </w:r>
      <w:r w:rsidRPr="00214E53">
        <w:t xml:space="preserve"> reported that </w:t>
      </w:r>
      <w:r w:rsidR="00AF71A5">
        <w:t xml:space="preserve">DOR Counselors and administrative staff </w:t>
      </w:r>
      <w:r w:rsidRPr="00214E53">
        <w:t xml:space="preserve">do their best to perform </w:t>
      </w:r>
      <w:r w:rsidR="00AF71A5">
        <w:t>v</w:t>
      </w:r>
      <w:r w:rsidRPr="00214E53">
        <w:t xml:space="preserve">erifications of </w:t>
      </w:r>
      <w:r w:rsidR="00AF71A5">
        <w:t>g</w:t>
      </w:r>
      <w:r w:rsidRPr="00214E53">
        <w:t xml:space="preserve">oods and </w:t>
      </w:r>
      <w:r w:rsidR="00AF71A5">
        <w:t>s</w:t>
      </w:r>
      <w:r w:rsidRPr="00214E53">
        <w:t>ervices to pay vendors timely.</w:t>
      </w:r>
    </w:p>
    <w:p w14:paraId="7B611F9A" w14:textId="77777777" w:rsidR="00AF71A5" w:rsidRPr="00214E53" w:rsidRDefault="00AF71A5" w:rsidP="00214E53"/>
    <w:p w14:paraId="73F45B0D" w14:textId="3205D044" w:rsidR="0028179B" w:rsidRDefault="0028179B" w:rsidP="00214E53">
      <w:r w:rsidRPr="00214E53">
        <w:t>Ivan Guillen</w:t>
      </w:r>
      <w:r w:rsidR="00AF71A5">
        <w:t xml:space="preserve">, SRC </w:t>
      </w:r>
      <w:r w:rsidR="005F0BE5">
        <w:t>Policy Committee member</w:t>
      </w:r>
      <w:r w:rsidR="00AF71A5">
        <w:t>,</w:t>
      </w:r>
      <w:r w:rsidRPr="00214E53">
        <w:t xml:space="preserve"> suggested </w:t>
      </w:r>
      <w:r w:rsidR="00AF71A5">
        <w:t>that the SRC recommend that</w:t>
      </w:r>
      <w:r w:rsidRPr="00214E53">
        <w:t xml:space="preserve"> DOR prioritize </w:t>
      </w:r>
      <w:r w:rsidR="00B80B0F" w:rsidRPr="00214E53">
        <w:t xml:space="preserve">paying </w:t>
      </w:r>
      <w:r w:rsidRPr="00214E53">
        <w:t>vendors that it has not paid timely in the event of an OOS.</w:t>
      </w:r>
    </w:p>
    <w:p w14:paraId="5E114D6E" w14:textId="77777777" w:rsidR="00AF71A5" w:rsidRPr="00214E53" w:rsidRDefault="00AF71A5" w:rsidP="00214E53"/>
    <w:p w14:paraId="76026048" w14:textId="40F651B7" w:rsidR="0032466D" w:rsidRPr="00AF71A5" w:rsidRDefault="0032466D" w:rsidP="00214E53">
      <w:pPr>
        <w:rPr>
          <w:b/>
          <w:bCs/>
        </w:rPr>
      </w:pPr>
      <w:r w:rsidRPr="00AF71A5">
        <w:rPr>
          <w:b/>
          <w:bCs/>
        </w:rPr>
        <w:t>Item 6: Adjourn</w:t>
      </w:r>
    </w:p>
    <w:p w14:paraId="6863439E" w14:textId="71D41EEA" w:rsidR="0032466D" w:rsidRDefault="0032466D" w:rsidP="00214E53">
      <w:r w:rsidRPr="00214E53">
        <w:t>Ivan Guillen</w:t>
      </w:r>
      <w:r w:rsidR="005F0BE5">
        <w:t>, SRC Policy Committee member,</w:t>
      </w:r>
      <w:r w:rsidRPr="00214E53">
        <w:t xml:space="preserve"> moved to adjourn</w:t>
      </w:r>
      <w:r w:rsidR="00AF71A5">
        <w:t xml:space="preserve"> the meeting</w:t>
      </w:r>
      <w:r w:rsidRPr="00214E53">
        <w:t xml:space="preserve">. Since no other voting </w:t>
      </w:r>
      <w:r w:rsidR="00AF71A5">
        <w:t xml:space="preserve">SRC </w:t>
      </w:r>
      <w:r w:rsidRPr="00214E53">
        <w:t xml:space="preserve">Policy </w:t>
      </w:r>
      <w:r w:rsidR="00AF71A5">
        <w:t>C</w:t>
      </w:r>
      <w:r w:rsidRPr="00214E53">
        <w:t>ommittee members were present, Shannon Coe, SRC Chair, seconded the motion. The meeting adjourned at 2:47 p.m.</w:t>
      </w:r>
    </w:p>
    <w:p w14:paraId="15B1D459" w14:textId="77777777" w:rsidR="009C092E" w:rsidRDefault="009C092E" w:rsidP="00214E53">
      <w:pPr>
        <w:pBdr>
          <w:bottom w:val="single" w:sz="6" w:space="1" w:color="auto"/>
        </w:pBdr>
      </w:pPr>
    </w:p>
    <w:p w14:paraId="7A6F1C9A" w14:textId="77777777" w:rsidR="005F0BE5" w:rsidRDefault="005F0BE5" w:rsidP="00214E53"/>
    <w:p w14:paraId="510339E3" w14:textId="368DC244" w:rsidR="009C092E" w:rsidRDefault="009C092E" w:rsidP="009C092E">
      <w:pPr>
        <w:pStyle w:val="Heading2"/>
      </w:pPr>
      <w:bookmarkStart w:id="1" w:name="_Appendix_A"/>
      <w:bookmarkEnd w:id="1"/>
      <w:r>
        <w:t>Appendix A</w:t>
      </w:r>
    </w:p>
    <w:p w14:paraId="4D2A075F" w14:textId="62FCEABD" w:rsidR="009C092E" w:rsidRDefault="009C092E" w:rsidP="00214E53">
      <w:r>
        <w:t>April 7, 2026 SRC Policy Committee Meeting</w:t>
      </w:r>
    </w:p>
    <w:p w14:paraId="212B858C" w14:textId="163BEADD" w:rsidR="009C092E" w:rsidRDefault="009C092E" w:rsidP="00214E53">
      <w:r>
        <w:t>OOS Handout</w:t>
      </w:r>
    </w:p>
    <w:p w14:paraId="18D721EE" w14:textId="77777777" w:rsidR="009C092E" w:rsidRDefault="009C092E" w:rsidP="00214E53"/>
    <w:p w14:paraId="68D0CAD1" w14:textId="77777777" w:rsidR="009C092E" w:rsidRPr="005028AD" w:rsidRDefault="009C092E" w:rsidP="009C092E">
      <w:pPr>
        <w:pStyle w:val="Heading1"/>
        <w:rPr>
          <w:rFonts w:eastAsia="Century Gothic"/>
        </w:rPr>
      </w:pPr>
      <w:r>
        <w:rPr>
          <w:rFonts w:eastAsia="Century Gothic"/>
        </w:rPr>
        <w:t xml:space="preserve">What is an Order of Selection? </w:t>
      </w:r>
    </w:p>
    <w:p w14:paraId="2D01AFB5" w14:textId="77777777" w:rsidR="009C092E" w:rsidRPr="00471440" w:rsidRDefault="009C092E" w:rsidP="009C092E">
      <w:pPr>
        <w:rPr>
          <w:rFonts w:eastAsia="Century Gothic"/>
        </w:rPr>
      </w:pPr>
      <w:r>
        <w:rPr>
          <w:rFonts w:eastAsia="Century Gothic"/>
        </w:rPr>
        <w:t>Each year, t</w:t>
      </w:r>
      <w:r w:rsidRPr="00471440">
        <w:rPr>
          <w:rFonts w:eastAsia="Century Gothic"/>
        </w:rPr>
        <w:t xml:space="preserve">he federal government provides California </w:t>
      </w:r>
      <w:r>
        <w:rPr>
          <w:rFonts w:eastAsia="Century Gothic"/>
        </w:rPr>
        <w:t xml:space="preserve">DOR </w:t>
      </w:r>
      <w:r w:rsidRPr="00471440">
        <w:rPr>
          <w:rFonts w:eastAsia="Century Gothic"/>
        </w:rPr>
        <w:t>with a large vocational rehabilitation grant. To receive this funding, California must also contribute state funds. Overall, the federal government provides 78.7% of DOR’s funding, while the State of California provides the remaining 21.3%.</w:t>
      </w:r>
    </w:p>
    <w:p w14:paraId="34BE8F4B" w14:textId="77777777" w:rsidR="009C092E" w:rsidRPr="00A86FD1" w:rsidRDefault="009C092E" w:rsidP="009C092E">
      <w:pPr>
        <w:rPr>
          <w:rFonts w:eastAsia="Century Gothic"/>
        </w:rPr>
      </w:pPr>
    </w:p>
    <w:p w14:paraId="0D8BF03D" w14:textId="77777777" w:rsidR="009C092E" w:rsidRDefault="009C092E" w:rsidP="009C092E">
      <w:pPr>
        <w:rPr>
          <w:rFonts w:eastAsia="Century Gothic"/>
        </w:rPr>
      </w:pPr>
      <w:r w:rsidRPr="00A86FD1">
        <w:rPr>
          <w:rFonts w:eastAsia="Century Gothic"/>
        </w:rPr>
        <w:t xml:space="preserve">DOR uses </w:t>
      </w:r>
      <w:r>
        <w:rPr>
          <w:rFonts w:eastAsia="Century Gothic"/>
        </w:rPr>
        <w:t>this</w:t>
      </w:r>
      <w:r w:rsidRPr="00A86FD1">
        <w:rPr>
          <w:rFonts w:eastAsia="Century Gothic"/>
        </w:rPr>
        <w:t xml:space="preserve"> budget to pay for its staff, services, and programs. </w:t>
      </w:r>
      <w:r>
        <w:rPr>
          <w:rFonts w:eastAsia="Century Gothic"/>
        </w:rPr>
        <w:t>However, if</w:t>
      </w:r>
      <w:r w:rsidRPr="00A86FD1">
        <w:rPr>
          <w:rFonts w:eastAsia="Century Gothic"/>
        </w:rPr>
        <w:t xml:space="preserve"> the demand for vocational rehabilitation</w:t>
      </w:r>
      <w:r>
        <w:rPr>
          <w:rFonts w:eastAsia="Century Gothic"/>
        </w:rPr>
        <w:t xml:space="preserve"> services</w:t>
      </w:r>
      <w:r w:rsidRPr="00A86FD1">
        <w:rPr>
          <w:rFonts w:eastAsia="Century Gothic"/>
        </w:rPr>
        <w:t xml:space="preserve"> is greater than the amount of money or staffing</w:t>
      </w:r>
      <w:r>
        <w:rPr>
          <w:rFonts w:eastAsia="Century Gothic"/>
        </w:rPr>
        <w:t xml:space="preserve"> DOR has</w:t>
      </w:r>
      <w:r w:rsidRPr="00A86FD1">
        <w:rPr>
          <w:rFonts w:eastAsia="Century Gothic"/>
        </w:rPr>
        <w:t xml:space="preserve"> available</w:t>
      </w:r>
      <w:r>
        <w:rPr>
          <w:rFonts w:eastAsia="Century Gothic"/>
        </w:rPr>
        <w:t>,</w:t>
      </w:r>
      <w:r w:rsidRPr="00A86FD1">
        <w:rPr>
          <w:rFonts w:eastAsia="Century Gothic"/>
        </w:rPr>
        <w:t xml:space="preserve"> DOR must create a waiting list to make sure new applicants are served in a fair and organized way. </w:t>
      </w:r>
      <w:r>
        <w:rPr>
          <w:rFonts w:eastAsia="Century Gothic"/>
        </w:rPr>
        <w:t xml:space="preserve">This federally required process is called an </w:t>
      </w:r>
      <w:r w:rsidRPr="00A86FD1">
        <w:rPr>
          <w:rFonts w:eastAsia="Century Gothic"/>
        </w:rPr>
        <w:t>“Order of Selection.”</w:t>
      </w:r>
    </w:p>
    <w:p w14:paraId="4C8C0C48" w14:textId="77777777" w:rsidR="009C092E" w:rsidRPr="00A86FD1" w:rsidRDefault="009C092E" w:rsidP="009C092E">
      <w:pPr>
        <w:rPr>
          <w:rFonts w:eastAsia="Century Gothic"/>
        </w:rPr>
      </w:pPr>
    </w:p>
    <w:p w14:paraId="33C001DF" w14:textId="77777777" w:rsidR="009C092E" w:rsidRPr="00A86FD1" w:rsidRDefault="009C092E" w:rsidP="009C092E">
      <w:pPr>
        <w:rPr>
          <w:rFonts w:eastAsia="Century Gothic"/>
        </w:rPr>
      </w:pPr>
      <w:r>
        <w:rPr>
          <w:rFonts w:eastAsia="Century Gothic"/>
        </w:rPr>
        <w:t xml:space="preserve">When an Order of Selection, or OOS, goes into effect, new applicants for DOR services are placed into one of three priority categories: </w:t>
      </w:r>
    </w:p>
    <w:p w14:paraId="68148813" w14:textId="77777777" w:rsidR="009C092E" w:rsidRDefault="009C092E" w:rsidP="009C092E">
      <w:pPr>
        <w:rPr>
          <w:rFonts w:eastAsia="Century Gothic"/>
        </w:rPr>
      </w:pPr>
    </w:p>
    <w:p w14:paraId="76B5265A" w14:textId="77777777" w:rsidR="009C092E" w:rsidRPr="00470234" w:rsidRDefault="009C092E" w:rsidP="009C092E">
      <w:pPr>
        <w:pStyle w:val="ListParagraph"/>
        <w:numPr>
          <w:ilvl w:val="0"/>
          <w:numId w:val="16"/>
        </w:numPr>
        <w:overflowPunct w:val="0"/>
        <w:autoSpaceDE w:val="0"/>
        <w:autoSpaceDN w:val="0"/>
        <w:adjustRightInd w:val="0"/>
        <w:textAlignment w:val="baseline"/>
        <w:rPr>
          <w:rFonts w:eastAsia="Century Gothic"/>
        </w:rPr>
      </w:pPr>
      <w:r w:rsidRPr="00470234">
        <w:rPr>
          <w:rFonts w:eastAsia="Century Gothic"/>
        </w:rPr>
        <w:t>Priority Category 1: Individuals with the most significant disabilities</w:t>
      </w:r>
    </w:p>
    <w:p w14:paraId="1E8D48A7" w14:textId="77777777" w:rsidR="009C092E" w:rsidRPr="00470234" w:rsidRDefault="009C092E" w:rsidP="009C092E">
      <w:pPr>
        <w:pStyle w:val="ListParagraph"/>
        <w:numPr>
          <w:ilvl w:val="0"/>
          <w:numId w:val="16"/>
        </w:numPr>
        <w:overflowPunct w:val="0"/>
        <w:autoSpaceDE w:val="0"/>
        <w:autoSpaceDN w:val="0"/>
        <w:adjustRightInd w:val="0"/>
        <w:textAlignment w:val="baseline"/>
        <w:rPr>
          <w:rFonts w:eastAsia="Century Gothic"/>
        </w:rPr>
      </w:pPr>
      <w:r w:rsidRPr="00470234">
        <w:rPr>
          <w:rFonts w:eastAsia="Century Gothic"/>
        </w:rPr>
        <w:t>Priority Category 2: Individuals with significant disabilities</w:t>
      </w:r>
    </w:p>
    <w:p w14:paraId="2D28EF2F" w14:textId="77777777" w:rsidR="009C092E" w:rsidRPr="00470234" w:rsidRDefault="009C092E" w:rsidP="009C092E">
      <w:pPr>
        <w:pStyle w:val="ListParagraph"/>
        <w:numPr>
          <w:ilvl w:val="0"/>
          <w:numId w:val="16"/>
        </w:numPr>
        <w:overflowPunct w:val="0"/>
        <w:autoSpaceDE w:val="0"/>
        <w:autoSpaceDN w:val="0"/>
        <w:adjustRightInd w:val="0"/>
        <w:textAlignment w:val="baseline"/>
        <w:rPr>
          <w:rFonts w:eastAsia="Century Gothic"/>
        </w:rPr>
      </w:pPr>
      <w:r w:rsidRPr="00470234">
        <w:rPr>
          <w:rFonts w:eastAsia="Century Gothic"/>
        </w:rPr>
        <w:t>Priority Category 3: Individuals with disabilities</w:t>
      </w:r>
    </w:p>
    <w:p w14:paraId="166CA09D" w14:textId="77777777" w:rsidR="009C092E" w:rsidRDefault="009C092E" w:rsidP="009C092E">
      <w:pPr>
        <w:rPr>
          <w:rFonts w:eastAsia="Century Gothic"/>
        </w:rPr>
      </w:pPr>
    </w:p>
    <w:p w14:paraId="605A65E6" w14:textId="77777777" w:rsidR="009C092E" w:rsidRDefault="009C092E" w:rsidP="009C092E">
      <w:pPr>
        <w:rPr>
          <w:rFonts w:eastAsia="Century Gothic"/>
        </w:rPr>
      </w:pPr>
      <w:r>
        <w:rPr>
          <w:rFonts w:eastAsia="Century Gothic"/>
        </w:rPr>
        <w:t xml:space="preserve">DOR then serves new applicants when there are enough funds and staff. </w:t>
      </w:r>
      <w:r w:rsidRPr="00EB3586">
        <w:rPr>
          <w:rFonts w:eastAsia="Century Gothic"/>
        </w:rPr>
        <w:t xml:space="preserve">DOR must first serve individuals in Priority Category 1, </w:t>
      </w:r>
      <w:r>
        <w:rPr>
          <w:rFonts w:eastAsia="Century Gothic"/>
        </w:rPr>
        <w:t>because they need the</w:t>
      </w:r>
      <w:r w:rsidRPr="00EB3586">
        <w:rPr>
          <w:rFonts w:eastAsia="Century Gothic"/>
        </w:rPr>
        <w:t xml:space="preserve"> highest level of support to achieve their employment goals. Within each category, individuals are served in the order in which they applied.</w:t>
      </w:r>
    </w:p>
    <w:p w14:paraId="0704119C" w14:textId="77777777" w:rsidR="009C092E" w:rsidRDefault="009C092E" w:rsidP="009C092E">
      <w:pPr>
        <w:rPr>
          <w:rFonts w:eastAsia="Century Gothic"/>
        </w:rPr>
      </w:pPr>
    </w:p>
    <w:p w14:paraId="4224341C" w14:textId="77777777" w:rsidR="009C092E" w:rsidRPr="00EB3586" w:rsidRDefault="009C092E" w:rsidP="009C092E">
      <w:pPr>
        <w:rPr>
          <w:rFonts w:eastAsia="Century Gothic"/>
        </w:rPr>
      </w:pPr>
      <w:r>
        <w:rPr>
          <w:rFonts w:eastAsia="Century Gothic"/>
          <w:b/>
          <w:bCs/>
        </w:rPr>
        <w:lastRenderedPageBreak/>
        <w:t xml:space="preserve">NOTE: </w:t>
      </w:r>
      <w:r>
        <w:rPr>
          <w:rFonts w:eastAsia="Century Gothic"/>
        </w:rPr>
        <w:t xml:space="preserve">The following people will not be impacted by an Order of Selection: </w:t>
      </w:r>
    </w:p>
    <w:p w14:paraId="01EFF6FC" w14:textId="77777777" w:rsidR="009C092E" w:rsidRPr="00EB3586" w:rsidRDefault="009C092E" w:rsidP="009C092E">
      <w:pPr>
        <w:pStyle w:val="ListParagraph"/>
        <w:numPr>
          <w:ilvl w:val="0"/>
          <w:numId w:val="15"/>
        </w:numPr>
        <w:overflowPunct w:val="0"/>
        <w:autoSpaceDE w:val="0"/>
        <w:autoSpaceDN w:val="0"/>
        <w:adjustRightInd w:val="0"/>
        <w:textAlignment w:val="baseline"/>
        <w:rPr>
          <w:rFonts w:eastAsia="Century Gothic"/>
        </w:rPr>
      </w:pPr>
      <w:r w:rsidRPr="00EB3586">
        <w:rPr>
          <w:rFonts w:eastAsia="Century Gothic"/>
        </w:rPr>
        <w:t>Individuals who already have an employment plan with DOR will continue to receive services.</w:t>
      </w:r>
    </w:p>
    <w:p w14:paraId="6DE2C8BB" w14:textId="77777777" w:rsidR="009C092E" w:rsidRDefault="009C092E" w:rsidP="009C092E">
      <w:pPr>
        <w:pStyle w:val="ListParagraph"/>
        <w:numPr>
          <w:ilvl w:val="0"/>
          <w:numId w:val="15"/>
        </w:numPr>
        <w:overflowPunct w:val="0"/>
        <w:autoSpaceDE w:val="0"/>
        <w:autoSpaceDN w:val="0"/>
        <w:adjustRightInd w:val="0"/>
        <w:textAlignment w:val="baseline"/>
        <w:rPr>
          <w:rFonts w:eastAsia="Century Gothic"/>
        </w:rPr>
      </w:pPr>
      <w:r>
        <w:rPr>
          <w:rFonts w:eastAsia="Century Gothic"/>
        </w:rPr>
        <w:t xml:space="preserve">Individuals </w:t>
      </w:r>
      <w:r w:rsidRPr="00EB3586">
        <w:rPr>
          <w:rFonts w:eastAsia="Century Gothic"/>
        </w:rPr>
        <w:t xml:space="preserve">with disabilities ages 16–21 receiving </w:t>
      </w:r>
      <w:r>
        <w:rPr>
          <w:rFonts w:eastAsia="Century Gothic"/>
        </w:rPr>
        <w:t>Student S</w:t>
      </w:r>
      <w:r w:rsidRPr="00EB3586">
        <w:rPr>
          <w:rFonts w:eastAsia="Century Gothic"/>
        </w:rPr>
        <w:t>ervices</w:t>
      </w:r>
      <w:r>
        <w:rPr>
          <w:rFonts w:eastAsia="Century Gothic"/>
        </w:rPr>
        <w:t xml:space="preserve"> through DOR funded programs</w:t>
      </w:r>
      <w:r w:rsidRPr="00EB3586">
        <w:rPr>
          <w:rFonts w:eastAsia="Century Gothic"/>
        </w:rPr>
        <w:t xml:space="preserve"> will continue to receive services.</w:t>
      </w:r>
    </w:p>
    <w:p w14:paraId="303BAE11" w14:textId="77777777" w:rsidR="009C092E" w:rsidRPr="00EB3586" w:rsidRDefault="009C092E" w:rsidP="009C092E">
      <w:pPr>
        <w:pStyle w:val="ListParagraph"/>
        <w:rPr>
          <w:rFonts w:eastAsia="Century Gothic"/>
        </w:rPr>
      </w:pPr>
    </w:p>
    <w:p w14:paraId="7C917D97" w14:textId="77777777" w:rsidR="009C092E" w:rsidRDefault="009C092E" w:rsidP="009C092E">
      <w:pPr>
        <w:pStyle w:val="Heading1"/>
        <w:rPr>
          <w:rFonts w:eastAsia="Century Gothic"/>
        </w:rPr>
      </w:pPr>
      <w:r>
        <w:rPr>
          <w:rFonts w:eastAsia="Century Gothic"/>
        </w:rPr>
        <w:t xml:space="preserve">Why is DOR going into an Order of Selection?  </w:t>
      </w:r>
    </w:p>
    <w:p w14:paraId="748C0BA1" w14:textId="77777777" w:rsidR="009C092E" w:rsidRDefault="009C092E" w:rsidP="009C092E">
      <w:pPr>
        <w:rPr>
          <w:rFonts w:eastAsia="Century Gothic"/>
        </w:rPr>
      </w:pPr>
      <w:r w:rsidRPr="00DE39A5">
        <w:rPr>
          <w:rFonts w:eastAsia="Century Gothic"/>
        </w:rPr>
        <w:t xml:space="preserve">DOR is serving more people than ever before. </w:t>
      </w:r>
      <w:r>
        <w:rPr>
          <w:rFonts w:eastAsia="Century Gothic"/>
        </w:rPr>
        <w:t>The table below shows that the number of people receiving vocational rehabilitation services has increased by 76.8% over the past ten years:</w:t>
      </w:r>
    </w:p>
    <w:p w14:paraId="132D356F" w14:textId="77777777" w:rsidR="009C092E" w:rsidRPr="00BD2B1E" w:rsidRDefault="009C092E" w:rsidP="009C092E">
      <w:pPr>
        <w:widowControl w:val="0"/>
        <w:ind w:right="525"/>
        <w:rPr>
          <w:rFonts w:eastAsia="Century Gothic" w:cs="Arial"/>
          <w:szCs w:val="28"/>
        </w:rPr>
      </w:pPr>
    </w:p>
    <w:tbl>
      <w:tblPr>
        <w:tblStyle w:val="TableGrid"/>
        <w:tblW w:w="6498" w:type="dxa"/>
        <w:tblInd w:w="-113" w:type="dxa"/>
        <w:tblLook w:val="04A0" w:firstRow="1" w:lastRow="0" w:firstColumn="1" w:lastColumn="0" w:noHBand="0" w:noVBand="1"/>
      </w:tblPr>
      <w:tblGrid>
        <w:gridCol w:w="2898"/>
        <w:gridCol w:w="3600"/>
      </w:tblGrid>
      <w:tr w:rsidR="009C092E" w:rsidRPr="000C5231" w14:paraId="33461621" w14:textId="77777777" w:rsidTr="00D75FA9">
        <w:trPr>
          <w:trHeight w:val="800"/>
        </w:trPr>
        <w:tc>
          <w:tcPr>
            <w:tcW w:w="2898" w:type="dxa"/>
            <w:shd w:val="clear" w:color="auto" w:fill="D1D1D1" w:themeFill="background2" w:themeFillShade="E6"/>
            <w:vAlign w:val="center"/>
          </w:tcPr>
          <w:p w14:paraId="48679A06" w14:textId="77777777" w:rsidR="009C092E" w:rsidRPr="00AF71A5" w:rsidRDefault="009C092E" w:rsidP="00D75FA9">
            <w:pPr>
              <w:jc w:val="center"/>
              <w:rPr>
                <w:rStyle w:val="68"/>
                <w:rFonts w:eastAsia="Century Gothic" w:cs="Arial"/>
                <w:b w:val="0"/>
                <w:bCs/>
                <w:caps w:val="0"/>
                <w:color w:val="auto"/>
                <w:sz w:val="28"/>
                <w:szCs w:val="28"/>
              </w:rPr>
            </w:pPr>
            <w:r w:rsidRPr="00AF71A5">
              <w:rPr>
                <w:rStyle w:val="68"/>
                <w:rFonts w:eastAsia="Century Gothic" w:cs="Arial"/>
                <w:b w:val="0"/>
                <w:color w:val="auto"/>
                <w:sz w:val="28"/>
                <w:szCs w:val="28"/>
              </w:rPr>
              <w:t>Fiscal Year</w:t>
            </w:r>
          </w:p>
        </w:tc>
        <w:tc>
          <w:tcPr>
            <w:tcW w:w="3600" w:type="dxa"/>
            <w:shd w:val="clear" w:color="auto" w:fill="D1D1D1" w:themeFill="background2" w:themeFillShade="E6"/>
            <w:vAlign w:val="center"/>
          </w:tcPr>
          <w:p w14:paraId="498CA295" w14:textId="77777777" w:rsidR="009C092E" w:rsidRPr="00AF71A5" w:rsidRDefault="009C092E" w:rsidP="00D75FA9">
            <w:pPr>
              <w:jc w:val="center"/>
              <w:rPr>
                <w:rStyle w:val="68"/>
                <w:rFonts w:eastAsia="Century Gothic" w:cs="Arial"/>
                <w:b w:val="0"/>
                <w:bCs/>
                <w:caps w:val="0"/>
                <w:color w:val="auto"/>
                <w:sz w:val="28"/>
                <w:szCs w:val="28"/>
              </w:rPr>
            </w:pPr>
            <w:r w:rsidRPr="00AF71A5">
              <w:rPr>
                <w:rFonts w:eastAsia="Century Gothic"/>
                <w:bCs/>
                <w:szCs w:val="28"/>
              </w:rPr>
              <w:t>Total Number of People Served by DOR</w:t>
            </w:r>
          </w:p>
        </w:tc>
      </w:tr>
      <w:tr w:rsidR="009C092E" w:rsidRPr="000C5231" w14:paraId="2D8459C5" w14:textId="77777777" w:rsidTr="00D75FA9">
        <w:trPr>
          <w:trHeight w:val="350"/>
        </w:trPr>
        <w:tc>
          <w:tcPr>
            <w:tcW w:w="2898" w:type="dxa"/>
            <w:vAlign w:val="center"/>
          </w:tcPr>
          <w:p w14:paraId="22CBCE53"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2016 -17</w:t>
            </w:r>
          </w:p>
        </w:tc>
        <w:tc>
          <w:tcPr>
            <w:tcW w:w="3600" w:type="dxa"/>
            <w:vAlign w:val="center"/>
          </w:tcPr>
          <w:p w14:paraId="7FB713ED"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100,442</w:t>
            </w:r>
          </w:p>
        </w:tc>
      </w:tr>
      <w:tr w:rsidR="009C092E" w:rsidRPr="000C5231" w14:paraId="2493968D" w14:textId="77777777" w:rsidTr="00D75FA9">
        <w:trPr>
          <w:trHeight w:val="287"/>
        </w:trPr>
        <w:tc>
          <w:tcPr>
            <w:tcW w:w="2898" w:type="dxa"/>
            <w:vAlign w:val="center"/>
          </w:tcPr>
          <w:p w14:paraId="497498FB"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2017 -18</w:t>
            </w:r>
          </w:p>
        </w:tc>
        <w:tc>
          <w:tcPr>
            <w:tcW w:w="3600" w:type="dxa"/>
            <w:vAlign w:val="center"/>
          </w:tcPr>
          <w:p w14:paraId="191DBACA"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101,750</w:t>
            </w:r>
          </w:p>
        </w:tc>
      </w:tr>
      <w:tr w:rsidR="009C092E" w:rsidRPr="000C5231" w14:paraId="175FB188" w14:textId="77777777" w:rsidTr="00D75FA9">
        <w:trPr>
          <w:trHeight w:val="377"/>
        </w:trPr>
        <w:tc>
          <w:tcPr>
            <w:tcW w:w="2898" w:type="dxa"/>
            <w:vAlign w:val="center"/>
          </w:tcPr>
          <w:p w14:paraId="4D03576B"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2018 -19</w:t>
            </w:r>
          </w:p>
        </w:tc>
        <w:tc>
          <w:tcPr>
            <w:tcW w:w="3600" w:type="dxa"/>
            <w:vAlign w:val="center"/>
          </w:tcPr>
          <w:p w14:paraId="143D868E"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108,916</w:t>
            </w:r>
          </w:p>
        </w:tc>
      </w:tr>
      <w:tr w:rsidR="009C092E" w:rsidRPr="000C5231" w14:paraId="13FF6FD4" w14:textId="77777777" w:rsidTr="00D75FA9">
        <w:trPr>
          <w:trHeight w:val="350"/>
        </w:trPr>
        <w:tc>
          <w:tcPr>
            <w:tcW w:w="2898" w:type="dxa"/>
            <w:vAlign w:val="center"/>
          </w:tcPr>
          <w:p w14:paraId="4D2A6DDF"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2019 -20</w:t>
            </w:r>
          </w:p>
        </w:tc>
        <w:tc>
          <w:tcPr>
            <w:tcW w:w="3600" w:type="dxa"/>
            <w:vAlign w:val="center"/>
          </w:tcPr>
          <w:p w14:paraId="6FC5D814"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109,845</w:t>
            </w:r>
          </w:p>
        </w:tc>
      </w:tr>
      <w:tr w:rsidR="009C092E" w:rsidRPr="000C5231" w14:paraId="0546C628" w14:textId="77777777" w:rsidTr="00D75FA9">
        <w:trPr>
          <w:trHeight w:val="350"/>
        </w:trPr>
        <w:tc>
          <w:tcPr>
            <w:tcW w:w="2898" w:type="dxa"/>
            <w:vAlign w:val="center"/>
          </w:tcPr>
          <w:p w14:paraId="4971D588"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2020 -21</w:t>
            </w:r>
          </w:p>
        </w:tc>
        <w:tc>
          <w:tcPr>
            <w:tcW w:w="3600" w:type="dxa"/>
            <w:vAlign w:val="center"/>
          </w:tcPr>
          <w:p w14:paraId="2F19A11E"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101,879</w:t>
            </w:r>
          </w:p>
        </w:tc>
      </w:tr>
      <w:tr w:rsidR="009C092E" w:rsidRPr="000C5231" w14:paraId="2050E61E" w14:textId="77777777" w:rsidTr="00D75FA9">
        <w:trPr>
          <w:trHeight w:val="350"/>
        </w:trPr>
        <w:tc>
          <w:tcPr>
            <w:tcW w:w="2898" w:type="dxa"/>
            <w:vAlign w:val="center"/>
          </w:tcPr>
          <w:p w14:paraId="072CA03C"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2021 -22</w:t>
            </w:r>
          </w:p>
        </w:tc>
        <w:tc>
          <w:tcPr>
            <w:tcW w:w="3600" w:type="dxa"/>
            <w:vAlign w:val="center"/>
          </w:tcPr>
          <w:p w14:paraId="560BDE02"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116,584</w:t>
            </w:r>
          </w:p>
        </w:tc>
      </w:tr>
      <w:tr w:rsidR="009C092E" w:rsidRPr="000C5231" w14:paraId="63BC5793" w14:textId="77777777" w:rsidTr="00D75FA9">
        <w:trPr>
          <w:trHeight w:val="350"/>
        </w:trPr>
        <w:tc>
          <w:tcPr>
            <w:tcW w:w="2898" w:type="dxa"/>
            <w:vAlign w:val="center"/>
          </w:tcPr>
          <w:p w14:paraId="5A98DC3F"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2022 -23</w:t>
            </w:r>
          </w:p>
        </w:tc>
        <w:tc>
          <w:tcPr>
            <w:tcW w:w="3600" w:type="dxa"/>
            <w:vAlign w:val="center"/>
          </w:tcPr>
          <w:p w14:paraId="35464470"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134,369</w:t>
            </w:r>
          </w:p>
        </w:tc>
      </w:tr>
      <w:tr w:rsidR="009C092E" w:rsidRPr="000C5231" w14:paraId="3FE5C713" w14:textId="77777777" w:rsidTr="00D75FA9">
        <w:trPr>
          <w:trHeight w:val="350"/>
        </w:trPr>
        <w:tc>
          <w:tcPr>
            <w:tcW w:w="2898" w:type="dxa"/>
            <w:vAlign w:val="center"/>
          </w:tcPr>
          <w:p w14:paraId="4B7888E7"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2023 -24</w:t>
            </w:r>
          </w:p>
        </w:tc>
        <w:tc>
          <w:tcPr>
            <w:tcW w:w="3600" w:type="dxa"/>
            <w:vAlign w:val="center"/>
          </w:tcPr>
          <w:p w14:paraId="6A28F256"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154,547</w:t>
            </w:r>
          </w:p>
        </w:tc>
      </w:tr>
      <w:tr w:rsidR="009C092E" w:rsidRPr="000C5231" w14:paraId="32CAAD98" w14:textId="77777777" w:rsidTr="00D75FA9">
        <w:trPr>
          <w:trHeight w:val="350"/>
        </w:trPr>
        <w:tc>
          <w:tcPr>
            <w:tcW w:w="2898" w:type="dxa"/>
            <w:vAlign w:val="center"/>
          </w:tcPr>
          <w:p w14:paraId="6D130B14"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2024 -25</w:t>
            </w:r>
          </w:p>
        </w:tc>
        <w:tc>
          <w:tcPr>
            <w:tcW w:w="3600" w:type="dxa"/>
            <w:vAlign w:val="center"/>
          </w:tcPr>
          <w:p w14:paraId="0E9CDCAE" w14:textId="77777777" w:rsidR="009C092E" w:rsidRPr="00AF71A5" w:rsidRDefault="009C092E" w:rsidP="00D75FA9">
            <w:pPr>
              <w:jc w:val="center"/>
              <w:rPr>
                <w:rStyle w:val="68"/>
                <w:rFonts w:eastAsia="Century Gothic" w:cs="Arial"/>
                <w:b w:val="0"/>
                <w:caps w:val="0"/>
                <w:color w:val="auto"/>
                <w:sz w:val="28"/>
                <w:szCs w:val="28"/>
              </w:rPr>
            </w:pPr>
            <w:r w:rsidRPr="00AF71A5">
              <w:rPr>
                <w:rStyle w:val="68"/>
                <w:rFonts w:eastAsia="Century Gothic" w:cs="Arial"/>
                <w:b w:val="0"/>
                <w:color w:val="auto"/>
                <w:sz w:val="28"/>
                <w:szCs w:val="28"/>
              </w:rPr>
              <w:t>176,815</w:t>
            </w:r>
          </w:p>
        </w:tc>
      </w:tr>
    </w:tbl>
    <w:p w14:paraId="24726468" w14:textId="5DAD06CF" w:rsidR="009C092E" w:rsidRDefault="009C092E" w:rsidP="009C092E">
      <w:pPr>
        <w:spacing w:before="120"/>
        <w:rPr>
          <w:rFonts w:eastAsia="Century Gothic"/>
        </w:rPr>
      </w:pPr>
      <w:r>
        <w:rPr>
          <w:rFonts w:eastAsia="Century Gothic"/>
        </w:rPr>
        <w:t>DOR is serving more people than ever,</w:t>
      </w:r>
      <w:r w:rsidRPr="001F26C1">
        <w:rPr>
          <w:rFonts w:eastAsia="Century Gothic"/>
        </w:rPr>
        <w:t xml:space="preserve"> </w:t>
      </w:r>
      <w:r>
        <w:rPr>
          <w:rFonts w:eastAsia="Century Gothic"/>
        </w:rPr>
        <w:t>but</w:t>
      </w:r>
      <w:r w:rsidRPr="001F26C1">
        <w:rPr>
          <w:rFonts w:eastAsia="Century Gothic"/>
        </w:rPr>
        <w:t xml:space="preserve"> </w:t>
      </w:r>
      <w:r>
        <w:rPr>
          <w:rFonts w:eastAsia="Century Gothic"/>
        </w:rPr>
        <w:t>the number of DOR counselors has stayed largely the same, about 550 staff, and our base grant of VR funds has only increased from about $303 million in 2017 to about $335 million in 2025</w:t>
      </w:r>
      <w:r w:rsidR="001B724A">
        <w:rPr>
          <w:rFonts w:eastAsia="Century Gothic"/>
        </w:rPr>
        <w:t>.</w:t>
      </w:r>
    </w:p>
    <w:p w14:paraId="5382A87F" w14:textId="77777777" w:rsidR="009C092E" w:rsidRDefault="009C092E" w:rsidP="009C092E">
      <w:pPr>
        <w:widowControl w:val="0"/>
        <w:ind w:right="525"/>
        <w:rPr>
          <w:rFonts w:eastAsia="Century Gothic" w:cs="Arial"/>
          <w:szCs w:val="28"/>
        </w:rPr>
      </w:pPr>
    </w:p>
    <w:p w14:paraId="5686EB40" w14:textId="77777777" w:rsidR="009C092E" w:rsidRDefault="009C092E" w:rsidP="009C092E">
      <w:pPr>
        <w:pStyle w:val="Heading1"/>
        <w:rPr>
          <w:rFonts w:eastAsia="Century Gothic"/>
        </w:rPr>
      </w:pPr>
      <w:r>
        <w:rPr>
          <w:rFonts w:eastAsia="Century Gothic"/>
        </w:rPr>
        <w:t>Looking Ahead</w:t>
      </w:r>
    </w:p>
    <w:p w14:paraId="10FBCB4C" w14:textId="77777777" w:rsidR="009C092E" w:rsidRPr="00E16404" w:rsidRDefault="009C092E" w:rsidP="009C092E">
      <w:pPr>
        <w:widowControl w:val="0"/>
        <w:spacing w:after="120"/>
        <w:ind w:right="525"/>
        <w:rPr>
          <w:rFonts w:eastAsia="Century Gothic"/>
        </w:rPr>
      </w:pPr>
      <w:r w:rsidRPr="001E29F7">
        <w:rPr>
          <w:rFonts w:eastAsia="Century Gothic"/>
        </w:rPr>
        <w:t>In addition to reviewing DOR’s past expenditures and staffing levels, DOR has developed projections to estimate upcoming demand. The table below shows the expected number of people in each priority category and the estimated cost of providing services</w:t>
      </w:r>
      <w:r>
        <w:rPr>
          <w:rFonts w:eastAsia="Century Gothic"/>
        </w:rPr>
        <w:t xml:space="preserve"> in 2026: </w:t>
      </w:r>
    </w:p>
    <w:tbl>
      <w:tblPr>
        <w:tblStyle w:val="TableGrid"/>
        <w:tblW w:w="9810" w:type="dxa"/>
        <w:tblInd w:w="-185" w:type="dxa"/>
        <w:tblLook w:val="04A0" w:firstRow="1" w:lastRow="0" w:firstColumn="1" w:lastColumn="0" w:noHBand="0" w:noVBand="1"/>
      </w:tblPr>
      <w:tblGrid>
        <w:gridCol w:w="3960"/>
        <w:gridCol w:w="3330"/>
        <w:gridCol w:w="2520"/>
      </w:tblGrid>
      <w:tr w:rsidR="009C092E" w:rsidRPr="007D5ED1" w14:paraId="1840009C" w14:textId="77777777" w:rsidTr="00D75FA9">
        <w:trPr>
          <w:trHeight w:val="1232"/>
          <w:tblHeader/>
        </w:trPr>
        <w:tc>
          <w:tcPr>
            <w:tcW w:w="3960" w:type="dxa"/>
            <w:shd w:val="clear" w:color="auto" w:fill="D9D9D9" w:themeFill="background1" w:themeFillShade="D9"/>
            <w:vAlign w:val="center"/>
          </w:tcPr>
          <w:p w14:paraId="26B2DC4E" w14:textId="77777777" w:rsidR="009C092E" w:rsidRDefault="009C092E" w:rsidP="00D75FA9">
            <w:pPr>
              <w:tabs>
                <w:tab w:val="left" w:pos="1490"/>
              </w:tabs>
              <w:contextualSpacing/>
              <w:rPr>
                <w:rFonts w:cs="Arial"/>
                <w:szCs w:val="28"/>
              </w:rPr>
            </w:pPr>
            <w:r w:rsidRPr="000C5231">
              <w:rPr>
                <w:rFonts w:cs="Arial"/>
                <w:szCs w:val="28"/>
              </w:rPr>
              <w:lastRenderedPageBreak/>
              <w:t>Priority Category</w:t>
            </w:r>
          </w:p>
          <w:p w14:paraId="36BA70EE" w14:textId="77777777" w:rsidR="009C092E" w:rsidRDefault="009C092E" w:rsidP="00D75FA9">
            <w:pPr>
              <w:tabs>
                <w:tab w:val="left" w:pos="1490"/>
              </w:tabs>
              <w:contextualSpacing/>
              <w:rPr>
                <w:rFonts w:cs="Arial"/>
                <w:szCs w:val="28"/>
              </w:rPr>
            </w:pPr>
          </w:p>
          <w:p w14:paraId="298B3713" w14:textId="77777777" w:rsidR="009C092E" w:rsidRPr="000C5231" w:rsidRDefault="009C092E" w:rsidP="00D75FA9">
            <w:pPr>
              <w:tabs>
                <w:tab w:val="left" w:pos="1490"/>
              </w:tabs>
              <w:contextualSpacing/>
              <w:rPr>
                <w:rFonts w:cs="Arial"/>
                <w:szCs w:val="28"/>
              </w:rPr>
            </w:pPr>
          </w:p>
        </w:tc>
        <w:tc>
          <w:tcPr>
            <w:tcW w:w="3330" w:type="dxa"/>
            <w:shd w:val="clear" w:color="auto" w:fill="D9D9D9" w:themeFill="background1" w:themeFillShade="D9"/>
            <w:vAlign w:val="center"/>
          </w:tcPr>
          <w:p w14:paraId="5CCC9ADC" w14:textId="77777777" w:rsidR="009C092E" w:rsidRPr="000C5231" w:rsidRDefault="009C092E" w:rsidP="00D75FA9">
            <w:pPr>
              <w:tabs>
                <w:tab w:val="left" w:pos="1490"/>
              </w:tabs>
              <w:contextualSpacing/>
              <w:rPr>
                <w:rFonts w:cs="Arial"/>
                <w:szCs w:val="28"/>
              </w:rPr>
            </w:pPr>
            <w:r>
              <w:rPr>
                <w:rFonts w:cs="Arial"/>
                <w:szCs w:val="28"/>
              </w:rPr>
              <w:t>Estimated Number of People in the Priority Category in 2026</w:t>
            </w:r>
          </w:p>
        </w:tc>
        <w:tc>
          <w:tcPr>
            <w:tcW w:w="2520" w:type="dxa"/>
            <w:shd w:val="clear" w:color="auto" w:fill="D9D9D9" w:themeFill="background1" w:themeFillShade="D9"/>
            <w:vAlign w:val="center"/>
          </w:tcPr>
          <w:p w14:paraId="305DC449" w14:textId="77777777" w:rsidR="009C092E" w:rsidRPr="000C5231" w:rsidRDefault="009C092E" w:rsidP="00D75FA9">
            <w:pPr>
              <w:tabs>
                <w:tab w:val="left" w:pos="1490"/>
              </w:tabs>
              <w:contextualSpacing/>
              <w:rPr>
                <w:rFonts w:cs="Arial"/>
                <w:szCs w:val="28"/>
              </w:rPr>
            </w:pPr>
            <w:r>
              <w:rPr>
                <w:rFonts w:cs="Arial"/>
                <w:szCs w:val="28"/>
              </w:rPr>
              <w:t>Estimated Cost of Providing Services in 2026</w:t>
            </w:r>
          </w:p>
        </w:tc>
      </w:tr>
      <w:tr w:rsidR="009C092E" w:rsidRPr="007D5ED1" w14:paraId="0C4338E1" w14:textId="77777777" w:rsidTr="00D75FA9">
        <w:trPr>
          <w:trHeight w:val="546"/>
        </w:trPr>
        <w:tc>
          <w:tcPr>
            <w:tcW w:w="3960" w:type="dxa"/>
          </w:tcPr>
          <w:p w14:paraId="6A641D36" w14:textId="77777777" w:rsidR="009C092E" w:rsidRPr="009B2FA5" w:rsidRDefault="009C092E" w:rsidP="00D75FA9">
            <w:pPr>
              <w:rPr>
                <w:rFonts w:eastAsia="Century Gothic"/>
              </w:rPr>
            </w:pPr>
            <w:r w:rsidRPr="004F663A">
              <w:rPr>
                <w:rFonts w:eastAsia="Century Gothic"/>
              </w:rPr>
              <w:t xml:space="preserve">Priority Category 1: </w:t>
            </w:r>
            <w:r>
              <w:rPr>
                <w:rFonts w:eastAsia="Century Gothic"/>
              </w:rPr>
              <w:t>M</w:t>
            </w:r>
            <w:r w:rsidRPr="004F663A">
              <w:rPr>
                <w:rFonts w:eastAsia="Century Gothic"/>
              </w:rPr>
              <w:t>ost significant disabilities</w:t>
            </w:r>
          </w:p>
        </w:tc>
        <w:tc>
          <w:tcPr>
            <w:tcW w:w="3330" w:type="dxa"/>
          </w:tcPr>
          <w:p w14:paraId="1DC197D5" w14:textId="77777777" w:rsidR="009C092E" w:rsidRPr="000C5231" w:rsidRDefault="009C092E" w:rsidP="00D75FA9">
            <w:pPr>
              <w:tabs>
                <w:tab w:val="left" w:pos="1490"/>
              </w:tabs>
              <w:contextualSpacing/>
              <w:jc w:val="center"/>
              <w:rPr>
                <w:rFonts w:cs="Arial"/>
                <w:szCs w:val="28"/>
              </w:rPr>
            </w:pPr>
            <w:r w:rsidRPr="000C5231">
              <w:rPr>
                <w:rFonts w:cs="Arial"/>
                <w:szCs w:val="28"/>
              </w:rPr>
              <w:t>34,015</w:t>
            </w:r>
            <w:r>
              <w:rPr>
                <w:rFonts w:cs="Arial"/>
                <w:szCs w:val="28"/>
              </w:rPr>
              <w:t xml:space="preserve"> people</w:t>
            </w:r>
          </w:p>
        </w:tc>
        <w:tc>
          <w:tcPr>
            <w:tcW w:w="2520" w:type="dxa"/>
          </w:tcPr>
          <w:p w14:paraId="26EA797B" w14:textId="77777777" w:rsidR="009C092E" w:rsidRPr="000C5231" w:rsidRDefault="009C092E" w:rsidP="00D75FA9">
            <w:pPr>
              <w:tabs>
                <w:tab w:val="left" w:pos="1490"/>
              </w:tabs>
              <w:contextualSpacing/>
              <w:jc w:val="center"/>
              <w:rPr>
                <w:rFonts w:cs="Arial"/>
                <w:szCs w:val="28"/>
              </w:rPr>
            </w:pPr>
            <w:r w:rsidRPr="000C5231">
              <w:rPr>
                <w:rFonts w:cs="Arial"/>
                <w:szCs w:val="28"/>
              </w:rPr>
              <w:t>$43,943,000</w:t>
            </w:r>
          </w:p>
        </w:tc>
      </w:tr>
      <w:tr w:rsidR="009C092E" w:rsidRPr="007D5ED1" w14:paraId="19C64A5F" w14:textId="77777777" w:rsidTr="00D75FA9">
        <w:trPr>
          <w:trHeight w:val="546"/>
        </w:trPr>
        <w:tc>
          <w:tcPr>
            <w:tcW w:w="3960" w:type="dxa"/>
          </w:tcPr>
          <w:p w14:paraId="09E9D760" w14:textId="77777777" w:rsidR="009C092E" w:rsidRPr="009B2FA5" w:rsidRDefault="009C092E" w:rsidP="00D75FA9">
            <w:pPr>
              <w:rPr>
                <w:rFonts w:eastAsia="Century Gothic"/>
              </w:rPr>
            </w:pPr>
            <w:r w:rsidRPr="004F663A">
              <w:rPr>
                <w:rFonts w:eastAsia="Century Gothic"/>
              </w:rPr>
              <w:t xml:space="preserve">Priority Category 2: </w:t>
            </w:r>
            <w:r>
              <w:rPr>
                <w:rFonts w:eastAsia="Century Gothic"/>
              </w:rPr>
              <w:t>S</w:t>
            </w:r>
            <w:r w:rsidRPr="004F663A">
              <w:rPr>
                <w:rFonts w:eastAsia="Century Gothic"/>
              </w:rPr>
              <w:t>ignificant disabilities</w:t>
            </w:r>
          </w:p>
        </w:tc>
        <w:tc>
          <w:tcPr>
            <w:tcW w:w="3330" w:type="dxa"/>
          </w:tcPr>
          <w:p w14:paraId="6AF823DD" w14:textId="77777777" w:rsidR="009C092E" w:rsidRPr="000C5231" w:rsidRDefault="009C092E" w:rsidP="00D75FA9">
            <w:pPr>
              <w:tabs>
                <w:tab w:val="left" w:pos="1490"/>
              </w:tabs>
              <w:contextualSpacing/>
              <w:jc w:val="center"/>
              <w:rPr>
                <w:rFonts w:cs="Arial"/>
                <w:szCs w:val="28"/>
              </w:rPr>
            </w:pPr>
            <w:r w:rsidRPr="000C5231">
              <w:rPr>
                <w:rFonts w:cs="Arial"/>
                <w:szCs w:val="28"/>
              </w:rPr>
              <w:t>84,321</w:t>
            </w:r>
            <w:r>
              <w:rPr>
                <w:rFonts w:cs="Arial"/>
                <w:szCs w:val="28"/>
              </w:rPr>
              <w:t xml:space="preserve"> people</w:t>
            </w:r>
          </w:p>
        </w:tc>
        <w:tc>
          <w:tcPr>
            <w:tcW w:w="2520" w:type="dxa"/>
          </w:tcPr>
          <w:p w14:paraId="4C84B2A5" w14:textId="77777777" w:rsidR="009C092E" w:rsidRPr="000C5231" w:rsidRDefault="009C092E" w:rsidP="00D75FA9">
            <w:pPr>
              <w:tabs>
                <w:tab w:val="left" w:pos="1490"/>
              </w:tabs>
              <w:contextualSpacing/>
              <w:jc w:val="center"/>
              <w:rPr>
                <w:rFonts w:cs="Arial"/>
                <w:szCs w:val="28"/>
              </w:rPr>
            </w:pPr>
            <w:r w:rsidRPr="000C5231">
              <w:rPr>
                <w:rFonts w:cs="Arial"/>
                <w:szCs w:val="28"/>
              </w:rPr>
              <w:t>$81,400,000</w:t>
            </w:r>
          </w:p>
        </w:tc>
      </w:tr>
      <w:tr w:rsidR="009C092E" w:rsidRPr="007D5ED1" w14:paraId="24958CF9" w14:textId="77777777" w:rsidTr="00D75FA9">
        <w:trPr>
          <w:trHeight w:val="683"/>
        </w:trPr>
        <w:tc>
          <w:tcPr>
            <w:tcW w:w="3960" w:type="dxa"/>
          </w:tcPr>
          <w:p w14:paraId="671FDD99" w14:textId="77777777" w:rsidR="009C092E" w:rsidRPr="003F7280" w:rsidRDefault="009C092E" w:rsidP="00D75FA9">
            <w:pPr>
              <w:rPr>
                <w:rFonts w:eastAsia="Century Gothic"/>
              </w:rPr>
            </w:pPr>
            <w:r w:rsidRPr="00845011">
              <w:rPr>
                <w:rFonts w:eastAsia="Century Gothic"/>
              </w:rPr>
              <w:t>Priority Category 3: Individuals with disabilities</w:t>
            </w:r>
          </w:p>
        </w:tc>
        <w:tc>
          <w:tcPr>
            <w:tcW w:w="3330" w:type="dxa"/>
          </w:tcPr>
          <w:p w14:paraId="4C853489" w14:textId="77777777" w:rsidR="009C092E" w:rsidRPr="000C5231" w:rsidRDefault="009C092E" w:rsidP="00D75FA9">
            <w:pPr>
              <w:tabs>
                <w:tab w:val="left" w:pos="1490"/>
              </w:tabs>
              <w:contextualSpacing/>
              <w:jc w:val="center"/>
              <w:rPr>
                <w:rFonts w:cs="Arial"/>
                <w:szCs w:val="28"/>
              </w:rPr>
            </w:pPr>
            <w:r w:rsidRPr="000C5231">
              <w:rPr>
                <w:rFonts w:cs="Arial"/>
                <w:szCs w:val="28"/>
              </w:rPr>
              <w:t>2,340</w:t>
            </w:r>
            <w:r>
              <w:rPr>
                <w:rFonts w:cs="Arial"/>
                <w:szCs w:val="28"/>
              </w:rPr>
              <w:t xml:space="preserve"> people</w:t>
            </w:r>
          </w:p>
        </w:tc>
        <w:tc>
          <w:tcPr>
            <w:tcW w:w="2520" w:type="dxa"/>
          </w:tcPr>
          <w:p w14:paraId="2D3D5293" w14:textId="77777777" w:rsidR="009C092E" w:rsidRPr="000C5231" w:rsidRDefault="009C092E" w:rsidP="00D75FA9">
            <w:pPr>
              <w:tabs>
                <w:tab w:val="left" w:pos="1490"/>
              </w:tabs>
              <w:contextualSpacing/>
              <w:jc w:val="center"/>
              <w:rPr>
                <w:rFonts w:cs="Arial"/>
                <w:szCs w:val="28"/>
              </w:rPr>
            </w:pPr>
            <w:r w:rsidRPr="000C5231">
              <w:rPr>
                <w:rFonts w:cs="Arial"/>
                <w:szCs w:val="28"/>
              </w:rPr>
              <w:t>$2,179,000</w:t>
            </w:r>
          </w:p>
        </w:tc>
      </w:tr>
    </w:tbl>
    <w:p w14:paraId="184DEF72" w14:textId="77777777" w:rsidR="009C092E" w:rsidRPr="001B6C5A" w:rsidRDefault="009C092E" w:rsidP="009C092E">
      <w:pPr>
        <w:rPr>
          <w:rFonts w:eastAsia="Century Gothic"/>
          <w:sz w:val="20"/>
        </w:rPr>
      </w:pPr>
      <w:r>
        <w:rPr>
          <w:rFonts w:eastAsia="Century Gothic"/>
          <w:sz w:val="20"/>
        </w:rPr>
        <w:t>Note: The numbers in the table above do not include individuals served through Student Services</w:t>
      </w:r>
    </w:p>
    <w:p w14:paraId="00E7AABB" w14:textId="77777777" w:rsidR="009C092E" w:rsidRPr="00116ABA" w:rsidRDefault="009C092E" w:rsidP="009C092E">
      <w:pPr>
        <w:spacing w:before="180"/>
        <w:rPr>
          <w:rFonts w:eastAsia="Century Gothic"/>
        </w:rPr>
      </w:pPr>
      <w:r>
        <w:rPr>
          <w:rFonts w:eastAsia="Century Gothic"/>
        </w:rPr>
        <w:t xml:space="preserve">Implementing OOS will allow DOR to reduce caseload sizes over time, improve quality of services, and increase employment outcomes. OOS will also allow </w:t>
      </w:r>
      <w:r w:rsidRPr="0045219E">
        <w:rPr>
          <w:rFonts w:eastAsia="Century Gothic"/>
        </w:rPr>
        <w:t xml:space="preserve">DOR to prioritize individuals with the most significant disabilities, safeguard services for </w:t>
      </w:r>
      <w:r>
        <w:rPr>
          <w:rFonts w:eastAsia="Century Gothic"/>
        </w:rPr>
        <w:t>students</w:t>
      </w:r>
      <w:r w:rsidRPr="0045219E">
        <w:rPr>
          <w:rFonts w:eastAsia="Century Gothic"/>
        </w:rPr>
        <w:t>, and ensure that limited resources are used in the most equitable and impactful way.</w:t>
      </w:r>
    </w:p>
    <w:p w14:paraId="1F5A5DE5" w14:textId="77777777" w:rsidR="009C092E" w:rsidRPr="00214E53" w:rsidRDefault="009C092E" w:rsidP="00214E53"/>
    <w:sectPr w:rsidR="009C092E" w:rsidRPr="00214E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AEE4" w14:textId="77777777" w:rsidR="00967787" w:rsidRDefault="00967787" w:rsidP="00967787">
      <w:r>
        <w:separator/>
      </w:r>
    </w:p>
  </w:endnote>
  <w:endnote w:type="continuationSeparator" w:id="0">
    <w:p w14:paraId="7075D153" w14:textId="77777777" w:rsidR="00967787" w:rsidRDefault="00967787" w:rsidP="0096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539E" w14:textId="67D2BAE5" w:rsidR="00967787" w:rsidRDefault="00967787">
    <w:pPr>
      <w:pStyle w:val="Footer"/>
      <w:jc w:val="right"/>
    </w:pPr>
    <w:r>
      <w:t xml:space="preserve">Page </w:t>
    </w:r>
    <w:sdt>
      <w:sdtPr>
        <w:id w:val="12409900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6510F9A" w14:textId="0FE19267" w:rsidR="00967787" w:rsidRPr="00967787" w:rsidRDefault="00967787">
    <w:pPr>
      <w:pStyle w:val="Footer"/>
      <w:rPr>
        <w:i/>
        <w:iCs/>
      </w:rPr>
    </w:pPr>
    <w:r w:rsidRPr="00967787">
      <w:rPr>
        <w:i/>
        <w:iCs/>
      </w:rP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EECB" w14:textId="77777777" w:rsidR="00967787" w:rsidRDefault="00967787" w:rsidP="00967787">
      <w:r>
        <w:separator/>
      </w:r>
    </w:p>
  </w:footnote>
  <w:footnote w:type="continuationSeparator" w:id="0">
    <w:p w14:paraId="22FE6D54" w14:textId="77777777" w:rsidR="00967787" w:rsidRDefault="00967787" w:rsidP="0096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649C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A201A"/>
    <w:multiLevelType w:val="multilevel"/>
    <w:tmpl w:val="74B6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76129"/>
    <w:multiLevelType w:val="multilevel"/>
    <w:tmpl w:val="4928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37898"/>
    <w:multiLevelType w:val="multilevel"/>
    <w:tmpl w:val="025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04F14"/>
    <w:multiLevelType w:val="multilevel"/>
    <w:tmpl w:val="130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82161"/>
    <w:multiLevelType w:val="multilevel"/>
    <w:tmpl w:val="5E58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D2E1B"/>
    <w:multiLevelType w:val="hybridMultilevel"/>
    <w:tmpl w:val="F13C1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77C6F"/>
    <w:multiLevelType w:val="multilevel"/>
    <w:tmpl w:val="1FEC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019FD"/>
    <w:multiLevelType w:val="multilevel"/>
    <w:tmpl w:val="518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54FDA"/>
    <w:multiLevelType w:val="hybridMultilevel"/>
    <w:tmpl w:val="4E18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73549"/>
    <w:multiLevelType w:val="hybridMultilevel"/>
    <w:tmpl w:val="C34CE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A55E5"/>
    <w:multiLevelType w:val="hybridMultilevel"/>
    <w:tmpl w:val="0CDA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D04AD"/>
    <w:multiLevelType w:val="hybridMultilevel"/>
    <w:tmpl w:val="2C86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A0AD5"/>
    <w:multiLevelType w:val="multilevel"/>
    <w:tmpl w:val="610C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D6B68"/>
    <w:multiLevelType w:val="hybridMultilevel"/>
    <w:tmpl w:val="A2C26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BB70EE"/>
    <w:multiLevelType w:val="multilevel"/>
    <w:tmpl w:val="627E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831408">
    <w:abstractNumId w:val="13"/>
  </w:num>
  <w:num w:numId="2" w16cid:durableId="1732339808">
    <w:abstractNumId w:val="2"/>
  </w:num>
  <w:num w:numId="3" w16cid:durableId="410539813">
    <w:abstractNumId w:val="4"/>
  </w:num>
  <w:num w:numId="4" w16cid:durableId="1130128872">
    <w:abstractNumId w:val="15"/>
  </w:num>
  <w:num w:numId="5" w16cid:durableId="1821461672">
    <w:abstractNumId w:val="8"/>
  </w:num>
  <w:num w:numId="6" w16cid:durableId="260186577">
    <w:abstractNumId w:val="5"/>
  </w:num>
  <w:num w:numId="7" w16cid:durableId="2099710869">
    <w:abstractNumId w:val="7"/>
  </w:num>
  <w:num w:numId="8" w16cid:durableId="1304966103">
    <w:abstractNumId w:val="1"/>
  </w:num>
  <w:num w:numId="9" w16cid:durableId="733969431">
    <w:abstractNumId w:val="0"/>
  </w:num>
  <w:num w:numId="10" w16cid:durableId="1027676606">
    <w:abstractNumId w:val="12"/>
  </w:num>
  <w:num w:numId="11" w16cid:durableId="1018309924">
    <w:abstractNumId w:val="3"/>
  </w:num>
  <w:num w:numId="12" w16cid:durableId="1305356662">
    <w:abstractNumId w:val="11"/>
  </w:num>
  <w:num w:numId="13" w16cid:durableId="199710967">
    <w:abstractNumId w:val="9"/>
  </w:num>
  <w:num w:numId="14" w16cid:durableId="49114359">
    <w:abstractNumId w:val="14"/>
  </w:num>
  <w:num w:numId="15" w16cid:durableId="518466119">
    <w:abstractNumId w:val="6"/>
  </w:num>
  <w:num w:numId="16" w16cid:durableId="1403990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79"/>
    <w:rsid w:val="00017B3E"/>
    <w:rsid w:val="000423D9"/>
    <w:rsid w:val="000908B1"/>
    <w:rsid w:val="000B213F"/>
    <w:rsid w:val="000C6408"/>
    <w:rsid w:val="00110723"/>
    <w:rsid w:val="00112915"/>
    <w:rsid w:val="00181FFC"/>
    <w:rsid w:val="001863B8"/>
    <w:rsid w:val="00186663"/>
    <w:rsid w:val="001A0473"/>
    <w:rsid w:val="001B724A"/>
    <w:rsid w:val="001F7FD2"/>
    <w:rsid w:val="00214E53"/>
    <w:rsid w:val="00214F60"/>
    <w:rsid w:val="002264D5"/>
    <w:rsid w:val="0028179B"/>
    <w:rsid w:val="00281D4D"/>
    <w:rsid w:val="00281EE2"/>
    <w:rsid w:val="002B1A72"/>
    <w:rsid w:val="002C72BB"/>
    <w:rsid w:val="002E637D"/>
    <w:rsid w:val="00314B29"/>
    <w:rsid w:val="003162D5"/>
    <w:rsid w:val="0032466D"/>
    <w:rsid w:val="003268EF"/>
    <w:rsid w:val="00340BF8"/>
    <w:rsid w:val="003676F5"/>
    <w:rsid w:val="0037462E"/>
    <w:rsid w:val="00385E8D"/>
    <w:rsid w:val="003E3441"/>
    <w:rsid w:val="0043665F"/>
    <w:rsid w:val="00464C92"/>
    <w:rsid w:val="00467360"/>
    <w:rsid w:val="0047766F"/>
    <w:rsid w:val="004D3781"/>
    <w:rsid w:val="004D5EDC"/>
    <w:rsid w:val="004F0275"/>
    <w:rsid w:val="005134DA"/>
    <w:rsid w:val="00516B8F"/>
    <w:rsid w:val="00534593"/>
    <w:rsid w:val="00542F8E"/>
    <w:rsid w:val="005508C0"/>
    <w:rsid w:val="00567B96"/>
    <w:rsid w:val="0057487D"/>
    <w:rsid w:val="005863A8"/>
    <w:rsid w:val="005A28B2"/>
    <w:rsid w:val="005D1F05"/>
    <w:rsid w:val="005F0BE5"/>
    <w:rsid w:val="00605B75"/>
    <w:rsid w:val="0065156D"/>
    <w:rsid w:val="006764AC"/>
    <w:rsid w:val="00683274"/>
    <w:rsid w:val="00696414"/>
    <w:rsid w:val="006C4CB5"/>
    <w:rsid w:val="006F55C5"/>
    <w:rsid w:val="00712C1A"/>
    <w:rsid w:val="00741EEB"/>
    <w:rsid w:val="00746C95"/>
    <w:rsid w:val="00752877"/>
    <w:rsid w:val="007560C8"/>
    <w:rsid w:val="007C640E"/>
    <w:rsid w:val="007D21C8"/>
    <w:rsid w:val="007F4779"/>
    <w:rsid w:val="00820819"/>
    <w:rsid w:val="00862B50"/>
    <w:rsid w:val="00874E68"/>
    <w:rsid w:val="0088280B"/>
    <w:rsid w:val="008B0CB6"/>
    <w:rsid w:val="008D22E4"/>
    <w:rsid w:val="008F1823"/>
    <w:rsid w:val="008F6C91"/>
    <w:rsid w:val="009243B3"/>
    <w:rsid w:val="0093479D"/>
    <w:rsid w:val="00936BEE"/>
    <w:rsid w:val="00936C04"/>
    <w:rsid w:val="009603AD"/>
    <w:rsid w:val="00967787"/>
    <w:rsid w:val="00992785"/>
    <w:rsid w:val="009C092E"/>
    <w:rsid w:val="009D4192"/>
    <w:rsid w:val="009F4CE7"/>
    <w:rsid w:val="00A021B0"/>
    <w:rsid w:val="00A1127A"/>
    <w:rsid w:val="00A5096F"/>
    <w:rsid w:val="00A77D1D"/>
    <w:rsid w:val="00A843BC"/>
    <w:rsid w:val="00A976CB"/>
    <w:rsid w:val="00AA0119"/>
    <w:rsid w:val="00AE121B"/>
    <w:rsid w:val="00AE2825"/>
    <w:rsid w:val="00AF3E73"/>
    <w:rsid w:val="00AF71A5"/>
    <w:rsid w:val="00B558D1"/>
    <w:rsid w:val="00B71879"/>
    <w:rsid w:val="00B723FB"/>
    <w:rsid w:val="00B77BC6"/>
    <w:rsid w:val="00B80B0F"/>
    <w:rsid w:val="00BD052C"/>
    <w:rsid w:val="00BE659C"/>
    <w:rsid w:val="00BF0F78"/>
    <w:rsid w:val="00BF0FF8"/>
    <w:rsid w:val="00C04F8A"/>
    <w:rsid w:val="00C245D7"/>
    <w:rsid w:val="00C256B4"/>
    <w:rsid w:val="00C911C7"/>
    <w:rsid w:val="00CD346D"/>
    <w:rsid w:val="00CF7EBA"/>
    <w:rsid w:val="00D149E9"/>
    <w:rsid w:val="00D34E02"/>
    <w:rsid w:val="00D6593F"/>
    <w:rsid w:val="00D75669"/>
    <w:rsid w:val="00D941E8"/>
    <w:rsid w:val="00D95607"/>
    <w:rsid w:val="00DA357E"/>
    <w:rsid w:val="00DC398D"/>
    <w:rsid w:val="00DE258D"/>
    <w:rsid w:val="00DF7DD6"/>
    <w:rsid w:val="00E04851"/>
    <w:rsid w:val="00E82B6D"/>
    <w:rsid w:val="00E837A6"/>
    <w:rsid w:val="00E846DA"/>
    <w:rsid w:val="00E85EE7"/>
    <w:rsid w:val="00E87421"/>
    <w:rsid w:val="00E87E3B"/>
    <w:rsid w:val="00EA35D1"/>
    <w:rsid w:val="00ED03BD"/>
    <w:rsid w:val="00ED0C2D"/>
    <w:rsid w:val="00EF3727"/>
    <w:rsid w:val="00F17DD6"/>
    <w:rsid w:val="00F3573B"/>
    <w:rsid w:val="00F64ED5"/>
    <w:rsid w:val="00F833B1"/>
    <w:rsid w:val="00F938C1"/>
    <w:rsid w:val="00FD1F2B"/>
    <w:rsid w:val="00FD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0B7A9"/>
  <w15:chartTrackingRefBased/>
  <w15:docId w15:val="{0638C1F9-58FF-4205-90C4-0D14D2D9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53"/>
    <w:pPr>
      <w:spacing w:after="0" w:line="240" w:lineRule="auto"/>
    </w:pPr>
    <w:rPr>
      <w:rFonts w:ascii="Arial" w:hAnsi="Arial"/>
      <w:kern w:val="0"/>
      <w:sz w:val="28"/>
      <w14:ligatures w14:val="none"/>
    </w:rPr>
  </w:style>
  <w:style w:type="paragraph" w:styleId="Heading1">
    <w:name w:val="heading 1"/>
    <w:basedOn w:val="Normal"/>
    <w:next w:val="Normal"/>
    <w:link w:val="Heading1Char"/>
    <w:uiPriority w:val="9"/>
    <w:qFormat/>
    <w:rsid w:val="00E04851"/>
    <w:pPr>
      <w:keepNext/>
      <w:keepLines/>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E04851"/>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04851"/>
    <w:pPr>
      <w:keepNext/>
      <w:keepLines/>
      <w:outlineLvl w:val="2"/>
    </w:pPr>
    <w:rPr>
      <w:rFonts w:eastAsiaTheme="majorEastAsia" w:cstheme="majorBidi"/>
      <w:szCs w:val="24"/>
      <w:u w:val="single"/>
    </w:rPr>
  </w:style>
  <w:style w:type="paragraph" w:styleId="Heading4">
    <w:name w:val="heading 4"/>
    <w:basedOn w:val="Normal"/>
    <w:next w:val="Normal"/>
    <w:link w:val="Heading4Char"/>
    <w:uiPriority w:val="9"/>
    <w:semiHidden/>
    <w:unhideWhenUsed/>
    <w:qFormat/>
    <w:rsid w:val="00B718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18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18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18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18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18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51"/>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E04851"/>
    <w:rPr>
      <w:rFonts w:ascii="Arial" w:eastAsiaTheme="majorEastAsia" w:hAnsi="Arial" w:cstheme="majorBidi"/>
      <w:b/>
      <w:sz w:val="28"/>
      <w:szCs w:val="26"/>
    </w:rPr>
  </w:style>
  <w:style w:type="paragraph" w:styleId="NoSpacing">
    <w:name w:val="No Spacing"/>
    <w:uiPriority w:val="1"/>
    <w:qFormat/>
    <w:rsid w:val="00E04851"/>
    <w:pPr>
      <w:spacing w:before="120" w:after="120"/>
    </w:pPr>
    <w:rPr>
      <w:rFonts w:ascii="Arial" w:hAnsi="Arial"/>
      <w:b/>
      <w:caps/>
      <w:sz w:val="28"/>
    </w:rPr>
  </w:style>
  <w:style w:type="character" w:customStyle="1" w:styleId="Heading3Char">
    <w:name w:val="Heading 3 Char"/>
    <w:basedOn w:val="DefaultParagraphFont"/>
    <w:link w:val="Heading3"/>
    <w:uiPriority w:val="9"/>
    <w:rsid w:val="00E04851"/>
    <w:rPr>
      <w:rFonts w:ascii="Arial" w:eastAsiaTheme="majorEastAsia" w:hAnsi="Arial" w:cstheme="majorBidi"/>
      <w:sz w:val="28"/>
      <w:szCs w:val="24"/>
      <w:u w:val="single"/>
    </w:rPr>
  </w:style>
  <w:style w:type="character" w:customStyle="1" w:styleId="Heading4Char">
    <w:name w:val="Heading 4 Char"/>
    <w:basedOn w:val="DefaultParagraphFont"/>
    <w:link w:val="Heading4"/>
    <w:uiPriority w:val="9"/>
    <w:semiHidden/>
    <w:rsid w:val="00B71879"/>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B71879"/>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B71879"/>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B71879"/>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B71879"/>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B71879"/>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B718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87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7187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187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718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1879"/>
    <w:rPr>
      <w:rFonts w:ascii="Arial" w:hAnsi="Arial"/>
      <w:i/>
      <w:iCs/>
      <w:color w:val="404040" w:themeColor="text1" w:themeTint="BF"/>
      <w:kern w:val="0"/>
      <w:sz w:val="28"/>
      <w14:ligatures w14:val="none"/>
    </w:rPr>
  </w:style>
  <w:style w:type="paragraph" w:styleId="ListParagraph">
    <w:name w:val="List Paragraph"/>
    <w:basedOn w:val="Normal"/>
    <w:uiPriority w:val="34"/>
    <w:qFormat/>
    <w:rsid w:val="00B71879"/>
    <w:pPr>
      <w:ind w:left="720"/>
      <w:contextualSpacing/>
    </w:pPr>
  </w:style>
  <w:style w:type="character" w:styleId="IntenseEmphasis">
    <w:name w:val="Intense Emphasis"/>
    <w:basedOn w:val="DefaultParagraphFont"/>
    <w:uiPriority w:val="21"/>
    <w:qFormat/>
    <w:rsid w:val="00B71879"/>
    <w:rPr>
      <w:i/>
      <w:iCs/>
      <w:color w:val="0F4761" w:themeColor="accent1" w:themeShade="BF"/>
    </w:rPr>
  </w:style>
  <w:style w:type="paragraph" w:styleId="IntenseQuote">
    <w:name w:val="Intense Quote"/>
    <w:basedOn w:val="Normal"/>
    <w:next w:val="Normal"/>
    <w:link w:val="IntenseQuoteChar"/>
    <w:uiPriority w:val="30"/>
    <w:qFormat/>
    <w:rsid w:val="00B71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879"/>
    <w:rPr>
      <w:rFonts w:ascii="Arial" w:hAnsi="Arial"/>
      <w:i/>
      <w:iCs/>
      <w:color w:val="0F4761" w:themeColor="accent1" w:themeShade="BF"/>
      <w:kern w:val="0"/>
      <w:sz w:val="28"/>
      <w14:ligatures w14:val="none"/>
    </w:rPr>
  </w:style>
  <w:style w:type="character" w:styleId="IntenseReference">
    <w:name w:val="Intense Reference"/>
    <w:basedOn w:val="DefaultParagraphFont"/>
    <w:uiPriority w:val="32"/>
    <w:qFormat/>
    <w:rsid w:val="00B71879"/>
    <w:rPr>
      <w:b/>
      <w:bCs/>
      <w:smallCaps/>
      <w:color w:val="0F4761" w:themeColor="accent1" w:themeShade="BF"/>
      <w:spacing w:val="5"/>
    </w:rPr>
  </w:style>
  <w:style w:type="character" w:styleId="Hyperlink">
    <w:name w:val="Hyperlink"/>
    <w:basedOn w:val="DefaultParagraphFont"/>
    <w:uiPriority w:val="99"/>
    <w:unhideWhenUsed/>
    <w:rsid w:val="00B71879"/>
    <w:rPr>
      <w:color w:val="467886" w:themeColor="hyperlink"/>
      <w:u w:val="single"/>
    </w:rPr>
  </w:style>
  <w:style w:type="character" w:styleId="UnresolvedMention">
    <w:name w:val="Unresolved Mention"/>
    <w:basedOn w:val="DefaultParagraphFont"/>
    <w:uiPriority w:val="99"/>
    <w:semiHidden/>
    <w:unhideWhenUsed/>
    <w:rsid w:val="00B71879"/>
    <w:rPr>
      <w:color w:val="605E5C"/>
      <w:shd w:val="clear" w:color="auto" w:fill="E1DFDD"/>
    </w:rPr>
  </w:style>
  <w:style w:type="paragraph" w:styleId="ListBullet">
    <w:name w:val="List Bullet"/>
    <w:basedOn w:val="Normal"/>
    <w:uiPriority w:val="99"/>
    <w:unhideWhenUsed/>
    <w:rsid w:val="00385E8D"/>
    <w:pPr>
      <w:numPr>
        <w:numId w:val="9"/>
      </w:numPr>
      <w:contextualSpacing/>
    </w:pPr>
  </w:style>
  <w:style w:type="paragraph" w:styleId="Header">
    <w:name w:val="header"/>
    <w:basedOn w:val="Normal"/>
    <w:link w:val="HeaderChar"/>
    <w:uiPriority w:val="99"/>
    <w:unhideWhenUsed/>
    <w:rsid w:val="00967787"/>
    <w:pPr>
      <w:tabs>
        <w:tab w:val="center" w:pos="4680"/>
        <w:tab w:val="right" w:pos="9360"/>
      </w:tabs>
    </w:pPr>
  </w:style>
  <w:style w:type="character" w:customStyle="1" w:styleId="HeaderChar">
    <w:name w:val="Header Char"/>
    <w:basedOn w:val="DefaultParagraphFont"/>
    <w:link w:val="Header"/>
    <w:uiPriority w:val="99"/>
    <w:rsid w:val="00967787"/>
    <w:rPr>
      <w:rFonts w:ascii="Arial" w:hAnsi="Arial"/>
      <w:kern w:val="0"/>
      <w:sz w:val="28"/>
      <w14:ligatures w14:val="none"/>
    </w:rPr>
  </w:style>
  <w:style w:type="paragraph" w:styleId="Footer">
    <w:name w:val="footer"/>
    <w:basedOn w:val="Normal"/>
    <w:link w:val="FooterChar"/>
    <w:uiPriority w:val="99"/>
    <w:unhideWhenUsed/>
    <w:rsid w:val="00967787"/>
    <w:pPr>
      <w:tabs>
        <w:tab w:val="center" w:pos="4680"/>
        <w:tab w:val="right" w:pos="9360"/>
      </w:tabs>
    </w:pPr>
  </w:style>
  <w:style w:type="character" w:customStyle="1" w:styleId="FooterChar">
    <w:name w:val="Footer Char"/>
    <w:basedOn w:val="DefaultParagraphFont"/>
    <w:link w:val="Footer"/>
    <w:uiPriority w:val="99"/>
    <w:rsid w:val="00967787"/>
    <w:rPr>
      <w:rFonts w:ascii="Arial" w:hAnsi="Arial"/>
      <w:kern w:val="0"/>
      <w:sz w:val="28"/>
      <w14:ligatures w14:val="none"/>
    </w:rPr>
  </w:style>
  <w:style w:type="character" w:customStyle="1" w:styleId="68">
    <w:name w:val="6/8"/>
    <w:rsid w:val="00967787"/>
    <w:rPr>
      <w:rFonts w:ascii="Arial" w:hAnsi="Arial"/>
      <w:b/>
      <w:caps/>
      <w:color w:val="0000FF"/>
      <w:sz w:val="12"/>
      <w:u w:val="none"/>
      <w:vertAlign w:val="baseline"/>
    </w:rPr>
  </w:style>
  <w:style w:type="table" w:styleId="TableGrid">
    <w:name w:val="Table Grid"/>
    <w:basedOn w:val="TableNormal"/>
    <w:uiPriority w:val="39"/>
    <w:rsid w:val="0096778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90A60-55EE-4152-8AB6-2C7A306C9064}">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61</TotalTime>
  <Pages>6</Pages>
  <Words>1470</Words>
  <Characters>7914</Characters>
  <Application>Microsoft Office Word</Application>
  <DocSecurity>0</DocSecurity>
  <Lines>272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Cushman, Lisa@DOR</dc:creator>
  <cp:keywords/>
  <dc:description/>
  <cp:lastModifiedBy>Bjerke, Kate@DOR</cp:lastModifiedBy>
  <cp:revision>17</cp:revision>
  <dcterms:created xsi:type="dcterms:W3CDTF">2026-04-13T23:06:00Z</dcterms:created>
  <dcterms:modified xsi:type="dcterms:W3CDTF">2026-06-01T18:58:00Z</dcterms:modified>
</cp:coreProperties>
</file>