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E90C" w14:textId="77777777" w:rsidR="00BA0E3F" w:rsidRPr="00BA0E3F" w:rsidRDefault="00BA0E3F" w:rsidP="00BA0E3F">
      <w:pPr>
        <w:rPr>
          <w:b/>
          <w:bCs/>
        </w:rPr>
      </w:pPr>
      <w:r w:rsidRPr="00BA0E3F">
        <w:rPr>
          <w:b/>
          <w:bCs/>
        </w:rPr>
        <w:t>California State Rehabilitation Council</w:t>
      </w:r>
    </w:p>
    <w:p w14:paraId="3BA54A4D" w14:textId="77777777" w:rsidR="00BA0E3F" w:rsidRPr="00BA0E3F" w:rsidRDefault="00BA0E3F" w:rsidP="00BA0E3F">
      <w:pPr>
        <w:rPr>
          <w:b/>
          <w:bCs/>
        </w:rPr>
      </w:pPr>
      <w:r w:rsidRPr="00BA0E3F">
        <w:rPr>
          <w:b/>
          <w:bCs/>
        </w:rPr>
        <w:t>Adopt</w:t>
      </w:r>
      <w:r w:rsidRPr="00BA0E3F">
        <w:rPr>
          <w:b/>
          <w:bCs/>
        </w:rPr>
        <w:noBreakHyphen/>
        <w:t>A</w:t>
      </w:r>
      <w:r w:rsidRPr="00BA0E3F">
        <w:rPr>
          <w:b/>
          <w:bCs/>
        </w:rPr>
        <w:noBreakHyphen/>
        <w:t>Region Program Report</w:t>
      </w:r>
    </w:p>
    <w:p w14:paraId="4F2036C0" w14:textId="77777777" w:rsidR="00BA0E3F" w:rsidRPr="00BA0E3F" w:rsidRDefault="00BA0E3F" w:rsidP="00BA0E3F">
      <w:pPr>
        <w:rPr>
          <w:b/>
          <w:bCs/>
        </w:rPr>
      </w:pPr>
      <w:r w:rsidRPr="00BA0E3F">
        <w:rPr>
          <w:b/>
          <w:bCs/>
        </w:rPr>
        <w:t>Central Coast District – Initial Introduction Meeting Summary</w:t>
      </w:r>
    </w:p>
    <w:p w14:paraId="21E1483B" w14:textId="77777777" w:rsidR="00BA0E3F" w:rsidRPr="00BA0E3F" w:rsidRDefault="00BA0E3F" w:rsidP="00BA0E3F">
      <w:pPr>
        <w:rPr>
          <w:b/>
          <w:bCs/>
        </w:rPr>
      </w:pPr>
      <w:r w:rsidRPr="00BA0E3F">
        <w:rPr>
          <w:b/>
          <w:bCs/>
        </w:rPr>
        <w:t>Prepared by: Shellena Heber, SRC Member</w:t>
      </w:r>
    </w:p>
    <w:p w14:paraId="5A9CC929" w14:textId="77777777" w:rsidR="00BA0E3F" w:rsidRPr="00BA0E3F" w:rsidRDefault="00F02BA0" w:rsidP="00BA0E3F">
      <w:r>
        <w:pict w14:anchorId="2CC25D82">
          <v:rect id="_x0000_i1025" style="width:0;height:1.5pt" o:hralign="center" o:hrstd="t" o:hr="t" fillcolor="#a0a0a0" stroked="f"/>
        </w:pict>
      </w:r>
    </w:p>
    <w:p w14:paraId="4BDE1FE8" w14:textId="77777777" w:rsidR="00BA0E3F" w:rsidRPr="00BA0E3F" w:rsidRDefault="00BA0E3F" w:rsidP="00BA0E3F">
      <w:pPr>
        <w:rPr>
          <w:b/>
          <w:bCs/>
        </w:rPr>
      </w:pPr>
      <w:r w:rsidRPr="00BA0E3F">
        <w:rPr>
          <w:b/>
          <w:bCs/>
        </w:rPr>
        <w:t>Overview</w:t>
      </w:r>
    </w:p>
    <w:p w14:paraId="237AE458" w14:textId="77777777" w:rsidR="00BA0E3F" w:rsidRPr="00BA0E3F" w:rsidRDefault="00BA0E3F" w:rsidP="00BA0E3F">
      <w:r w:rsidRPr="00BA0E3F">
        <w:t>As part of the SRC Adopt</w:t>
      </w:r>
      <w:r w:rsidRPr="00BA0E3F">
        <w:noBreakHyphen/>
        <w:t>A</w:t>
      </w:r>
      <w:r w:rsidRPr="00BA0E3F">
        <w:noBreakHyphen/>
        <w:t>Region program, I conducted an initial introductory meeting with leadership from the Department of Rehabilitation (DOR) Central Coast District. This meeting served as an orientation to the district’s structure, current operations, strengths, challenges, and emerging opportunities.</w:t>
      </w:r>
    </w:p>
    <w:p w14:paraId="3C96CE60" w14:textId="77777777" w:rsidR="00BA0E3F" w:rsidRPr="00BA0E3F" w:rsidRDefault="00BA0E3F" w:rsidP="00BA0E3F">
      <w:r w:rsidRPr="00BA0E3F">
        <w:t>Participants included:</w:t>
      </w:r>
    </w:p>
    <w:p w14:paraId="0077FA84" w14:textId="5111C41B" w:rsidR="00BA0E3F" w:rsidRPr="00BA0E3F" w:rsidRDefault="00BA0E3F" w:rsidP="00BA0E3F">
      <w:pPr>
        <w:numPr>
          <w:ilvl w:val="0"/>
          <w:numId w:val="1"/>
        </w:numPr>
      </w:pPr>
      <w:r w:rsidRPr="00BA0E3F">
        <w:rPr>
          <w:b/>
          <w:bCs/>
        </w:rPr>
        <w:t>Justin McIntire</w:t>
      </w:r>
      <w:r w:rsidRPr="00BA0E3F">
        <w:t xml:space="preserve">, </w:t>
      </w:r>
      <w:r w:rsidR="00E526FB">
        <w:t>District Administrator,</w:t>
      </w:r>
      <w:r w:rsidRPr="00BA0E3F">
        <w:t xml:space="preserve"> </w:t>
      </w:r>
      <w:r w:rsidR="00F02BA0">
        <w:t xml:space="preserve">with </w:t>
      </w:r>
      <w:r w:rsidRPr="00BA0E3F">
        <w:t>more than two decades of experience supporting individuals with intellectual and developmental disabilities (IDD).</w:t>
      </w:r>
    </w:p>
    <w:p w14:paraId="15D251ED" w14:textId="7D8B19EA" w:rsidR="00BA0E3F" w:rsidRPr="00BA0E3F" w:rsidRDefault="00BA0E3F" w:rsidP="00BA0E3F">
      <w:pPr>
        <w:numPr>
          <w:ilvl w:val="0"/>
          <w:numId w:val="1"/>
        </w:numPr>
      </w:pPr>
      <w:r w:rsidRPr="00BA0E3F">
        <w:rPr>
          <w:b/>
          <w:bCs/>
        </w:rPr>
        <w:t>Jonathan De Jesus</w:t>
      </w:r>
      <w:r w:rsidRPr="00BA0E3F">
        <w:t>, Team Manager for the Ventura unit</w:t>
      </w:r>
      <w:r w:rsidR="00E526FB">
        <w:t xml:space="preserve">. </w:t>
      </w:r>
      <w:r w:rsidRPr="00BA0E3F">
        <w:t>Jonathan has been with DOR for 10 years, beginning as a consumer before completing his degree and progressing through roles with Goodwill, Welfare</w:t>
      </w:r>
      <w:r w:rsidRPr="00BA0E3F">
        <w:noBreakHyphen/>
        <w:t>to</w:t>
      </w:r>
      <w:r w:rsidRPr="00BA0E3F">
        <w:noBreakHyphen/>
        <w:t>Work, and ultimately DOR.</w:t>
      </w:r>
    </w:p>
    <w:p w14:paraId="409DBEE0" w14:textId="77777777" w:rsidR="00BA0E3F" w:rsidRPr="00BA0E3F" w:rsidRDefault="00F02BA0" w:rsidP="00BA0E3F">
      <w:r>
        <w:pict w14:anchorId="378A09C3">
          <v:rect id="_x0000_i1026" style="width:0;height:1.5pt" o:hralign="center" o:hrstd="t" o:hr="t" fillcolor="#a0a0a0" stroked="f"/>
        </w:pict>
      </w:r>
    </w:p>
    <w:p w14:paraId="7EB06B2E" w14:textId="77777777" w:rsidR="00BA0E3F" w:rsidRPr="00BA0E3F" w:rsidRDefault="00BA0E3F" w:rsidP="00BA0E3F">
      <w:pPr>
        <w:rPr>
          <w:b/>
          <w:bCs/>
        </w:rPr>
      </w:pPr>
      <w:r w:rsidRPr="00BA0E3F">
        <w:rPr>
          <w:b/>
          <w:bCs/>
        </w:rPr>
        <w:t>District Structure and Coverage</w:t>
      </w:r>
    </w:p>
    <w:p w14:paraId="510CB71A" w14:textId="77777777" w:rsidR="00BA0E3F" w:rsidRPr="00BA0E3F" w:rsidRDefault="00BA0E3F" w:rsidP="00BA0E3F">
      <w:r w:rsidRPr="00BA0E3F">
        <w:t>The Central Coast District evolved from the former Santa Barbara District following a statewide redistricting process. It now covers:</w:t>
      </w:r>
    </w:p>
    <w:p w14:paraId="6FD92FCB" w14:textId="77777777" w:rsidR="00BA0E3F" w:rsidRPr="00BA0E3F" w:rsidRDefault="00BA0E3F" w:rsidP="00BA0E3F">
      <w:pPr>
        <w:numPr>
          <w:ilvl w:val="0"/>
          <w:numId w:val="2"/>
        </w:numPr>
      </w:pPr>
      <w:r w:rsidRPr="00BA0E3F">
        <w:rPr>
          <w:b/>
          <w:bCs/>
        </w:rPr>
        <w:t>San Luis Obispo County (SLO)</w:t>
      </w:r>
    </w:p>
    <w:p w14:paraId="7A0B664B" w14:textId="77777777" w:rsidR="00BA0E3F" w:rsidRPr="00BA0E3F" w:rsidRDefault="00BA0E3F" w:rsidP="00BA0E3F">
      <w:pPr>
        <w:numPr>
          <w:ilvl w:val="0"/>
          <w:numId w:val="2"/>
        </w:numPr>
      </w:pPr>
      <w:r w:rsidRPr="00BA0E3F">
        <w:rPr>
          <w:b/>
          <w:bCs/>
        </w:rPr>
        <w:t>Monterey County</w:t>
      </w:r>
    </w:p>
    <w:p w14:paraId="22604CA6" w14:textId="77777777" w:rsidR="00BA0E3F" w:rsidRPr="00BA0E3F" w:rsidRDefault="00BA0E3F" w:rsidP="00BA0E3F">
      <w:pPr>
        <w:numPr>
          <w:ilvl w:val="0"/>
          <w:numId w:val="2"/>
        </w:numPr>
      </w:pPr>
      <w:r w:rsidRPr="00BA0E3F">
        <w:rPr>
          <w:b/>
          <w:bCs/>
        </w:rPr>
        <w:t>Ventura County</w:t>
      </w:r>
    </w:p>
    <w:p w14:paraId="63694A74" w14:textId="77777777" w:rsidR="00BA0E3F" w:rsidRPr="00BA0E3F" w:rsidRDefault="00BA0E3F" w:rsidP="00BA0E3F">
      <w:pPr>
        <w:numPr>
          <w:ilvl w:val="0"/>
          <w:numId w:val="2"/>
        </w:numPr>
      </w:pPr>
      <w:r w:rsidRPr="00BA0E3F">
        <w:rPr>
          <w:b/>
          <w:bCs/>
        </w:rPr>
        <w:t>Santa Barbara County</w:t>
      </w:r>
    </w:p>
    <w:p w14:paraId="595A2F49" w14:textId="77777777" w:rsidR="00BA0E3F" w:rsidRPr="00BA0E3F" w:rsidRDefault="00BA0E3F" w:rsidP="00BA0E3F">
      <w:r w:rsidRPr="00BA0E3F">
        <w:t>Office locations include:</w:t>
      </w:r>
    </w:p>
    <w:p w14:paraId="73D4F9FA" w14:textId="77777777" w:rsidR="00BA0E3F" w:rsidRPr="00BA0E3F" w:rsidRDefault="00BA0E3F" w:rsidP="00BA0E3F">
      <w:pPr>
        <w:numPr>
          <w:ilvl w:val="0"/>
          <w:numId w:val="3"/>
        </w:numPr>
      </w:pPr>
      <w:r w:rsidRPr="00BA0E3F">
        <w:t>Oxnard</w:t>
      </w:r>
    </w:p>
    <w:p w14:paraId="4C86F2B1" w14:textId="77777777" w:rsidR="00BA0E3F" w:rsidRPr="00BA0E3F" w:rsidRDefault="00BA0E3F" w:rsidP="00BA0E3F">
      <w:pPr>
        <w:numPr>
          <w:ilvl w:val="0"/>
          <w:numId w:val="3"/>
        </w:numPr>
      </w:pPr>
      <w:r w:rsidRPr="00BA0E3F">
        <w:t>Thousand Oaks</w:t>
      </w:r>
    </w:p>
    <w:p w14:paraId="70194857" w14:textId="77777777" w:rsidR="00BA0E3F" w:rsidRPr="00BA0E3F" w:rsidRDefault="00BA0E3F" w:rsidP="00BA0E3F">
      <w:pPr>
        <w:numPr>
          <w:ilvl w:val="0"/>
          <w:numId w:val="3"/>
        </w:numPr>
      </w:pPr>
      <w:r w:rsidRPr="00BA0E3F">
        <w:t>Santa Barbara (primary district base)</w:t>
      </w:r>
    </w:p>
    <w:p w14:paraId="14F91BDB" w14:textId="77777777" w:rsidR="00BA0E3F" w:rsidRPr="00BA0E3F" w:rsidRDefault="00BA0E3F" w:rsidP="00BA0E3F">
      <w:pPr>
        <w:numPr>
          <w:ilvl w:val="0"/>
          <w:numId w:val="3"/>
        </w:numPr>
      </w:pPr>
      <w:r w:rsidRPr="00BA0E3F">
        <w:lastRenderedPageBreak/>
        <w:t>Santa Maria</w:t>
      </w:r>
    </w:p>
    <w:p w14:paraId="33AE69EA" w14:textId="77777777" w:rsidR="00BA0E3F" w:rsidRPr="00BA0E3F" w:rsidRDefault="00BA0E3F" w:rsidP="00BA0E3F">
      <w:pPr>
        <w:numPr>
          <w:ilvl w:val="0"/>
          <w:numId w:val="3"/>
        </w:numPr>
      </w:pPr>
      <w:r w:rsidRPr="00BA0E3F">
        <w:t>Salinas</w:t>
      </w:r>
    </w:p>
    <w:p w14:paraId="4522092E" w14:textId="77777777" w:rsidR="00BA0E3F" w:rsidRPr="00BA0E3F" w:rsidRDefault="00BA0E3F" w:rsidP="00BA0E3F">
      <w:pPr>
        <w:numPr>
          <w:ilvl w:val="0"/>
          <w:numId w:val="3"/>
        </w:numPr>
      </w:pPr>
      <w:r w:rsidRPr="00BA0E3F">
        <w:t>San Luis Obispo</w:t>
      </w:r>
    </w:p>
    <w:p w14:paraId="45C6F504" w14:textId="77777777" w:rsidR="00BA0E3F" w:rsidRPr="00BA0E3F" w:rsidRDefault="00BA0E3F" w:rsidP="00BA0E3F">
      <w:r w:rsidRPr="00BA0E3F">
        <w:t>The district covers a wide geographic area with both medium</w:t>
      </w:r>
      <w:r w:rsidRPr="00BA0E3F">
        <w:noBreakHyphen/>
        <w:t>sized population centers and remote rural communities such as Cuyama and Santa Ynez. Despite distance barriers, the district emphasized its strong commitment to serving all eligible consumers, including students and youth in outlying areas.</w:t>
      </w:r>
    </w:p>
    <w:p w14:paraId="7CB262FB" w14:textId="77777777" w:rsidR="00BA0E3F" w:rsidRPr="00BA0E3F" w:rsidRDefault="00F02BA0" w:rsidP="00BA0E3F">
      <w:r>
        <w:pict w14:anchorId="45A546E5">
          <v:rect id="_x0000_i1027" style="width:0;height:1.5pt" o:hralign="center" o:hrstd="t" o:hr="t" fillcolor="#a0a0a0" stroked="f"/>
        </w:pict>
      </w:r>
    </w:p>
    <w:p w14:paraId="628C30CA" w14:textId="77777777" w:rsidR="00BA0E3F" w:rsidRPr="00BA0E3F" w:rsidRDefault="00BA0E3F" w:rsidP="00BA0E3F">
      <w:pPr>
        <w:rPr>
          <w:b/>
          <w:bCs/>
        </w:rPr>
      </w:pPr>
      <w:r w:rsidRPr="00BA0E3F">
        <w:rPr>
          <w:b/>
          <w:bCs/>
        </w:rPr>
        <w:t>Service Delivery and Community Partnerships</w:t>
      </w:r>
    </w:p>
    <w:p w14:paraId="3738AE18" w14:textId="77777777" w:rsidR="00BA0E3F" w:rsidRPr="00BA0E3F" w:rsidRDefault="00BA0E3F" w:rsidP="00BA0E3F">
      <w:r w:rsidRPr="00BA0E3F">
        <w:t>A central theme throughout the meeting was the district’s reliance on—and success with—local partnerships.</w:t>
      </w:r>
    </w:p>
    <w:p w14:paraId="147B9A19" w14:textId="77777777" w:rsidR="00BA0E3F" w:rsidRPr="00BA0E3F" w:rsidRDefault="00BA0E3F" w:rsidP="00BA0E3F">
      <w:pPr>
        <w:rPr>
          <w:b/>
          <w:bCs/>
        </w:rPr>
      </w:pPr>
      <w:r w:rsidRPr="00BA0E3F">
        <w:rPr>
          <w:b/>
          <w:bCs/>
        </w:rPr>
        <w:t>Key Partnerships</w:t>
      </w:r>
    </w:p>
    <w:p w14:paraId="64D38094" w14:textId="77777777" w:rsidR="00BA0E3F" w:rsidRPr="00BA0E3F" w:rsidRDefault="00BA0E3F" w:rsidP="00BA0E3F">
      <w:pPr>
        <w:numPr>
          <w:ilvl w:val="0"/>
          <w:numId w:val="4"/>
        </w:numPr>
      </w:pPr>
      <w:r w:rsidRPr="00BA0E3F">
        <w:rPr>
          <w:b/>
          <w:bCs/>
        </w:rPr>
        <w:t>Goodwill Industries</w:t>
      </w:r>
      <w:r w:rsidRPr="00BA0E3F">
        <w:t xml:space="preserve"> </w:t>
      </w:r>
    </w:p>
    <w:p w14:paraId="20F8A341" w14:textId="77777777" w:rsidR="00BA0E3F" w:rsidRPr="00BA0E3F" w:rsidRDefault="00BA0E3F" w:rsidP="00BA0E3F">
      <w:pPr>
        <w:numPr>
          <w:ilvl w:val="1"/>
          <w:numId w:val="4"/>
        </w:numPr>
      </w:pPr>
      <w:r w:rsidRPr="00BA0E3F">
        <w:t>Supports Pre</w:t>
      </w:r>
      <w:r w:rsidRPr="00BA0E3F">
        <w:noBreakHyphen/>
        <w:t>ETS through STEP contracts.</w:t>
      </w:r>
    </w:p>
    <w:p w14:paraId="7D9BC741" w14:textId="77777777" w:rsidR="00BA0E3F" w:rsidRPr="00BA0E3F" w:rsidRDefault="00BA0E3F" w:rsidP="00BA0E3F">
      <w:pPr>
        <w:numPr>
          <w:ilvl w:val="1"/>
          <w:numId w:val="4"/>
        </w:numPr>
      </w:pPr>
      <w:r w:rsidRPr="00BA0E3F">
        <w:t>Operates mobile vans to provide services at schools in remote communities.</w:t>
      </w:r>
    </w:p>
    <w:p w14:paraId="5C38163A" w14:textId="77777777" w:rsidR="00BA0E3F" w:rsidRPr="00BA0E3F" w:rsidRDefault="00BA0E3F" w:rsidP="00BA0E3F">
      <w:pPr>
        <w:numPr>
          <w:ilvl w:val="0"/>
          <w:numId w:val="4"/>
        </w:numPr>
      </w:pPr>
      <w:r w:rsidRPr="00BA0E3F">
        <w:rPr>
          <w:b/>
          <w:bCs/>
        </w:rPr>
        <w:t>AJCCs (America’s Job Centers of California)</w:t>
      </w:r>
      <w:r w:rsidRPr="00BA0E3F">
        <w:t xml:space="preserve"> </w:t>
      </w:r>
    </w:p>
    <w:p w14:paraId="6EB99498" w14:textId="77777777" w:rsidR="00BA0E3F" w:rsidRPr="00BA0E3F" w:rsidRDefault="00BA0E3F" w:rsidP="00BA0E3F">
      <w:pPr>
        <w:numPr>
          <w:ilvl w:val="1"/>
          <w:numId w:val="4"/>
        </w:numPr>
      </w:pPr>
      <w:r w:rsidRPr="00BA0E3F">
        <w:t>Strong co</w:t>
      </w:r>
      <w:r w:rsidRPr="00BA0E3F">
        <w:noBreakHyphen/>
        <w:t>enrollment relationships.</w:t>
      </w:r>
    </w:p>
    <w:p w14:paraId="60869024" w14:textId="77777777" w:rsidR="00BA0E3F" w:rsidRPr="00BA0E3F" w:rsidRDefault="00BA0E3F" w:rsidP="00BA0E3F">
      <w:pPr>
        <w:numPr>
          <w:ilvl w:val="1"/>
          <w:numId w:val="4"/>
        </w:numPr>
      </w:pPr>
      <w:r w:rsidRPr="00BA0E3F">
        <w:t>Collaborative focus on paid work experience opportunities.</w:t>
      </w:r>
    </w:p>
    <w:p w14:paraId="255497E9" w14:textId="77777777" w:rsidR="00BA0E3F" w:rsidRPr="00BA0E3F" w:rsidRDefault="00BA0E3F" w:rsidP="00BA0E3F">
      <w:pPr>
        <w:numPr>
          <w:ilvl w:val="0"/>
          <w:numId w:val="4"/>
        </w:numPr>
      </w:pPr>
      <w:r w:rsidRPr="00BA0E3F">
        <w:rPr>
          <w:b/>
          <w:bCs/>
        </w:rPr>
        <w:t>County Behavioral Health Departments</w:t>
      </w:r>
      <w:r w:rsidRPr="00BA0E3F">
        <w:t xml:space="preserve"> </w:t>
      </w:r>
    </w:p>
    <w:p w14:paraId="39548F86" w14:textId="77777777" w:rsidR="00BA0E3F" w:rsidRPr="00BA0E3F" w:rsidRDefault="00BA0E3F" w:rsidP="00BA0E3F">
      <w:pPr>
        <w:numPr>
          <w:ilvl w:val="1"/>
          <w:numId w:val="4"/>
        </w:numPr>
      </w:pPr>
      <w:r w:rsidRPr="00BA0E3F">
        <w:t>Mental health contracts with SLO and Santa Barbara Counties.</w:t>
      </w:r>
    </w:p>
    <w:p w14:paraId="7C12E543" w14:textId="77777777" w:rsidR="00BA0E3F" w:rsidRPr="00BA0E3F" w:rsidRDefault="00BA0E3F" w:rsidP="00BA0E3F">
      <w:pPr>
        <w:numPr>
          <w:ilvl w:val="0"/>
          <w:numId w:val="4"/>
        </w:numPr>
      </w:pPr>
      <w:r w:rsidRPr="00BA0E3F">
        <w:rPr>
          <w:b/>
          <w:bCs/>
        </w:rPr>
        <w:t>Santa Barbara County TPP Providers</w:t>
      </w:r>
      <w:r w:rsidRPr="00BA0E3F">
        <w:t xml:space="preserve"> </w:t>
      </w:r>
    </w:p>
    <w:p w14:paraId="7BF23685" w14:textId="77777777" w:rsidR="00BA0E3F" w:rsidRPr="00BA0E3F" w:rsidRDefault="00BA0E3F" w:rsidP="00BA0E3F">
      <w:pPr>
        <w:numPr>
          <w:ilvl w:val="1"/>
          <w:numId w:val="4"/>
        </w:numPr>
      </w:pPr>
      <w:r w:rsidRPr="00BA0E3F">
        <w:t>Assist in job placement for individuals with mental health needs.</w:t>
      </w:r>
    </w:p>
    <w:p w14:paraId="16227DD6" w14:textId="77777777" w:rsidR="00BA0E3F" w:rsidRPr="00BA0E3F" w:rsidRDefault="00BA0E3F" w:rsidP="00BA0E3F">
      <w:r w:rsidRPr="00BA0E3F">
        <w:t>These partnerships have been particularly valuable in expanding access where staffing or travel limitations could otherwise make service delivery difficult.</w:t>
      </w:r>
    </w:p>
    <w:p w14:paraId="44423569" w14:textId="77777777" w:rsidR="00BA0E3F" w:rsidRPr="00BA0E3F" w:rsidRDefault="00F02BA0" w:rsidP="00BA0E3F">
      <w:r>
        <w:pict w14:anchorId="709D9CD9">
          <v:rect id="_x0000_i1028" style="width:0;height:1.5pt" o:hralign="center" o:hrstd="t" o:hr="t" fillcolor="#a0a0a0" stroked="f"/>
        </w:pict>
      </w:r>
    </w:p>
    <w:p w14:paraId="3B07DF9A" w14:textId="77777777" w:rsidR="00BA0E3F" w:rsidRPr="00BA0E3F" w:rsidRDefault="00BA0E3F" w:rsidP="00BA0E3F">
      <w:pPr>
        <w:rPr>
          <w:b/>
          <w:bCs/>
        </w:rPr>
      </w:pPr>
      <w:r w:rsidRPr="00BA0E3F">
        <w:rPr>
          <w:b/>
          <w:bCs/>
        </w:rPr>
        <w:t>What Is Working Well</w:t>
      </w:r>
    </w:p>
    <w:p w14:paraId="3819E459" w14:textId="77777777" w:rsidR="00BA0E3F" w:rsidRPr="00BA0E3F" w:rsidRDefault="00BA0E3F" w:rsidP="00BA0E3F">
      <w:r w:rsidRPr="00BA0E3F">
        <w:t>Stakeholders highlighted several strengths within the Central Coast District:</w:t>
      </w:r>
    </w:p>
    <w:p w14:paraId="5459F629" w14:textId="77777777" w:rsidR="00BA0E3F" w:rsidRPr="00BA0E3F" w:rsidRDefault="00BA0E3F" w:rsidP="00BA0E3F">
      <w:pPr>
        <w:numPr>
          <w:ilvl w:val="0"/>
          <w:numId w:val="5"/>
        </w:numPr>
      </w:pPr>
      <w:r w:rsidRPr="00BA0E3F">
        <w:rPr>
          <w:b/>
          <w:bCs/>
        </w:rPr>
        <w:lastRenderedPageBreak/>
        <w:t>Consistent Employment Outcomes</w:t>
      </w:r>
      <w:r w:rsidRPr="00BA0E3F">
        <w:br/>
        <w:t>The district has maintained strong performance in assisting consumers to achieve employment.</w:t>
      </w:r>
    </w:p>
    <w:p w14:paraId="1A4555D8" w14:textId="77777777" w:rsidR="00BA0E3F" w:rsidRPr="00BA0E3F" w:rsidRDefault="00BA0E3F" w:rsidP="00BA0E3F">
      <w:pPr>
        <w:numPr>
          <w:ilvl w:val="0"/>
          <w:numId w:val="5"/>
        </w:numPr>
      </w:pPr>
      <w:r w:rsidRPr="00BA0E3F">
        <w:rPr>
          <w:b/>
          <w:bCs/>
        </w:rPr>
        <w:t>Minimal Staffing Vacancies</w:t>
      </w:r>
      <w:r w:rsidRPr="00BA0E3F">
        <w:br/>
        <w:t>Compared to other regions, the district retains more stable staffing levels, although vacancies still present challenges.</w:t>
      </w:r>
    </w:p>
    <w:p w14:paraId="70FAF5DD" w14:textId="77777777" w:rsidR="00BA0E3F" w:rsidRPr="00BA0E3F" w:rsidRDefault="00BA0E3F" w:rsidP="00BA0E3F">
      <w:pPr>
        <w:numPr>
          <w:ilvl w:val="0"/>
          <w:numId w:val="5"/>
        </w:numPr>
      </w:pPr>
      <w:r w:rsidRPr="00BA0E3F">
        <w:rPr>
          <w:b/>
          <w:bCs/>
        </w:rPr>
        <w:t>Effective Partnerships</w:t>
      </w:r>
      <w:r w:rsidRPr="00BA0E3F">
        <w:br/>
        <w:t>Local AJCCs, vendors, county agencies, and nonprofit partners significantly enhance service capacity.</w:t>
      </w:r>
    </w:p>
    <w:p w14:paraId="198218B2" w14:textId="199D4107" w:rsidR="00BA0E3F" w:rsidRPr="00BA0E3F" w:rsidRDefault="00BA0E3F" w:rsidP="00BA0E3F">
      <w:pPr>
        <w:numPr>
          <w:ilvl w:val="0"/>
          <w:numId w:val="5"/>
        </w:numPr>
      </w:pPr>
      <w:r w:rsidRPr="00BA0E3F">
        <w:rPr>
          <w:b/>
          <w:bCs/>
        </w:rPr>
        <w:t>Innovative Outreach Approaches</w:t>
      </w:r>
      <w:r w:rsidRPr="00BA0E3F">
        <w:br/>
      </w:r>
      <w:r>
        <w:t>District partners</w:t>
      </w:r>
      <w:r w:rsidRPr="00BA0E3F">
        <w:t xml:space="preserve"> recently purchased an RV to convert into a mobile unit, improving access to hard</w:t>
      </w:r>
      <w:r w:rsidRPr="00BA0E3F">
        <w:noBreakHyphen/>
        <w:t>to</w:t>
      </w:r>
      <w:r w:rsidRPr="00BA0E3F">
        <w:noBreakHyphen/>
        <w:t>reach communities.</w:t>
      </w:r>
    </w:p>
    <w:p w14:paraId="2EFA221B" w14:textId="77777777" w:rsidR="00BA0E3F" w:rsidRPr="00BA0E3F" w:rsidRDefault="00F02BA0" w:rsidP="00BA0E3F">
      <w:r>
        <w:pict w14:anchorId="699732FB">
          <v:rect id="_x0000_i1029" style="width:0;height:1.5pt" o:hralign="center" o:hrstd="t" o:hr="t" fillcolor="#a0a0a0" stroked="f"/>
        </w:pict>
      </w:r>
    </w:p>
    <w:p w14:paraId="4CFB3D8D" w14:textId="77777777" w:rsidR="00BA0E3F" w:rsidRPr="00BA0E3F" w:rsidRDefault="00BA0E3F" w:rsidP="00BA0E3F">
      <w:pPr>
        <w:rPr>
          <w:b/>
          <w:bCs/>
        </w:rPr>
      </w:pPr>
      <w:r w:rsidRPr="00BA0E3F">
        <w:rPr>
          <w:b/>
          <w:bCs/>
        </w:rPr>
        <w:t>Challenges Identified</w:t>
      </w:r>
    </w:p>
    <w:p w14:paraId="5D751899" w14:textId="77777777" w:rsidR="00BA0E3F" w:rsidRPr="00BA0E3F" w:rsidRDefault="00BA0E3F" w:rsidP="00BA0E3F">
      <w:r w:rsidRPr="00BA0E3F">
        <w:t>While the district is performing well overall, leadership identified several notable challenges:</w:t>
      </w:r>
    </w:p>
    <w:p w14:paraId="703D7F45" w14:textId="77777777" w:rsidR="00BA0E3F" w:rsidRPr="00BA0E3F" w:rsidRDefault="00BA0E3F" w:rsidP="00BA0E3F">
      <w:pPr>
        <w:rPr>
          <w:b/>
          <w:bCs/>
        </w:rPr>
      </w:pPr>
      <w:r w:rsidRPr="00BA0E3F">
        <w:rPr>
          <w:b/>
          <w:bCs/>
        </w:rPr>
        <w:t>1. Staffing Vacancies in Key Roles</w:t>
      </w:r>
    </w:p>
    <w:p w14:paraId="0248642B" w14:textId="77777777" w:rsidR="00BA0E3F" w:rsidRPr="00BA0E3F" w:rsidRDefault="00BA0E3F" w:rsidP="00BA0E3F">
      <w:pPr>
        <w:numPr>
          <w:ilvl w:val="0"/>
          <w:numId w:val="6"/>
        </w:numPr>
      </w:pPr>
      <w:r w:rsidRPr="00BA0E3F">
        <w:t>Open counselor positions remain difficult to fill — a statewide issue.</w:t>
      </w:r>
    </w:p>
    <w:p w14:paraId="2E3780E4" w14:textId="77777777" w:rsidR="00BA0E3F" w:rsidRPr="00BA0E3F" w:rsidRDefault="00BA0E3F" w:rsidP="00BA0E3F">
      <w:pPr>
        <w:numPr>
          <w:ilvl w:val="0"/>
          <w:numId w:val="6"/>
        </w:numPr>
      </w:pPr>
      <w:r w:rsidRPr="00BA0E3F">
        <w:t>Graduate student assistants (primarily from educational counseling programs) provide temporary support but do not typically remain long</w:t>
      </w:r>
      <w:r w:rsidRPr="00BA0E3F">
        <w:noBreakHyphen/>
        <w:t>term.</w:t>
      </w:r>
    </w:p>
    <w:p w14:paraId="2258784F" w14:textId="77777777" w:rsidR="00BA0E3F" w:rsidRPr="00BA0E3F" w:rsidRDefault="00BA0E3F" w:rsidP="00BA0E3F">
      <w:pPr>
        <w:numPr>
          <w:ilvl w:val="0"/>
          <w:numId w:val="6"/>
        </w:numPr>
      </w:pPr>
      <w:r w:rsidRPr="00BA0E3F">
        <w:t>Hiring for administrative support (e.g., the DAS team) in Santa Barbara is difficult due to lower salaries combined with high cost of living. Some positions have had to be relocated to recruitable areas.</w:t>
      </w:r>
    </w:p>
    <w:p w14:paraId="370C3223" w14:textId="77777777" w:rsidR="00BA0E3F" w:rsidRPr="00BA0E3F" w:rsidRDefault="00BA0E3F" w:rsidP="00BA0E3F">
      <w:pPr>
        <w:rPr>
          <w:b/>
          <w:bCs/>
        </w:rPr>
      </w:pPr>
      <w:r w:rsidRPr="00BA0E3F">
        <w:rPr>
          <w:b/>
          <w:bCs/>
        </w:rPr>
        <w:t>2. Vendor Limitations in Certain Areas</w:t>
      </w:r>
    </w:p>
    <w:p w14:paraId="69EC2E79" w14:textId="77777777" w:rsidR="00BA0E3F" w:rsidRPr="00BA0E3F" w:rsidRDefault="00BA0E3F" w:rsidP="00BA0E3F">
      <w:pPr>
        <w:numPr>
          <w:ilvl w:val="0"/>
          <w:numId w:val="7"/>
        </w:numPr>
      </w:pPr>
      <w:r w:rsidRPr="00BA0E3F">
        <w:t>Thousand Oaks (TO) was specifically mentioned as having limited vendor engagement, attributed in part to cost</w:t>
      </w:r>
      <w:r w:rsidRPr="00BA0E3F">
        <w:noBreakHyphen/>
        <w:t>of</w:t>
      </w:r>
      <w:r w:rsidRPr="00BA0E3F">
        <w:noBreakHyphen/>
        <w:t>living barriers.</w:t>
      </w:r>
    </w:p>
    <w:p w14:paraId="24BFB5EB" w14:textId="2A314E15" w:rsidR="00BA0E3F" w:rsidRPr="00BA0E3F" w:rsidRDefault="00BA0E3F" w:rsidP="00BA0E3F">
      <w:pPr>
        <w:numPr>
          <w:ilvl w:val="0"/>
          <w:numId w:val="7"/>
        </w:numPr>
      </w:pPr>
      <w:r w:rsidRPr="00BA0E3F">
        <w:t>The district is continuing outreach in hopes of increasing vendor participation</w:t>
      </w:r>
      <w:r>
        <w:t xml:space="preserve"> in this area</w:t>
      </w:r>
      <w:r w:rsidRPr="00BA0E3F">
        <w:t>.</w:t>
      </w:r>
    </w:p>
    <w:p w14:paraId="69B2C9AB" w14:textId="77777777" w:rsidR="00BA0E3F" w:rsidRPr="00BA0E3F" w:rsidRDefault="00BA0E3F" w:rsidP="00BA0E3F">
      <w:pPr>
        <w:rPr>
          <w:b/>
          <w:bCs/>
        </w:rPr>
      </w:pPr>
      <w:r w:rsidRPr="00BA0E3F">
        <w:rPr>
          <w:b/>
          <w:bCs/>
        </w:rPr>
        <w:t>3. Cost of Living and Local Job Market Mismatch</w:t>
      </w:r>
    </w:p>
    <w:p w14:paraId="0AEF8209" w14:textId="77777777" w:rsidR="00BA0E3F" w:rsidRPr="00BA0E3F" w:rsidRDefault="00BA0E3F" w:rsidP="00BA0E3F">
      <w:pPr>
        <w:numPr>
          <w:ilvl w:val="0"/>
          <w:numId w:val="8"/>
        </w:numPr>
      </w:pPr>
      <w:r w:rsidRPr="00BA0E3F">
        <w:t>Consumers face challenges living and working in regions where wages do not align with housing costs.</w:t>
      </w:r>
    </w:p>
    <w:p w14:paraId="215C4FBD" w14:textId="77777777" w:rsidR="00BA0E3F" w:rsidRPr="00BA0E3F" w:rsidRDefault="00BA0E3F" w:rsidP="00BA0E3F">
      <w:pPr>
        <w:numPr>
          <w:ilvl w:val="0"/>
          <w:numId w:val="8"/>
        </w:numPr>
      </w:pPr>
      <w:r w:rsidRPr="00BA0E3F">
        <w:lastRenderedPageBreak/>
        <w:t>This mismatch also affects the district’s ability to hire staff.</w:t>
      </w:r>
    </w:p>
    <w:p w14:paraId="6D6BCF89" w14:textId="77777777" w:rsidR="00BA0E3F" w:rsidRPr="00BA0E3F" w:rsidRDefault="00F02BA0" w:rsidP="00BA0E3F">
      <w:r>
        <w:pict w14:anchorId="688BB4A7">
          <v:rect id="_x0000_i1030" style="width:0;height:1.5pt" o:hralign="center" o:hrstd="t" o:hr="t" fillcolor="#a0a0a0" stroked="f"/>
        </w:pict>
      </w:r>
    </w:p>
    <w:p w14:paraId="5C05BEB8" w14:textId="77777777" w:rsidR="00BA0E3F" w:rsidRPr="00BA0E3F" w:rsidRDefault="00BA0E3F" w:rsidP="00BA0E3F">
      <w:pPr>
        <w:rPr>
          <w:b/>
          <w:bCs/>
        </w:rPr>
      </w:pPr>
      <w:r w:rsidRPr="00BA0E3F">
        <w:rPr>
          <w:b/>
          <w:bCs/>
        </w:rPr>
        <w:t>Success Stories and Recent Initiatives</w:t>
      </w:r>
    </w:p>
    <w:p w14:paraId="63726DBC" w14:textId="77777777" w:rsidR="00BA0E3F" w:rsidRPr="00BA0E3F" w:rsidRDefault="00BA0E3F" w:rsidP="00BA0E3F">
      <w:pPr>
        <w:rPr>
          <w:b/>
          <w:bCs/>
        </w:rPr>
      </w:pPr>
      <w:r w:rsidRPr="00BA0E3F">
        <w:rPr>
          <w:b/>
          <w:bCs/>
        </w:rPr>
        <w:t>Ventura Training Center Collaboration</w:t>
      </w:r>
    </w:p>
    <w:p w14:paraId="37E8BDC8" w14:textId="77777777" w:rsidR="00BA0E3F" w:rsidRPr="00BA0E3F" w:rsidRDefault="00BA0E3F" w:rsidP="00BA0E3F">
      <w:r w:rsidRPr="00BA0E3F">
        <w:t>A major district success has been partnership with the Ventura Training Center to support justice</w:t>
      </w:r>
      <w:r w:rsidRPr="00BA0E3F">
        <w:noBreakHyphen/>
        <w:t>involved individuals transitioning from incarceration.</w:t>
      </w:r>
    </w:p>
    <w:p w14:paraId="76C57E7D" w14:textId="373C16D8" w:rsidR="00BA0E3F" w:rsidRPr="00BA0E3F" w:rsidRDefault="00BA0E3F" w:rsidP="00BA0E3F">
      <w:pPr>
        <w:numPr>
          <w:ilvl w:val="0"/>
          <w:numId w:val="9"/>
        </w:numPr>
      </w:pPr>
      <w:r w:rsidRPr="00BA0E3F">
        <w:t xml:space="preserve">Participants receive firefighter training </w:t>
      </w:r>
      <w:r>
        <w:t>through this co-enrollment program</w:t>
      </w:r>
      <w:r w:rsidRPr="00BA0E3F">
        <w:t>.</w:t>
      </w:r>
    </w:p>
    <w:p w14:paraId="119283A4" w14:textId="77777777" w:rsidR="00BA0E3F" w:rsidRPr="00BA0E3F" w:rsidRDefault="00BA0E3F" w:rsidP="00BA0E3F">
      <w:pPr>
        <w:numPr>
          <w:ilvl w:val="0"/>
          <w:numId w:val="9"/>
        </w:numPr>
      </w:pPr>
      <w:r w:rsidRPr="00BA0E3F">
        <w:t>DOR provides assistance such as uniforms, equipment, and support for post</w:t>
      </w:r>
      <w:r w:rsidRPr="00BA0E3F">
        <w:noBreakHyphen/>
        <w:t>release job readiness.</w:t>
      </w:r>
    </w:p>
    <w:p w14:paraId="3CD0D25E" w14:textId="77777777" w:rsidR="00BA0E3F" w:rsidRPr="00BA0E3F" w:rsidRDefault="00BA0E3F" w:rsidP="00BA0E3F">
      <w:pPr>
        <w:numPr>
          <w:ilvl w:val="0"/>
          <w:numId w:val="9"/>
        </w:numPr>
      </w:pPr>
      <w:r w:rsidRPr="00BA0E3F">
        <w:t xml:space="preserve">More than </w:t>
      </w:r>
      <w:r w:rsidRPr="00BA0E3F">
        <w:rPr>
          <w:b/>
          <w:bCs/>
        </w:rPr>
        <w:t>100 individuals</w:t>
      </w:r>
      <w:r w:rsidRPr="00BA0E3F">
        <w:t xml:space="preserve"> have secured employment with organizations including CalFire, municipal fire agencies, private wildfire response companies, and agencies in Nevada and Arizona.</w:t>
      </w:r>
    </w:p>
    <w:p w14:paraId="322324EF" w14:textId="77777777" w:rsidR="00BA0E3F" w:rsidRPr="00BA0E3F" w:rsidRDefault="00BA0E3F" w:rsidP="00BA0E3F">
      <w:pPr>
        <w:numPr>
          <w:ilvl w:val="0"/>
          <w:numId w:val="9"/>
        </w:numPr>
      </w:pPr>
      <w:r w:rsidRPr="00BA0E3F">
        <w:t>The initiative has expanded to additional locations, including the Bay Area, Calabasas, and Santa Rosa.</w:t>
      </w:r>
    </w:p>
    <w:p w14:paraId="094CB4ED" w14:textId="77777777" w:rsidR="00BA0E3F" w:rsidRPr="00BA0E3F" w:rsidRDefault="00BA0E3F" w:rsidP="00BA0E3F">
      <w:r w:rsidRPr="00BA0E3F">
        <w:t>This has been a highly impactful placement pathway and a model the district is proud of.</w:t>
      </w:r>
    </w:p>
    <w:p w14:paraId="6AFF0A8F" w14:textId="77777777" w:rsidR="00BA0E3F" w:rsidRPr="00BA0E3F" w:rsidRDefault="00F02BA0" w:rsidP="00BA0E3F">
      <w:r>
        <w:pict w14:anchorId="529E52F8">
          <v:rect id="_x0000_i1031" style="width:0;height:1.5pt" o:hralign="center" o:hrstd="t" o:hr="t" fillcolor="#a0a0a0" stroked="f"/>
        </w:pict>
      </w:r>
    </w:p>
    <w:p w14:paraId="5544FF84" w14:textId="77777777" w:rsidR="00BA0E3F" w:rsidRPr="00BA0E3F" w:rsidRDefault="00BA0E3F" w:rsidP="00BA0E3F">
      <w:pPr>
        <w:rPr>
          <w:b/>
          <w:bCs/>
        </w:rPr>
      </w:pPr>
      <w:r w:rsidRPr="00BA0E3F">
        <w:rPr>
          <w:b/>
          <w:bCs/>
        </w:rPr>
        <w:t>Opportunities for the Coming Year</w:t>
      </w:r>
    </w:p>
    <w:p w14:paraId="530B56A0" w14:textId="77777777" w:rsidR="00BA0E3F" w:rsidRPr="00BA0E3F" w:rsidRDefault="00BA0E3F" w:rsidP="00BA0E3F">
      <w:r w:rsidRPr="00BA0E3F">
        <w:t>Leadership identified several focus areas for 2026:</w:t>
      </w:r>
    </w:p>
    <w:p w14:paraId="750712A3" w14:textId="77777777" w:rsidR="00BA0E3F" w:rsidRPr="00BA0E3F" w:rsidRDefault="00BA0E3F" w:rsidP="00BA0E3F">
      <w:pPr>
        <w:numPr>
          <w:ilvl w:val="0"/>
          <w:numId w:val="10"/>
        </w:numPr>
      </w:pPr>
      <w:r w:rsidRPr="00BA0E3F">
        <w:rPr>
          <w:b/>
          <w:bCs/>
        </w:rPr>
        <w:t>Focused Effort on Existing Caseload Employment Outcomes</w:t>
      </w:r>
      <w:r w:rsidRPr="00BA0E3F">
        <w:br/>
        <w:t>Intentional efforts to move current consumers toward employment.</w:t>
      </w:r>
    </w:p>
    <w:p w14:paraId="0B67BBE7" w14:textId="6C815842" w:rsidR="00BA0E3F" w:rsidRPr="00BA0E3F" w:rsidRDefault="00BA0E3F" w:rsidP="00BA0E3F">
      <w:pPr>
        <w:numPr>
          <w:ilvl w:val="0"/>
          <w:numId w:val="10"/>
        </w:numPr>
      </w:pPr>
      <w:r w:rsidRPr="00BA0E3F">
        <w:rPr>
          <w:b/>
          <w:bCs/>
        </w:rPr>
        <w:t>Strengthening Co</w:t>
      </w:r>
      <w:r w:rsidRPr="00BA0E3F">
        <w:rPr>
          <w:b/>
          <w:bCs/>
        </w:rPr>
        <w:noBreakHyphen/>
        <w:t>Enrollment with AJCCs</w:t>
      </w:r>
      <w:r w:rsidRPr="00BA0E3F">
        <w:br/>
        <w:t>Continued coordination for work experience, including paid work opportunities</w:t>
      </w:r>
      <w:r>
        <w:t xml:space="preserve">. As the local AJC has received a grant for providing paid work experiences, </w:t>
      </w:r>
      <w:r w:rsidRPr="00BA0E3F">
        <w:t xml:space="preserve">the district aims to expand employment </w:t>
      </w:r>
      <w:r>
        <w:t xml:space="preserve">work experience </w:t>
      </w:r>
      <w:r w:rsidRPr="00BA0E3F">
        <w:t xml:space="preserve">placements </w:t>
      </w:r>
      <w:r>
        <w:t>through the co-enrollment model</w:t>
      </w:r>
      <w:r w:rsidRPr="00BA0E3F">
        <w:t>(</w:t>
      </w:r>
      <w:r>
        <w:t xml:space="preserve"> </w:t>
      </w:r>
      <w:r w:rsidRPr="00BA0E3F">
        <w:t xml:space="preserve">noted estimate: 120–130 placements </w:t>
      </w:r>
      <w:r>
        <w:t>available in this area)</w:t>
      </w:r>
      <w:r w:rsidRPr="00BA0E3F">
        <w:t>.</w:t>
      </w:r>
    </w:p>
    <w:p w14:paraId="25A03F1F" w14:textId="77777777" w:rsidR="00BA0E3F" w:rsidRPr="00BA0E3F" w:rsidRDefault="00F02BA0" w:rsidP="00BA0E3F">
      <w:r>
        <w:pict w14:anchorId="1EE1C7F1">
          <v:rect id="_x0000_i1032" style="width:0;height:1.5pt" o:hralign="center" o:hrstd="t" o:hr="t" fillcolor="#a0a0a0" stroked="f"/>
        </w:pict>
      </w:r>
    </w:p>
    <w:p w14:paraId="0FA25691" w14:textId="77777777" w:rsidR="00BA0E3F" w:rsidRPr="00BA0E3F" w:rsidRDefault="00BA0E3F" w:rsidP="00BA0E3F">
      <w:pPr>
        <w:rPr>
          <w:b/>
          <w:bCs/>
        </w:rPr>
      </w:pPr>
      <w:r w:rsidRPr="00BA0E3F">
        <w:rPr>
          <w:b/>
          <w:bCs/>
        </w:rPr>
        <w:t>Top Policy Concerns</w:t>
      </w:r>
    </w:p>
    <w:p w14:paraId="61DFA508" w14:textId="77777777" w:rsidR="00BA0E3F" w:rsidRPr="00BA0E3F" w:rsidRDefault="00BA0E3F" w:rsidP="00BA0E3F">
      <w:r w:rsidRPr="00BA0E3F">
        <w:t xml:space="preserve">The primary policy issue on the district’s radar is the anticipated implementation of </w:t>
      </w:r>
      <w:r w:rsidRPr="00BA0E3F">
        <w:rPr>
          <w:b/>
          <w:bCs/>
        </w:rPr>
        <w:t>Order of Selection (OOS)</w:t>
      </w:r>
      <w:r w:rsidRPr="00BA0E3F">
        <w:t>.</w:t>
      </w:r>
    </w:p>
    <w:p w14:paraId="5BCB1220" w14:textId="77777777" w:rsidR="00BA0E3F" w:rsidRPr="00BA0E3F" w:rsidRDefault="00BA0E3F" w:rsidP="00BA0E3F">
      <w:pPr>
        <w:numPr>
          <w:ilvl w:val="0"/>
          <w:numId w:val="11"/>
        </w:numPr>
      </w:pPr>
      <w:r w:rsidRPr="00BA0E3F">
        <w:lastRenderedPageBreak/>
        <w:t xml:space="preserve">Staff expressed interest in clarity around </w:t>
      </w:r>
      <w:r w:rsidRPr="00BA0E3F">
        <w:rPr>
          <w:b/>
          <w:bCs/>
        </w:rPr>
        <w:t>when</w:t>
      </w:r>
      <w:r w:rsidRPr="00BA0E3F">
        <w:t xml:space="preserve"> OOS will be implemented and </w:t>
      </w:r>
      <w:r w:rsidRPr="00BA0E3F">
        <w:rPr>
          <w:b/>
          <w:bCs/>
        </w:rPr>
        <w:t>which consumer groups</w:t>
      </w:r>
      <w:r w:rsidRPr="00BA0E3F">
        <w:t xml:space="preserve"> it may affect.</w:t>
      </w:r>
    </w:p>
    <w:p w14:paraId="188336E2" w14:textId="77777777" w:rsidR="00BA0E3F" w:rsidRPr="00BA0E3F" w:rsidRDefault="00BA0E3F" w:rsidP="00BA0E3F">
      <w:pPr>
        <w:numPr>
          <w:ilvl w:val="0"/>
          <w:numId w:val="11"/>
        </w:numPr>
      </w:pPr>
      <w:r w:rsidRPr="00BA0E3F">
        <w:t>The statewide training on OOS was reported to be helpful, though questions remain.</w:t>
      </w:r>
    </w:p>
    <w:p w14:paraId="7CDD4D18" w14:textId="77777777" w:rsidR="00BA0E3F" w:rsidRPr="00BA0E3F" w:rsidRDefault="00F02BA0" w:rsidP="00BA0E3F">
      <w:r>
        <w:pict w14:anchorId="56C025D7">
          <v:rect id="_x0000_i1033" style="width:0;height:1.5pt" o:hralign="center" o:hrstd="t" o:hr="t" fillcolor="#a0a0a0" stroked="f"/>
        </w:pict>
      </w:r>
    </w:p>
    <w:p w14:paraId="50E39F7B" w14:textId="77777777" w:rsidR="00BA0E3F" w:rsidRPr="00BA0E3F" w:rsidRDefault="00BA0E3F" w:rsidP="00BA0E3F">
      <w:pPr>
        <w:rPr>
          <w:b/>
          <w:bCs/>
        </w:rPr>
      </w:pPr>
      <w:r w:rsidRPr="00BA0E3F">
        <w:rPr>
          <w:b/>
          <w:bCs/>
        </w:rPr>
        <w:t>How an SRC Member Can Support the District</w:t>
      </w:r>
    </w:p>
    <w:p w14:paraId="476A2500" w14:textId="77777777" w:rsidR="00BA0E3F" w:rsidRPr="00BA0E3F" w:rsidRDefault="00BA0E3F" w:rsidP="00BA0E3F">
      <w:r w:rsidRPr="00BA0E3F">
        <w:t>District leadership expressed appreciation for SRC engagement and noted a specific way SRC members can assist:</w:t>
      </w:r>
    </w:p>
    <w:p w14:paraId="4E1A3961" w14:textId="77777777" w:rsidR="00BA0E3F" w:rsidRPr="00BA0E3F" w:rsidRDefault="00BA0E3F" w:rsidP="00BA0E3F">
      <w:pPr>
        <w:numPr>
          <w:ilvl w:val="0"/>
          <w:numId w:val="12"/>
        </w:numPr>
      </w:pPr>
      <w:r w:rsidRPr="00BA0E3F">
        <w:rPr>
          <w:b/>
          <w:bCs/>
        </w:rPr>
        <w:t>Business Connections</w:t>
      </w:r>
      <w:r w:rsidRPr="00BA0E3F">
        <w:br/>
        <w:t>Any introductions to employers or organizations operating within the region—especially those open to hiring individuals with disabilities—would be valuable.</w:t>
      </w:r>
      <w:r w:rsidRPr="00BA0E3F">
        <w:br/>
        <w:t>Increased employer engagement directly enhances the district’s employment outcomes.</w:t>
      </w:r>
    </w:p>
    <w:p w14:paraId="5F1829E9" w14:textId="77777777" w:rsidR="00BA0E3F" w:rsidRPr="00BA0E3F" w:rsidRDefault="00F02BA0" w:rsidP="00BA0E3F">
      <w:r>
        <w:pict w14:anchorId="24789946">
          <v:rect id="_x0000_i1034" style="width:0;height:1.5pt" o:hralign="center" o:hrstd="t" o:hr="t" fillcolor="#a0a0a0" stroked="f"/>
        </w:pict>
      </w:r>
    </w:p>
    <w:p w14:paraId="3D0CAA29" w14:textId="77777777" w:rsidR="00BA0E3F" w:rsidRPr="00BA0E3F" w:rsidRDefault="00BA0E3F" w:rsidP="00BA0E3F">
      <w:pPr>
        <w:rPr>
          <w:b/>
          <w:bCs/>
        </w:rPr>
      </w:pPr>
      <w:r w:rsidRPr="00BA0E3F">
        <w:rPr>
          <w:b/>
          <w:bCs/>
        </w:rPr>
        <w:t>Conclusion</w:t>
      </w:r>
    </w:p>
    <w:p w14:paraId="1C3FC203" w14:textId="3923C9E6" w:rsidR="00026324" w:rsidRDefault="00BA0E3F">
      <w:r w:rsidRPr="00BA0E3F">
        <w:t>The Central Coast District demonstrates strong performance, innovative service approaches, and deep community partnerships. While staffing shortages, vendor limitations, and cost</w:t>
      </w:r>
      <w:r w:rsidRPr="00BA0E3F">
        <w:noBreakHyphen/>
        <w:t>of</w:t>
      </w:r>
      <w:r w:rsidRPr="00BA0E3F">
        <w:noBreakHyphen/>
        <w:t>living pressures pose ongoing challenges, the district remains committed to serving consumers across a geographically diverse region. Their collaborative successes—particularly with justice</w:t>
      </w:r>
      <w:r w:rsidRPr="00BA0E3F">
        <w:noBreakHyphen/>
        <w:t>involved individuals and youth services—highlight resourcefulness and dedication to equitable access.</w:t>
      </w:r>
    </w:p>
    <w:sectPr w:rsidR="00026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4E48"/>
    <w:multiLevelType w:val="multilevel"/>
    <w:tmpl w:val="C9B2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17B1C"/>
    <w:multiLevelType w:val="multilevel"/>
    <w:tmpl w:val="85F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43DBA"/>
    <w:multiLevelType w:val="multilevel"/>
    <w:tmpl w:val="A628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C5123"/>
    <w:multiLevelType w:val="multilevel"/>
    <w:tmpl w:val="034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95252"/>
    <w:multiLevelType w:val="multilevel"/>
    <w:tmpl w:val="9890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E7C05"/>
    <w:multiLevelType w:val="multilevel"/>
    <w:tmpl w:val="58D2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B24FB"/>
    <w:multiLevelType w:val="multilevel"/>
    <w:tmpl w:val="E3D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36A80"/>
    <w:multiLevelType w:val="multilevel"/>
    <w:tmpl w:val="0EFE9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10569"/>
    <w:multiLevelType w:val="multilevel"/>
    <w:tmpl w:val="6CD0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B40FB"/>
    <w:multiLevelType w:val="multilevel"/>
    <w:tmpl w:val="554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13FCE"/>
    <w:multiLevelType w:val="multilevel"/>
    <w:tmpl w:val="1E9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B019C"/>
    <w:multiLevelType w:val="multilevel"/>
    <w:tmpl w:val="E78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745578">
    <w:abstractNumId w:val="2"/>
  </w:num>
  <w:num w:numId="2" w16cid:durableId="1023361076">
    <w:abstractNumId w:val="1"/>
  </w:num>
  <w:num w:numId="3" w16cid:durableId="2021731529">
    <w:abstractNumId w:val="5"/>
  </w:num>
  <w:num w:numId="4" w16cid:durableId="105120816">
    <w:abstractNumId w:val="7"/>
  </w:num>
  <w:num w:numId="5" w16cid:durableId="386345008">
    <w:abstractNumId w:val="6"/>
  </w:num>
  <w:num w:numId="6" w16cid:durableId="1836874916">
    <w:abstractNumId w:val="9"/>
  </w:num>
  <w:num w:numId="7" w16cid:durableId="1219560095">
    <w:abstractNumId w:val="11"/>
  </w:num>
  <w:num w:numId="8" w16cid:durableId="810168840">
    <w:abstractNumId w:val="4"/>
  </w:num>
  <w:num w:numId="9" w16cid:durableId="1642418743">
    <w:abstractNumId w:val="0"/>
  </w:num>
  <w:num w:numId="10" w16cid:durableId="2037731420">
    <w:abstractNumId w:val="8"/>
  </w:num>
  <w:num w:numId="11" w16cid:durableId="2109033172">
    <w:abstractNumId w:val="3"/>
  </w:num>
  <w:num w:numId="12" w16cid:durableId="165926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3A"/>
    <w:rsid w:val="00026324"/>
    <w:rsid w:val="001427B8"/>
    <w:rsid w:val="00437FCF"/>
    <w:rsid w:val="00A85601"/>
    <w:rsid w:val="00AA43F5"/>
    <w:rsid w:val="00B37961"/>
    <w:rsid w:val="00B54000"/>
    <w:rsid w:val="00BA0E3F"/>
    <w:rsid w:val="00E526FB"/>
    <w:rsid w:val="00E93D3A"/>
    <w:rsid w:val="00F0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A9E329D"/>
  <w15:chartTrackingRefBased/>
  <w15:docId w15:val="{4C8E4711-872F-460E-8A36-6262AA16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D3A"/>
    <w:rPr>
      <w:rFonts w:eastAsiaTheme="majorEastAsia" w:cstheme="majorBidi"/>
      <w:color w:val="272727" w:themeColor="text1" w:themeTint="D8"/>
    </w:rPr>
  </w:style>
  <w:style w:type="paragraph" w:styleId="Title">
    <w:name w:val="Title"/>
    <w:basedOn w:val="Normal"/>
    <w:next w:val="Normal"/>
    <w:link w:val="TitleChar"/>
    <w:uiPriority w:val="10"/>
    <w:qFormat/>
    <w:rsid w:val="00E9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D3A"/>
    <w:pPr>
      <w:spacing w:before="160"/>
      <w:jc w:val="center"/>
    </w:pPr>
    <w:rPr>
      <w:i/>
      <w:iCs/>
      <w:color w:val="404040" w:themeColor="text1" w:themeTint="BF"/>
    </w:rPr>
  </w:style>
  <w:style w:type="character" w:customStyle="1" w:styleId="QuoteChar">
    <w:name w:val="Quote Char"/>
    <w:basedOn w:val="DefaultParagraphFont"/>
    <w:link w:val="Quote"/>
    <w:uiPriority w:val="29"/>
    <w:rsid w:val="00E93D3A"/>
    <w:rPr>
      <w:i/>
      <w:iCs/>
      <w:color w:val="404040" w:themeColor="text1" w:themeTint="BF"/>
    </w:rPr>
  </w:style>
  <w:style w:type="paragraph" w:styleId="ListParagraph">
    <w:name w:val="List Paragraph"/>
    <w:basedOn w:val="Normal"/>
    <w:uiPriority w:val="34"/>
    <w:qFormat/>
    <w:rsid w:val="00E93D3A"/>
    <w:pPr>
      <w:ind w:left="720"/>
      <w:contextualSpacing/>
    </w:pPr>
  </w:style>
  <w:style w:type="character" w:styleId="IntenseEmphasis">
    <w:name w:val="Intense Emphasis"/>
    <w:basedOn w:val="DefaultParagraphFont"/>
    <w:uiPriority w:val="21"/>
    <w:qFormat/>
    <w:rsid w:val="00E93D3A"/>
    <w:rPr>
      <w:i/>
      <w:iCs/>
      <w:color w:val="0F4761" w:themeColor="accent1" w:themeShade="BF"/>
    </w:rPr>
  </w:style>
  <w:style w:type="paragraph" w:styleId="IntenseQuote">
    <w:name w:val="Intense Quote"/>
    <w:basedOn w:val="Normal"/>
    <w:next w:val="Normal"/>
    <w:link w:val="IntenseQuoteChar"/>
    <w:uiPriority w:val="30"/>
    <w:qFormat/>
    <w:rsid w:val="00E93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D3A"/>
    <w:rPr>
      <w:i/>
      <w:iCs/>
      <w:color w:val="0F4761" w:themeColor="accent1" w:themeShade="BF"/>
    </w:rPr>
  </w:style>
  <w:style w:type="character" w:styleId="IntenseReference">
    <w:name w:val="Intense Reference"/>
    <w:basedOn w:val="DefaultParagraphFont"/>
    <w:uiPriority w:val="32"/>
    <w:qFormat/>
    <w:rsid w:val="00E93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142</TotalTime>
  <Pages>5</Pages>
  <Words>898</Words>
  <Characters>5796</Characters>
  <Application>Microsoft Office Word</Application>
  <DocSecurity>0</DocSecurity>
  <Lines>135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Shellena Heber</dc:creator>
  <cp:keywords/>
  <dc:description/>
  <cp:lastModifiedBy>Xiong, Lina@DOR</cp:lastModifiedBy>
  <cp:revision>4</cp:revision>
  <dcterms:created xsi:type="dcterms:W3CDTF">2026-02-19T19:27:00Z</dcterms:created>
  <dcterms:modified xsi:type="dcterms:W3CDTF">2026-02-26T23:08:00Z</dcterms:modified>
</cp:coreProperties>
</file>