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16DF" w14:textId="42A3A641" w:rsidR="00165433" w:rsidRPr="00165433" w:rsidRDefault="00165433" w:rsidP="00165433">
      <w:pPr>
        <w:pStyle w:val="Heading1"/>
      </w:pPr>
      <w:bookmarkStart w:id="0" w:name="_Toc477855578"/>
      <w:r w:rsidRPr="00165433">
        <w:t>Cal. Code Regs. Tit. 9</w:t>
      </w:r>
      <w:r>
        <w:t xml:space="preserve"> </w:t>
      </w:r>
      <w:r w:rsidRPr="00165433">
        <w:t>§</w:t>
      </w:r>
      <w:r>
        <w:t xml:space="preserve"> </w:t>
      </w:r>
      <w:r w:rsidRPr="00165433">
        <w:t>7019. Maintenance.</w:t>
      </w:r>
      <w:bookmarkEnd w:id="0"/>
    </w:p>
    <w:p w14:paraId="774F60D2" w14:textId="77777777" w:rsidR="00165433" w:rsidRPr="00165433" w:rsidRDefault="00165433" w:rsidP="00165433">
      <w:pPr>
        <w:pStyle w:val="DOR"/>
      </w:pPr>
      <w:r w:rsidRPr="00165433">
        <w:t>(a)</w:t>
      </w:r>
      <w:r w:rsidRPr="00165433">
        <w:tab/>
        <w:t>“Maintenance” means monetary support provided to an individual for expenses, such as food, shelter, and clothing, that are in excess of the normal expenses of the individual and that are necessitated by the individual’s participation in an assessment for determining eligibility and vocational rehabilitation needs or the individual’s receipt of vocational rehabilitation services under an Individualized Plan for Employment (IPE).</w:t>
      </w:r>
    </w:p>
    <w:p w14:paraId="3B424323" w14:textId="77777777" w:rsidR="00165433" w:rsidRPr="00165433" w:rsidRDefault="00165433" w:rsidP="00165433">
      <w:pPr>
        <w:pStyle w:val="DOR"/>
      </w:pPr>
      <w:r w:rsidRPr="00165433">
        <w:tab/>
      </w:r>
    </w:p>
    <w:p w14:paraId="78167073" w14:textId="77777777" w:rsidR="00165433" w:rsidRPr="00165433" w:rsidRDefault="00165433" w:rsidP="00165433">
      <w:pPr>
        <w:pStyle w:val="DOR"/>
      </w:pPr>
      <w:r w:rsidRPr="00165433">
        <w:t>(b)</w:t>
      </w:r>
      <w:r w:rsidRPr="00165433">
        <w:tab/>
        <w:t>Examples of expenses that meet the definition of maintenance include, but are not limited to:</w:t>
      </w:r>
    </w:p>
    <w:p w14:paraId="0FE4EAB6" w14:textId="77777777" w:rsidR="00165433" w:rsidRPr="00165433" w:rsidRDefault="00165433" w:rsidP="00165433">
      <w:pPr>
        <w:pStyle w:val="DOR"/>
      </w:pPr>
      <w:r w:rsidRPr="00165433">
        <w:tab/>
      </w:r>
    </w:p>
    <w:p w14:paraId="5C0CF034" w14:textId="77777777" w:rsidR="00165433" w:rsidRPr="00165433" w:rsidRDefault="00165433" w:rsidP="00165433">
      <w:pPr>
        <w:pStyle w:val="DOR"/>
        <w:ind w:left="720"/>
      </w:pPr>
      <w:r w:rsidRPr="00165433">
        <w:t>(1)</w:t>
      </w:r>
      <w:r w:rsidRPr="00165433">
        <w:tab/>
        <w:t>The cost of a uniform or other suitable clothing that is required for an individual’s job placement or job-seeking activities.</w:t>
      </w:r>
    </w:p>
    <w:p w14:paraId="7767DB8C" w14:textId="77777777" w:rsidR="00165433" w:rsidRPr="00165433" w:rsidRDefault="00165433" w:rsidP="00165433">
      <w:pPr>
        <w:pStyle w:val="DOR"/>
        <w:ind w:left="720"/>
      </w:pPr>
      <w:r w:rsidRPr="00165433">
        <w:tab/>
      </w:r>
    </w:p>
    <w:p w14:paraId="665E6FD6" w14:textId="77777777" w:rsidR="00165433" w:rsidRPr="00165433" w:rsidRDefault="00165433" w:rsidP="00165433">
      <w:pPr>
        <w:pStyle w:val="DOR"/>
        <w:ind w:left="720"/>
      </w:pPr>
      <w:r w:rsidRPr="00165433">
        <w:t>(2)</w:t>
      </w:r>
      <w:r w:rsidRPr="00165433">
        <w:tab/>
        <w:t>The cost of short-term shelter that is required in order for an individual to participate in assessment activities or vocational training at a site that is not within commuting distance of an individual’s home.</w:t>
      </w:r>
    </w:p>
    <w:p w14:paraId="4FF546D3" w14:textId="77777777" w:rsidR="00165433" w:rsidRPr="00165433" w:rsidRDefault="00165433" w:rsidP="00165433">
      <w:pPr>
        <w:pStyle w:val="DOR"/>
        <w:ind w:left="720"/>
      </w:pPr>
      <w:r w:rsidRPr="00165433">
        <w:tab/>
      </w:r>
    </w:p>
    <w:p w14:paraId="0FAADD94" w14:textId="77777777" w:rsidR="00165433" w:rsidRPr="00165433" w:rsidRDefault="00165433" w:rsidP="00165433">
      <w:pPr>
        <w:pStyle w:val="DOR"/>
        <w:ind w:left="720"/>
      </w:pPr>
      <w:r w:rsidRPr="00165433">
        <w:t>(3)</w:t>
      </w:r>
      <w:r w:rsidRPr="00165433">
        <w:tab/>
        <w:t>The initial one-time costs, such as a security deposit or charges for the initiation of utilities, that are required in order for an individual to relocate for a job placement or participate in training.</w:t>
      </w:r>
    </w:p>
    <w:p w14:paraId="290330D6" w14:textId="77777777" w:rsidR="00165433" w:rsidRPr="00165433" w:rsidRDefault="00165433" w:rsidP="00165433">
      <w:pPr>
        <w:pStyle w:val="DOR"/>
        <w:ind w:left="720"/>
      </w:pPr>
      <w:r w:rsidRPr="00165433">
        <w:tab/>
      </w:r>
    </w:p>
    <w:p w14:paraId="7A7552D0" w14:textId="77777777" w:rsidR="00165433" w:rsidRPr="00165433" w:rsidRDefault="00165433" w:rsidP="00165433">
      <w:pPr>
        <w:pStyle w:val="DOR"/>
        <w:ind w:left="720"/>
      </w:pPr>
      <w:r w:rsidRPr="00165433">
        <w:t>(4)</w:t>
      </w:r>
      <w:r w:rsidRPr="00165433">
        <w:tab/>
        <w:t>The costs of an individual’s participation in enrichment activities related to that individual’s training program.  For students this includes, but is not limited to, student trips, visits to museums, and supplemental lectures, when such activities are essential components of the training.</w:t>
      </w:r>
    </w:p>
    <w:p w14:paraId="01F6E3F0" w14:textId="77777777" w:rsidR="00165433" w:rsidRPr="00165433" w:rsidRDefault="00165433" w:rsidP="00165433">
      <w:pPr>
        <w:pStyle w:val="DOR"/>
      </w:pPr>
      <w:r w:rsidRPr="00165433">
        <w:tab/>
      </w:r>
    </w:p>
    <w:p w14:paraId="779310BA" w14:textId="77777777" w:rsidR="00165433" w:rsidRPr="00165433" w:rsidRDefault="00165433" w:rsidP="00165433">
      <w:pPr>
        <w:pStyle w:val="DOR"/>
        <w:rPr>
          <w:strike/>
        </w:rPr>
      </w:pPr>
      <w:r w:rsidRPr="00165433">
        <w:t>(c)</w:t>
      </w:r>
      <w:r w:rsidRPr="00165433">
        <w:tab/>
        <w:t>Nothing in this section shall be construed to mean that the Department will provide maintenance on a long-term or ongoing basis to support an individual’s everyday living expenses or take the place of, provide the services of, or become a payment program similar to, welfare and other social service agencies.</w:t>
      </w:r>
    </w:p>
    <w:p w14:paraId="5FF5A5A8" w14:textId="77777777" w:rsidR="00165433" w:rsidRPr="00165433" w:rsidRDefault="00165433" w:rsidP="00165433">
      <w:pPr>
        <w:pStyle w:val="DOR"/>
      </w:pPr>
    </w:p>
    <w:p w14:paraId="6DE11923" w14:textId="77777777" w:rsidR="00165433" w:rsidRPr="00165433" w:rsidRDefault="00165433" w:rsidP="00165433">
      <w:pPr>
        <w:pStyle w:val="DOR"/>
      </w:pPr>
      <w:r w:rsidRPr="00165433">
        <w:t>NOTE:  Authority cited: Sections 19006 and 19016, Welfare and Institutions Code.  Reference: 29 USC 723(a)(7); 34 CFR Sections 361.5(b)(35) and 361.48(g); and Sections 19011 and 19150(a)(8), Welfare and Institutions Code.</w:t>
      </w:r>
    </w:p>
    <w:p w14:paraId="226DF9CF" w14:textId="77777777" w:rsidR="006F4C97" w:rsidRPr="00165433" w:rsidRDefault="006F4C97" w:rsidP="00165433">
      <w:pPr>
        <w:pStyle w:val="DOR"/>
      </w:pPr>
    </w:p>
    <w:p w14:paraId="15392903" w14:textId="493E9688" w:rsidR="00165433" w:rsidRPr="00165433" w:rsidRDefault="00165433" w:rsidP="00165433">
      <w:pPr>
        <w:pStyle w:val="Heading1"/>
        <w:rPr>
          <w:rFonts w:eastAsia="Times New Roman"/>
        </w:rPr>
      </w:pPr>
      <w:bookmarkStart w:id="1" w:name="_Toc477855761"/>
      <w:r w:rsidRPr="00165433">
        <w:lastRenderedPageBreak/>
        <w:t>Cal. Code Regs. Tit. 9</w:t>
      </w:r>
      <w:r>
        <w:t xml:space="preserve"> </w:t>
      </w:r>
      <w:r w:rsidRPr="00165433">
        <w:rPr>
          <w:rFonts w:eastAsia="Times New Roman"/>
        </w:rPr>
        <w:t>§ 7177. Maintenance.</w:t>
      </w:r>
      <w:bookmarkEnd w:id="1"/>
    </w:p>
    <w:p w14:paraId="4CE71408" w14:textId="77777777" w:rsidR="00165433" w:rsidRPr="00165433" w:rsidRDefault="00165433" w:rsidP="00165433">
      <w:pPr>
        <w:pStyle w:val="DOR"/>
        <w:rPr>
          <w:rFonts w:eastAsia="Times New Roman"/>
          <w:szCs w:val="20"/>
          <w14:ligatures w14:val="none"/>
        </w:rPr>
      </w:pPr>
      <w:r w:rsidRPr="00165433">
        <w:rPr>
          <w:rFonts w:eastAsia="Times New Roman"/>
          <w:szCs w:val="20"/>
          <w14:ligatures w14:val="none"/>
        </w:rPr>
        <w:t>(a)</w:t>
      </w:r>
      <w:r w:rsidRPr="00165433">
        <w:rPr>
          <w:rFonts w:eastAsia="Times New Roman"/>
          <w:szCs w:val="20"/>
          <w14:ligatures w14:val="none"/>
        </w:rPr>
        <w:tab/>
        <w:t>The Department may provide maintenance, as defined in Section 7019 of these regulations, to an individual who:</w:t>
      </w:r>
    </w:p>
    <w:p w14:paraId="57F85CBC" w14:textId="77777777" w:rsidR="00165433" w:rsidRPr="00165433" w:rsidRDefault="00165433" w:rsidP="00165433">
      <w:pPr>
        <w:pStyle w:val="DOR"/>
        <w:rPr>
          <w:rFonts w:eastAsia="Times New Roman"/>
          <w:szCs w:val="20"/>
          <w14:ligatures w14:val="none"/>
        </w:rPr>
      </w:pPr>
    </w:p>
    <w:p w14:paraId="6E0A6C5D" w14:textId="77777777" w:rsidR="00165433" w:rsidRPr="00165433" w:rsidRDefault="00165433" w:rsidP="00165433">
      <w:pPr>
        <w:pStyle w:val="DOR"/>
        <w:ind w:left="720"/>
        <w:rPr>
          <w:rFonts w:eastAsia="Times New Roman"/>
          <w:szCs w:val="20"/>
          <w14:ligatures w14:val="none"/>
        </w:rPr>
      </w:pPr>
      <w:r w:rsidRPr="00165433">
        <w:rPr>
          <w:rFonts w:eastAsia="Times New Roman"/>
          <w:szCs w:val="20"/>
          <w14:ligatures w14:val="none"/>
        </w:rPr>
        <w:t>(1)</w:t>
      </w:r>
      <w:r w:rsidRPr="00165433">
        <w:rPr>
          <w:rFonts w:eastAsia="Times New Roman"/>
          <w:szCs w:val="20"/>
          <w14:ligatures w14:val="none"/>
        </w:rPr>
        <w:tab/>
        <w:t>Is participating in an assessment for determining eligibility and vocational rehabilitation needs or receiving vocational rehabilitation services under an Individualized Plan for Employment (IPE); and</w:t>
      </w:r>
    </w:p>
    <w:p w14:paraId="20EC2459" w14:textId="77777777" w:rsidR="00165433" w:rsidRPr="00165433" w:rsidRDefault="00165433" w:rsidP="00165433">
      <w:pPr>
        <w:pStyle w:val="DOR"/>
        <w:ind w:left="720"/>
        <w:rPr>
          <w:rFonts w:eastAsia="Times New Roman"/>
          <w:szCs w:val="20"/>
          <w14:ligatures w14:val="none"/>
        </w:rPr>
      </w:pPr>
    </w:p>
    <w:p w14:paraId="1E3B27DA" w14:textId="77777777" w:rsidR="00165433" w:rsidRPr="00165433" w:rsidRDefault="00165433" w:rsidP="00165433">
      <w:pPr>
        <w:pStyle w:val="DOR"/>
        <w:ind w:left="720"/>
        <w:rPr>
          <w:rFonts w:eastAsia="Times New Roman"/>
          <w:szCs w:val="20"/>
          <w14:ligatures w14:val="none"/>
        </w:rPr>
      </w:pPr>
      <w:r w:rsidRPr="00165433">
        <w:rPr>
          <w:rFonts w:eastAsia="Times New Roman"/>
          <w:szCs w:val="20"/>
          <w14:ligatures w14:val="none"/>
        </w:rPr>
        <w:t>(2)</w:t>
      </w:r>
      <w:r w:rsidRPr="00165433">
        <w:rPr>
          <w:rFonts w:eastAsia="Times New Roman"/>
          <w:szCs w:val="20"/>
          <w14:ligatures w14:val="none"/>
        </w:rPr>
        <w:tab/>
        <w:t>Must incur additional expenses for items such as food, shelter, and clothing in excess of that individual’s normal expenses in order to participate in the assessment or receive the service.</w:t>
      </w:r>
    </w:p>
    <w:p w14:paraId="5E748E8A" w14:textId="77777777" w:rsidR="00165433" w:rsidRPr="00165433" w:rsidRDefault="00165433" w:rsidP="00165433">
      <w:pPr>
        <w:pStyle w:val="DOR"/>
        <w:rPr>
          <w:rFonts w:eastAsia="Times New Roman"/>
          <w:szCs w:val="20"/>
          <w14:ligatures w14:val="none"/>
        </w:rPr>
      </w:pPr>
    </w:p>
    <w:p w14:paraId="388D34C0" w14:textId="47266BE8" w:rsidR="00165433" w:rsidRPr="00165433" w:rsidRDefault="00165433" w:rsidP="00165433">
      <w:pPr>
        <w:pStyle w:val="DOR"/>
        <w:rPr>
          <w:rFonts w:eastAsia="Times New Roman"/>
          <w:szCs w:val="20"/>
          <w14:ligatures w14:val="none"/>
        </w:rPr>
      </w:pPr>
      <w:r w:rsidRPr="00165433">
        <w:rPr>
          <w:rFonts w:eastAsia="Times New Roman"/>
          <w:szCs w:val="20"/>
          <w14:ligatures w14:val="none"/>
        </w:rPr>
        <w:t>(b)</w:t>
      </w:r>
      <w:r w:rsidRPr="00165433">
        <w:rPr>
          <w:rFonts w:eastAsia="Times New Roman"/>
          <w:szCs w:val="20"/>
          <w14:ligatures w14:val="none"/>
        </w:rPr>
        <w:tab/>
        <w:t xml:space="preserve">The Department may not provide maintenance to support an individual’s basic living expenses.  Short-term emergency financial assistance may be provided under limited conditions specified in </w:t>
      </w:r>
      <w:hyperlink w:anchor="_§_7174._Other" w:history="1">
        <w:r w:rsidRPr="00165433">
          <w:rPr>
            <w:rStyle w:val="Hyperlink"/>
            <w:rFonts w:eastAsia="Times New Roman"/>
            <w:szCs w:val="20"/>
            <w14:ligatures w14:val="none"/>
          </w:rPr>
          <w:t>Section 7174</w:t>
        </w:r>
      </w:hyperlink>
      <w:r w:rsidRPr="00165433">
        <w:rPr>
          <w:rFonts w:eastAsia="Times New Roman"/>
          <w:szCs w:val="20"/>
          <w14:ligatures w14:val="none"/>
        </w:rPr>
        <w:t xml:space="preserve"> of these regulations.</w:t>
      </w:r>
    </w:p>
    <w:p w14:paraId="1C2D83D1" w14:textId="77777777" w:rsidR="00165433" w:rsidRPr="00165433" w:rsidRDefault="00165433" w:rsidP="00165433">
      <w:pPr>
        <w:pStyle w:val="DOR"/>
        <w:rPr>
          <w:rFonts w:eastAsia="Times New Roman"/>
          <w:szCs w:val="20"/>
          <w14:ligatures w14:val="none"/>
        </w:rPr>
      </w:pPr>
    </w:p>
    <w:p w14:paraId="1926A924" w14:textId="77777777" w:rsidR="00165433" w:rsidRPr="00165433" w:rsidRDefault="00165433" w:rsidP="00165433">
      <w:pPr>
        <w:pStyle w:val="DOR"/>
        <w:rPr>
          <w:rFonts w:eastAsia="Times New Roman"/>
          <w:szCs w:val="20"/>
          <w14:ligatures w14:val="none"/>
        </w:rPr>
      </w:pPr>
      <w:r w:rsidRPr="00165433">
        <w:rPr>
          <w:rFonts w:eastAsia="Times New Roman"/>
          <w:szCs w:val="20"/>
          <w14:ligatures w14:val="none"/>
        </w:rPr>
        <w:t>(c)</w:t>
      </w:r>
      <w:r w:rsidRPr="00165433">
        <w:rPr>
          <w:rFonts w:eastAsia="Times New Roman"/>
          <w:szCs w:val="20"/>
          <w14:ligatures w14:val="none"/>
        </w:rPr>
        <w:tab/>
        <w:t>Before maintenance may be provided, the Rehabilitation Counselor must document all of the following in the record of services:</w:t>
      </w:r>
    </w:p>
    <w:p w14:paraId="7B33971A" w14:textId="77777777" w:rsidR="00165433" w:rsidRPr="00165433" w:rsidRDefault="00165433" w:rsidP="00165433">
      <w:pPr>
        <w:pStyle w:val="DOR"/>
        <w:rPr>
          <w:rFonts w:eastAsia="Times New Roman"/>
          <w:szCs w:val="20"/>
          <w14:ligatures w14:val="none"/>
        </w:rPr>
      </w:pPr>
    </w:p>
    <w:p w14:paraId="0538B629" w14:textId="77777777" w:rsidR="00165433" w:rsidRPr="00165433" w:rsidRDefault="00165433" w:rsidP="00165433">
      <w:pPr>
        <w:pStyle w:val="DOR"/>
        <w:ind w:left="720"/>
        <w:rPr>
          <w:rFonts w:eastAsia="Times New Roman"/>
          <w:szCs w:val="20"/>
          <w14:ligatures w14:val="none"/>
        </w:rPr>
      </w:pPr>
      <w:r w:rsidRPr="00165433">
        <w:rPr>
          <w:rFonts w:eastAsia="Times New Roman"/>
          <w:szCs w:val="20"/>
          <w14:ligatures w14:val="none"/>
        </w:rPr>
        <w:t>(1)</w:t>
      </w:r>
      <w:r w:rsidRPr="00165433">
        <w:rPr>
          <w:rFonts w:eastAsia="Times New Roman"/>
          <w:szCs w:val="20"/>
          <w14:ligatures w14:val="none"/>
        </w:rPr>
        <w:tab/>
        <w:t xml:space="preserve">The availability and use of comparable services and benefits, as specified in Chapter 5, Article 3 of these </w:t>
      </w:r>
      <w:proofErr w:type="gramStart"/>
      <w:r w:rsidRPr="00165433">
        <w:rPr>
          <w:rFonts w:eastAsia="Times New Roman"/>
          <w:szCs w:val="20"/>
          <w14:ligatures w14:val="none"/>
        </w:rPr>
        <w:t>regulations;</w:t>
      </w:r>
      <w:proofErr w:type="gramEnd"/>
    </w:p>
    <w:p w14:paraId="6BB10428" w14:textId="77777777" w:rsidR="00165433" w:rsidRPr="00165433" w:rsidRDefault="00165433" w:rsidP="00165433">
      <w:pPr>
        <w:pStyle w:val="DOR"/>
        <w:ind w:left="720"/>
        <w:rPr>
          <w:rFonts w:eastAsia="Times New Roman"/>
          <w:szCs w:val="20"/>
          <w14:ligatures w14:val="none"/>
        </w:rPr>
      </w:pPr>
    </w:p>
    <w:p w14:paraId="00F95464" w14:textId="77777777" w:rsidR="00165433" w:rsidRPr="00165433" w:rsidRDefault="00165433" w:rsidP="00165433">
      <w:pPr>
        <w:pStyle w:val="DOR"/>
        <w:ind w:left="720"/>
        <w:rPr>
          <w:rFonts w:eastAsia="Times New Roman"/>
          <w:szCs w:val="20"/>
          <w14:ligatures w14:val="none"/>
        </w:rPr>
      </w:pPr>
      <w:r w:rsidRPr="00165433">
        <w:rPr>
          <w:rFonts w:eastAsia="Times New Roman"/>
          <w:szCs w:val="20"/>
          <w14:ligatures w14:val="none"/>
        </w:rPr>
        <w:t>(2)</w:t>
      </w:r>
      <w:r w:rsidRPr="00165433">
        <w:rPr>
          <w:rFonts w:eastAsia="Times New Roman"/>
          <w:szCs w:val="20"/>
          <w14:ligatures w14:val="none"/>
        </w:rPr>
        <w:tab/>
        <w:t>The extent of the individual’s financial participation, if any, as specified in Chapter 5, Article 1 of these regulations; and</w:t>
      </w:r>
    </w:p>
    <w:p w14:paraId="78273C7E" w14:textId="77777777" w:rsidR="00165433" w:rsidRPr="00165433" w:rsidRDefault="00165433" w:rsidP="00165433">
      <w:pPr>
        <w:pStyle w:val="DOR"/>
        <w:ind w:left="720"/>
        <w:rPr>
          <w:rFonts w:eastAsia="Times New Roman"/>
          <w:szCs w:val="20"/>
          <w14:ligatures w14:val="none"/>
        </w:rPr>
      </w:pPr>
    </w:p>
    <w:p w14:paraId="1448A883" w14:textId="77777777" w:rsidR="00165433" w:rsidRPr="00165433" w:rsidRDefault="00165433" w:rsidP="00165433">
      <w:pPr>
        <w:pStyle w:val="DOR"/>
        <w:ind w:left="720"/>
        <w:rPr>
          <w:rFonts w:eastAsia="Times New Roman"/>
          <w:szCs w:val="20"/>
          <w14:ligatures w14:val="none"/>
        </w:rPr>
      </w:pPr>
      <w:r w:rsidRPr="00165433">
        <w:rPr>
          <w:rFonts w:eastAsia="Times New Roman"/>
          <w:szCs w:val="20"/>
          <w14:ligatures w14:val="none"/>
        </w:rPr>
        <w:t>(3)</w:t>
      </w:r>
      <w:r w:rsidRPr="00165433">
        <w:rPr>
          <w:rFonts w:eastAsia="Times New Roman"/>
          <w:szCs w:val="20"/>
          <w14:ligatures w14:val="none"/>
        </w:rPr>
        <w:tab/>
        <w:t>The amount of expense that must be incurred in excess of normal living expenses in order for the individual to participate in the assessment or receive the service described in (a)(1) of this section.</w:t>
      </w:r>
    </w:p>
    <w:p w14:paraId="42755679" w14:textId="77777777" w:rsidR="00165433" w:rsidRPr="00165433" w:rsidRDefault="00165433" w:rsidP="00165433">
      <w:pPr>
        <w:pStyle w:val="DOR"/>
        <w:rPr>
          <w:rFonts w:eastAsia="Times New Roman"/>
          <w:szCs w:val="20"/>
          <w14:ligatures w14:val="none"/>
        </w:rPr>
      </w:pPr>
    </w:p>
    <w:p w14:paraId="2A83323B" w14:textId="77777777" w:rsidR="00165433" w:rsidRPr="00165433" w:rsidRDefault="00165433" w:rsidP="00165433">
      <w:pPr>
        <w:pStyle w:val="DOR"/>
        <w:rPr>
          <w:rFonts w:eastAsia="Times New Roman"/>
          <w:szCs w:val="20"/>
          <w14:ligatures w14:val="none"/>
        </w:rPr>
      </w:pPr>
      <w:r w:rsidRPr="00165433">
        <w:rPr>
          <w:rFonts w:eastAsia="Times New Roman"/>
          <w:szCs w:val="20"/>
          <w14:ligatures w14:val="none"/>
        </w:rPr>
        <w:t>(d)</w:t>
      </w:r>
      <w:r w:rsidRPr="00165433">
        <w:rPr>
          <w:rFonts w:eastAsia="Times New Roman"/>
          <w:szCs w:val="20"/>
          <w14:ligatures w14:val="none"/>
        </w:rPr>
        <w:tab/>
        <w:t>Maintenance payments to an individual are limited to actual expenses in excess of normal living expenses.</w:t>
      </w:r>
    </w:p>
    <w:p w14:paraId="062AC5D9" w14:textId="77777777" w:rsidR="00165433" w:rsidRPr="00165433" w:rsidRDefault="00165433" w:rsidP="00165433">
      <w:pPr>
        <w:pStyle w:val="DOR"/>
        <w:rPr>
          <w:rFonts w:eastAsia="Times New Roman"/>
          <w:szCs w:val="20"/>
          <w14:ligatures w14:val="none"/>
        </w:rPr>
      </w:pPr>
    </w:p>
    <w:p w14:paraId="31F4C317" w14:textId="77777777" w:rsidR="00165433" w:rsidRPr="00165433" w:rsidRDefault="00165433" w:rsidP="00165433">
      <w:pPr>
        <w:pStyle w:val="DOR"/>
        <w:rPr>
          <w:rFonts w:eastAsia="Times New Roman"/>
          <w:szCs w:val="20"/>
          <w14:ligatures w14:val="none"/>
        </w:rPr>
      </w:pPr>
      <w:r w:rsidRPr="00165433">
        <w:rPr>
          <w:rFonts w:eastAsia="Times New Roman"/>
          <w:szCs w:val="20"/>
          <w14:ligatures w14:val="none"/>
        </w:rPr>
        <w:t>(e)</w:t>
      </w:r>
      <w:r w:rsidRPr="00165433">
        <w:rPr>
          <w:rFonts w:eastAsia="Times New Roman"/>
          <w:szCs w:val="20"/>
          <w14:ligatures w14:val="none"/>
        </w:rPr>
        <w:tab/>
        <w:t>The District Administrator must approve the provision of maintenance to an individual who is not in an independent living situation (e.g., living at home with parents or with a family relative) when that maintenance exceeds $500 during any consecutive 12-month period. The District Administrator must verify that the requirements of this section are met before granting approval.</w:t>
      </w:r>
    </w:p>
    <w:p w14:paraId="15ED181C" w14:textId="77777777" w:rsidR="00165433" w:rsidRPr="00165433" w:rsidRDefault="00165433" w:rsidP="00165433">
      <w:pPr>
        <w:pStyle w:val="DOR"/>
        <w:rPr>
          <w:rFonts w:eastAsia="Times New Roman"/>
          <w:szCs w:val="20"/>
          <w14:ligatures w14:val="none"/>
        </w:rPr>
      </w:pPr>
    </w:p>
    <w:p w14:paraId="43C299FA" w14:textId="77777777" w:rsidR="00165433" w:rsidRPr="00165433" w:rsidRDefault="00165433" w:rsidP="00165433">
      <w:pPr>
        <w:pStyle w:val="DOR"/>
        <w:ind w:left="720"/>
        <w:rPr>
          <w:rFonts w:eastAsia="Times New Roman"/>
          <w:szCs w:val="20"/>
          <w14:ligatures w14:val="none"/>
        </w:rPr>
      </w:pPr>
      <w:r w:rsidRPr="00165433">
        <w:rPr>
          <w:rFonts w:eastAsia="Times New Roman"/>
          <w:szCs w:val="20"/>
          <w14:ligatures w14:val="none"/>
        </w:rPr>
        <w:lastRenderedPageBreak/>
        <w:t>(1)</w:t>
      </w:r>
      <w:r w:rsidRPr="00165433">
        <w:rPr>
          <w:rFonts w:eastAsia="Times New Roman"/>
          <w:szCs w:val="20"/>
          <w14:ligatures w14:val="none"/>
        </w:rPr>
        <w:tab/>
        <w:t xml:space="preserve">A 12-month period begins with the month in which the first allowable expense is incurred and ends after 12 months have elapsed.  For example, if the expense was incurred in April, the </w:t>
      </w:r>
      <w:proofErr w:type="gramStart"/>
      <w:r w:rsidRPr="00165433">
        <w:rPr>
          <w:rFonts w:eastAsia="Times New Roman"/>
          <w:szCs w:val="20"/>
          <w14:ligatures w14:val="none"/>
        </w:rPr>
        <w:t>12 month</w:t>
      </w:r>
      <w:proofErr w:type="gramEnd"/>
      <w:r w:rsidRPr="00165433">
        <w:rPr>
          <w:rFonts w:eastAsia="Times New Roman"/>
          <w:szCs w:val="20"/>
          <w14:ligatures w14:val="none"/>
        </w:rPr>
        <w:t xml:space="preserve"> period ends in the following April.  If the next expense is not incurred until July, a new 12-month period begins in July.</w:t>
      </w:r>
    </w:p>
    <w:p w14:paraId="1B99E151" w14:textId="77777777" w:rsidR="00165433" w:rsidRPr="00165433" w:rsidRDefault="00165433" w:rsidP="00165433">
      <w:pPr>
        <w:pStyle w:val="DOR"/>
        <w:rPr>
          <w:rFonts w:eastAsia="Times New Roman"/>
          <w:szCs w:val="20"/>
          <w14:ligatures w14:val="none"/>
        </w:rPr>
      </w:pPr>
    </w:p>
    <w:p w14:paraId="79659D90" w14:textId="77777777" w:rsidR="00165433" w:rsidRPr="00165433" w:rsidRDefault="00165433" w:rsidP="00165433">
      <w:pPr>
        <w:pStyle w:val="DOR"/>
        <w:rPr>
          <w:rFonts w:eastAsia="Times New Roman"/>
          <w:szCs w:val="20"/>
          <w14:ligatures w14:val="none"/>
        </w:rPr>
      </w:pPr>
      <w:r w:rsidRPr="00165433">
        <w:rPr>
          <w:rFonts w:eastAsia="Times New Roman"/>
          <w:szCs w:val="20"/>
          <w14:ligatures w14:val="none"/>
        </w:rPr>
        <w:t>NOTE:  Authority cited: Sections 19006 and 19016, Welfare and Institutions Code.  Reference: 29 USC 723(a)(7); 34 CFR Sections 361.5(b)(35) and 361.48(g); and Sections 19011 and 19150(a)(8), Welfare and Institutions Code.</w:t>
      </w:r>
    </w:p>
    <w:p w14:paraId="0A71F9A9" w14:textId="77777777" w:rsidR="00165433" w:rsidRDefault="00165433" w:rsidP="00165433">
      <w:pPr>
        <w:pStyle w:val="DOR"/>
      </w:pPr>
    </w:p>
    <w:p w14:paraId="47E5BF4B" w14:textId="0121ADEF" w:rsidR="00165433" w:rsidRPr="00165433" w:rsidRDefault="00165433" w:rsidP="00165433">
      <w:pPr>
        <w:pStyle w:val="Heading1"/>
        <w:rPr>
          <w:rFonts w:eastAsia="Times New Roman"/>
        </w:rPr>
      </w:pPr>
      <w:bookmarkStart w:id="2" w:name="_§_7174._Other"/>
      <w:bookmarkStart w:id="3" w:name="_Toc477855758"/>
      <w:bookmarkEnd w:id="2"/>
      <w:r w:rsidRPr="00165433">
        <w:t>Cal. Code Regs. Tit. 9</w:t>
      </w:r>
      <w:r>
        <w:t xml:space="preserve"> </w:t>
      </w:r>
      <w:r w:rsidRPr="00165433">
        <w:rPr>
          <w:rFonts w:eastAsia="Times New Roman"/>
        </w:rPr>
        <w:t>§ 7174. Other Goods and Services – General Provisions.</w:t>
      </w:r>
      <w:bookmarkEnd w:id="3"/>
    </w:p>
    <w:p w14:paraId="53E869E6" w14:textId="77777777" w:rsidR="00165433" w:rsidRPr="00165433" w:rsidRDefault="00165433" w:rsidP="00165433">
      <w:pPr>
        <w:spacing w:after="0" w:line="240" w:lineRule="auto"/>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(a)</w:t>
      </w:r>
      <w:r w:rsidRPr="00165433">
        <w:rPr>
          <w:rFonts w:ascii="Arial" w:eastAsia="Times New Roman" w:hAnsi="Arial" w:cs="Arial"/>
          <w:kern w:val="0"/>
          <w:sz w:val="28"/>
          <w:szCs w:val="20"/>
          <w14:ligatures w14:val="none"/>
        </w:rPr>
        <w:tab/>
        <w:t xml:space="preserve">Other goods and services may be provided to an eligible individual under an Individualized Plan for Employment (IPE) only if the goods and services are necessary for the individual to achieve the employment outcome specified in his or her IPE.  </w:t>
      </w:r>
    </w:p>
    <w:p w14:paraId="16338B9A" w14:textId="77777777" w:rsidR="00165433" w:rsidRPr="00165433" w:rsidRDefault="00165433" w:rsidP="00165433">
      <w:pPr>
        <w:spacing w:after="0" w:line="240" w:lineRule="auto"/>
        <w:rPr>
          <w:rFonts w:ascii="Arial" w:eastAsia="Times New Roman" w:hAnsi="Arial" w:cs="Arial"/>
          <w:kern w:val="0"/>
          <w:sz w:val="28"/>
          <w:szCs w:val="20"/>
          <w14:ligatures w14:val="none"/>
        </w:rPr>
      </w:pPr>
    </w:p>
    <w:p w14:paraId="527F4DC3" w14:textId="77777777" w:rsidR="00165433" w:rsidRPr="00165433" w:rsidRDefault="00165433" w:rsidP="00165433">
      <w:pPr>
        <w:spacing w:after="0" w:line="240" w:lineRule="auto"/>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(b)</w:t>
      </w:r>
      <w:r w:rsidRPr="00165433">
        <w:rPr>
          <w:rFonts w:ascii="Arial" w:eastAsia="Times New Roman" w:hAnsi="Arial" w:cs="Arial"/>
          <w:kern w:val="0"/>
          <w:sz w:val="28"/>
          <w:szCs w:val="20"/>
          <w14:ligatures w14:val="none"/>
        </w:rPr>
        <w:tab/>
        <w:t>Other goods and services include, but are not limited to:</w:t>
      </w:r>
    </w:p>
    <w:p w14:paraId="78D7223B" w14:textId="77777777" w:rsidR="00165433" w:rsidRPr="00165433" w:rsidRDefault="00165433" w:rsidP="00165433">
      <w:pPr>
        <w:spacing w:after="0" w:line="240" w:lineRule="auto"/>
        <w:rPr>
          <w:rFonts w:ascii="Arial" w:eastAsia="Times New Roman" w:hAnsi="Arial" w:cs="Arial"/>
          <w:kern w:val="0"/>
          <w:sz w:val="28"/>
          <w:szCs w:val="20"/>
          <w14:ligatures w14:val="none"/>
        </w:rPr>
      </w:pPr>
    </w:p>
    <w:p w14:paraId="70491CF4"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(1)</w:t>
      </w:r>
      <w:r w:rsidRPr="00165433">
        <w:rPr>
          <w:rFonts w:ascii="Arial" w:eastAsia="Times New Roman" w:hAnsi="Arial" w:cs="Arial"/>
          <w:kern w:val="0"/>
          <w:sz w:val="28"/>
          <w:szCs w:val="20"/>
          <w14:ligatures w14:val="none"/>
        </w:rPr>
        <w:tab/>
        <w:t>Short-term or emergency financial assistance to an individual, except that financial assistance shall not be provided to support an individual’s everyday living expenses or take the place of, provide the services of, or become a payment program similar to, welfare and other social service agencies.</w:t>
      </w:r>
    </w:p>
    <w:p w14:paraId="3FE8AFA8"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p>
    <w:p w14:paraId="5CA792FA"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(2)</w:t>
      </w:r>
      <w:r w:rsidRPr="00165433">
        <w:rPr>
          <w:rFonts w:ascii="Arial" w:eastAsia="Times New Roman" w:hAnsi="Arial" w:cs="Arial"/>
          <w:kern w:val="0"/>
          <w:sz w:val="28"/>
          <w:szCs w:val="20"/>
          <w14:ligatures w14:val="none"/>
        </w:rPr>
        <w:tab/>
        <w:t>Occasional or emergency purchases of haircuts, handbags, or toiletries for an individual.</w:t>
      </w:r>
    </w:p>
    <w:p w14:paraId="23BE5D95" w14:textId="77777777" w:rsidR="00165433" w:rsidRPr="00165433" w:rsidRDefault="00165433" w:rsidP="00165433">
      <w:pPr>
        <w:spacing w:after="0" w:line="240" w:lineRule="auto"/>
        <w:rPr>
          <w:rFonts w:ascii="Arial" w:eastAsia="Times New Roman" w:hAnsi="Arial" w:cs="Arial"/>
          <w:kern w:val="0"/>
          <w:sz w:val="28"/>
          <w:szCs w:val="20"/>
          <w14:ligatures w14:val="none"/>
        </w:rPr>
      </w:pPr>
    </w:p>
    <w:p w14:paraId="5918F205" w14:textId="77777777" w:rsidR="00165433" w:rsidRPr="00165433" w:rsidRDefault="00165433" w:rsidP="00165433">
      <w:pPr>
        <w:spacing w:after="0" w:line="240" w:lineRule="auto"/>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(c)</w:t>
      </w:r>
      <w:r w:rsidRPr="00165433">
        <w:rPr>
          <w:rFonts w:ascii="Arial" w:eastAsia="Times New Roman" w:hAnsi="Arial" w:cs="Arial"/>
          <w:kern w:val="0"/>
          <w:sz w:val="28"/>
          <w:szCs w:val="20"/>
          <w14:ligatures w14:val="none"/>
        </w:rPr>
        <w:tab/>
        <w:t>Before providing any vocational rehabilitation services to an individual as other goods and services, the Rehabilitation Counselor shall determine all of the following:</w:t>
      </w:r>
    </w:p>
    <w:p w14:paraId="2D09A24D" w14:textId="77777777" w:rsidR="00165433" w:rsidRPr="00165433" w:rsidRDefault="00165433" w:rsidP="00165433">
      <w:pPr>
        <w:spacing w:after="0" w:line="240" w:lineRule="auto"/>
        <w:rPr>
          <w:rFonts w:ascii="Arial" w:eastAsia="Times New Roman" w:hAnsi="Arial" w:cs="Arial"/>
          <w:kern w:val="0"/>
          <w:sz w:val="28"/>
          <w:szCs w:val="20"/>
          <w14:ligatures w14:val="none"/>
        </w:rPr>
      </w:pPr>
    </w:p>
    <w:p w14:paraId="65A440CF"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(1)</w:t>
      </w:r>
      <w:r w:rsidRPr="00165433">
        <w:rPr>
          <w:rFonts w:ascii="Arial" w:eastAsia="Times New Roman" w:hAnsi="Arial" w:cs="Arial"/>
          <w:kern w:val="0"/>
          <w:sz w:val="28"/>
          <w:szCs w:val="20"/>
          <w14:ligatures w14:val="none"/>
        </w:rPr>
        <w:tab/>
        <w:t>Whether the goods and services to be provided are available from other sources as a comparable service and benefit, including, but not limited to, health or disability insurance, employee benefits, social security programs, welfare and social service programs, and other programs sponsored by federal, state, city, and county government agencies that serve individuals with disabilities.</w:t>
      </w:r>
    </w:p>
    <w:p w14:paraId="6957210F"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p>
    <w:p w14:paraId="4E9C30D0"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lastRenderedPageBreak/>
        <w:t>(2)</w:t>
      </w:r>
      <w:r w:rsidRPr="00165433">
        <w:rPr>
          <w:rFonts w:ascii="Arial" w:eastAsia="Times New Roman" w:hAnsi="Arial" w:cs="Arial"/>
          <w:kern w:val="0"/>
          <w:sz w:val="28"/>
          <w:szCs w:val="20"/>
          <w14:ligatures w14:val="none"/>
        </w:rPr>
        <w:tab/>
        <w:t>The extent of the individual’s financial participation in the cost of goods and services to be provided.</w:t>
      </w:r>
    </w:p>
    <w:p w14:paraId="590978C6"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p>
    <w:p w14:paraId="5B6B1C45" w14:textId="77777777" w:rsidR="00165433" w:rsidRPr="00165433" w:rsidRDefault="00165433" w:rsidP="00165433">
      <w:pPr>
        <w:spacing w:after="0" w:line="240" w:lineRule="auto"/>
        <w:ind w:left="720"/>
        <w:rPr>
          <w:rFonts w:ascii="Arial" w:eastAsia="Times New Roman" w:hAnsi="Arial" w:cs="Arial"/>
          <w:kern w:val="0"/>
          <w:sz w:val="28"/>
          <w:szCs w:val="20"/>
          <w14:ligatures w14:val="none"/>
        </w:rPr>
      </w:pPr>
      <w:r w:rsidRPr="00165433">
        <w:rPr>
          <w:rFonts w:ascii="Arial" w:eastAsia="Times New Roman" w:hAnsi="Arial" w:cs="Arial"/>
          <w:kern w:val="0"/>
          <w:sz w:val="28"/>
          <w:szCs w:val="20"/>
          <w14:ligatures w14:val="none"/>
        </w:rPr>
        <w:t>(3)</w:t>
      </w:r>
      <w:r w:rsidRPr="00165433">
        <w:rPr>
          <w:rFonts w:ascii="Arial" w:eastAsia="Times New Roman" w:hAnsi="Arial" w:cs="Arial"/>
          <w:kern w:val="0"/>
          <w:sz w:val="28"/>
          <w:szCs w:val="20"/>
          <w14:ligatures w14:val="none"/>
        </w:rPr>
        <w:tab/>
        <w:t>That other, more cost-effective, alternatives are not available.</w:t>
      </w:r>
    </w:p>
    <w:p w14:paraId="372862D3" w14:textId="77777777" w:rsidR="00165433" w:rsidRPr="00165433" w:rsidRDefault="00165433" w:rsidP="00165433">
      <w:pPr>
        <w:spacing w:after="0" w:line="240" w:lineRule="auto"/>
        <w:rPr>
          <w:rFonts w:ascii="Arial" w:eastAsia="Times New Roman" w:hAnsi="Arial" w:cs="Arial"/>
          <w:kern w:val="0"/>
          <w:sz w:val="28"/>
          <w:szCs w:val="20"/>
          <w14:ligatures w14:val="none"/>
        </w:rPr>
      </w:pPr>
    </w:p>
    <w:p w14:paraId="236417BD" w14:textId="77777777" w:rsidR="00165433" w:rsidRPr="00165433" w:rsidRDefault="00165433" w:rsidP="00165433">
      <w:pPr>
        <w:spacing w:after="0" w:line="240" w:lineRule="auto"/>
        <w:rPr>
          <w:rFonts w:ascii="Arial" w:eastAsia="Times New Roman" w:hAnsi="Arial" w:cs="Arial"/>
          <w:strike/>
          <w:kern w:val="0"/>
          <w:sz w:val="28"/>
          <w:szCs w:val="20"/>
          <w14:ligatures w14:val="none"/>
        </w:rPr>
      </w:pPr>
      <w:r w:rsidRPr="00165433">
        <w:rPr>
          <w:rFonts w:ascii="Arial" w:eastAsia="Times New Roman" w:hAnsi="Arial" w:cs="Arial"/>
          <w:kern w:val="0"/>
          <w:sz w:val="28"/>
          <w:szCs w:val="20"/>
          <w14:ligatures w14:val="none"/>
        </w:rPr>
        <w:t>NOTE:  Authority cited: Sections 19006 and 19016, Welfare and Institutions Code. Reference: 29 USC 721(a)(8); 34 CFR Sections 361.5(b)(10), 361.13, 361.48, 361.53, and 361.54; and Sections 19018 and 19150, Welfare and Institutions Code.</w:t>
      </w:r>
    </w:p>
    <w:p w14:paraId="5E45E0D2" w14:textId="77777777" w:rsidR="00165433" w:rsidRPr="00165433" w:rsidRDefault="00165433" w:rsidP="00165433">
      <w:pPr>
        <w:pStyle w:val="DOR"/>
      </w:pPr>
    </w:p>
    <w:sectPr w:rsidR="00165433" w:rsidRPr="001654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15E9" w14:textId="77777777" w:rsidR="00165433" w:rsidRDefault="00165433" w:rsidP="00165433">
      <w:pPr>
        <w:spacing w:after="0" w:line="240" w:lineRule="auto"/>
      </w:pPr>
      <w:r>
        <w:separator/>
      </w:r>
    </w:p>
  </w:endnote>
  <w:endnote w:type="continuationSeparator" w:id="0">
    <w:p w14:paraId="5C4A7F98" w14:textId="77777777" w:rsidR="00165433" w:rsidRDefault="00165433" w:rsidP="0016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D6DF" w14:textId="24C6A130" w:rsidR="00165433" w:rsidRPr="00165433" w:rsidRDefault="00657C5C" w:rsidP="00657C5C">
    <w:pPr>
      <w:pStyle w:val="Footer"/>
      <w:jc w:val="center"/>
      <w:rPr>
        <w:rFonts w:ascii="Arial" w:hAnsi="Arial" w:cs="Arial"/>
      </w:rPr>
    </w:pPr>
    <w:r>
      <w:rPr>
        <w:rFonts w:ascii="Arial" w:hAnsi="Arial" w:cs="Arial"/>
        <w:i/>
        <w:iCs/>
      </w:rPr>
      <w:t xml:space="preserve">June 11-12, 2025 SRC Quarterly Meeting </w:t>
    </w:r>
    <w:r w:rsidR="00D80E9E">
      <w:rPr>
        <w:rFonts w:ascii="Arial" w:hAnsi="Arial" w:cs="Arial"/>
      </w:rPr>
      <w:tab/>
    </w:r>
    <w:r>
      <w:rPr>
        <w:rFonts w:ascii="Arial" w:hAnsi="Arial" w:cs="Arial"/>
      </w:rPr>
      <w:t xml:space="preserve"> </w:t>
    </w:r>
    <w:r>
      <w:rPr>
        <w:rFonts w:ascii="Arial" w:hAnsi="Arial" w:cs="Arial"/>
      </w:rPr>
      <w:tab/>
    </w:r>
    <w:r w:rsidR="00165433" w:rsidRPr="00165433">
      <w:rPr>
        <w:rFonts w:ascii="Arial" w:hAnsi="Arial" w:cs="Arial"/>
      </w:rPr>
      <w:t xml:space="preserve">Page </w:t>
    </w:r>
    <w:sdt>
      <w:sdtPr>
        <w:rPr>
          <w:rFonts w:ascii="Arial" w:hAnsi="Arial" w:cs="Arial"/>
        </w:rPr>
        <w:id w:val="-1262294310"/>
        <w:docPartObj>
          <w:docPartGallery w:val="Page Numbers (Bottom of Page)"/>
          <w:docPartUnique/>
        </w:docPartObj>
      </w:sdtPr>
      <w:sdtEndPr>
        <w:rPr>
          <w:noProof/>
        </w:rPr>
      </w:sdtEndPr>
      <w:sdtContent>
        <w:r w:rsidR="00165433" w:rsidRPr="00165433">
          <w:rPr>
            <w:rFonts w:ascii="Arial" w:hAnsi="Arial" w:cs="Arial"/>
          </w:rPr>
          <w:fldChar w:fldCharType="begin"/>
        </w:r>
        <w:r w:rsidR="00165433" w:rsidRPr="00165433">
          <w:rPr>
            <w:rFonts w:ascii="Arial" w:hAnsi="Arial" w:cs="Arial"/>
          </w:rPr>
          <w:instrText xml:space="preserve"> PAGE   \* MERGEFORMAT </w:instrText>
        </w:r>
        <w:r w:rsidR="00165433" w:rsidRPr="00165433">
          <w:rPr>
            <w:rFonts w:ascii="Arial" w:hAnsi="Arial" w:cs="Arial"/>
          </w:rPr>
          <w:fldChar w:fldCharType="separate"/>
        </w:r>
        <w:r w:rsidR="00165433" w:rsidRPr="00165433">
          <w:rPr>
            <w:rFonts w:ascii="Arial" w:hAnsi="Arial" w:cs="Arial"/>
            <w:noProof/>
          </w:rPr>
          <w:t>2</w:t>
        </w:r>
        <w:r w:rsidR="00165433" w:rsidRPr="00165433">
          <w:rPr>
            <w:rFonts w:ascii="Arial" w:hAnsi="Arial" w:cs="Arial"/>
            <w:noProof/>
          </w:rPr>
          <w:fldChar w:fldCharType="end"/>
        </w:r>
      </w:sdtContent>
    </w:sdt>
  </w:p>
  <w:p w14:paraId="244E0572" w14:textId="77777777" w:rsidR="00165433" w:rsidRDefault="0016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1290" w14:textId="77777777" w:rsidR="00165433" w:rsidRDefault="00165433" w:rsidP="00165433">
      <w:pPr>
        <w:spacing w:after="0" w:line="240" w:lineRule="auto"/>
      </w:pPr>
      <w:r>
        <w:separator/>
      </w:r>
    </w:p>
  </w:footnote>
  <w:footnote w:type="continuationSeparator" w:id="0">
    <w:p w14:paraId="620038EA" w14:textId="77777777" w:rsidR="00165433" w:rsidRDefault="00165433" w:rsidP="001654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33"/>
    <w:rsid w:val="00165433"/>
    <w:rsid w:val="00657C5C"/>
    <w:rsid w:val="006F4C97"/>
    <w:rsid w:val="008F3C1D"/>
    <w:rsid w:val="009D2232"/>
    <w:rsid w:val="009F41ED"/>
    <w:rsid w:val="00A64E5F"/>
    <w:rsid w:val="00D8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86B1"/>
  <w15:chartTrackingRefBased/>
  <w15:docId w15:val="{43FE3D51-0B61-42FB-8FC6-3838228E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433"/>
    <w:pPr>
      <w:keepNext/>
      <w:keepLines/>
      <w:spacing w:after="0" w:line="240"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semiHidden/>
    <w:unhideWhenUsed/>
    <w:qFormat/>
    <w:rsid w:val="00165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5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pPr>
      <w:spacing w:after="0" w:line="240" w:lineRule="auto"/>
    </w:pPr>
    <w:rPr>
      <w:rFonts w:ascii="Arial" w:hAnsi="Arial" w:cs="Calibri"/>
      <w:kern w:val="0"/>
      <w:sz w:val="28"/>
    </w:rPr>
  </w:style>
  <w:style w:type="character" w:customStyle="1" w:styleId="DORChar">
    <w:name w:val="DOR Char"/>
    <w:basedOn w:val="DefaultParagraphFont"/>
    <w:link w:val="DOR"/>
    <w:rsid w:val="00A64E5F"/>
    <w:rPr>
      <w:rFonts w:ascii="Arial" w:hAnsi="Arial" w:cs="Calibri"/>
      <w:kern w:val="0"/>
      <w:sz w:val="28"/>
    </w:rPr>
  </w:style>
  <w:style w:type="character" w:customStyle="1" w:styleId="Heading1Char">
    <w:name w:val="Heading 1 Char"/>
    <w:basedOn w:val="DefaultParagraphFont"/>
    <w:link w:val="Heading1"/>
    <w:uiPriority w:val="9"/>
    <w:rsid w:val="00165433"/>
    <w:rPr>
      <w:rFonts w:ascii="Arial" w:eastAsiaTheme="majorEastAsia" w:hAnsi="Arial" w:cstheme="majorBidi"/>
      <w:b/>
      <w:sz w:val="28"/>
      <w:szCs w:val="40"/>
    </w:rPr>
  </w:style>
  <w:style w:type="character" w:customStyle="1" w:styleId="Heading2Char">
    <w:name w:val="Heading 2 Char"/>
    <w:basedOn w:val="DefaultParagraphFont"/>
    <w:link w:val="Heading2"/>
    <w:uiPriority w:val="9"/>
    <w:semiHidden/>
    <w:rsid w:val="00165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5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433"/>
    <w:rPr>
      <w:rFonts w:eastAsiaTheme="majorEastAsia" w:cstheme="majorBidi"/>
      <w:color w:val="272727" w:themeColor="text1" w:themeTint="D8"/>
    </w:rPr>
  </w:style>
  <w:style w:type="paragraph" w:styleId="Title">
    <w:name w:val="Title"/>
    <w:basedOn w:val="Normal"/>
    <w:next w:val="Normal"/>
    <w:link w:val="TitleChar"/>
    <w:uiPriority w:val="10"/>
    <w:qFormat/>
    <w:rsid w:val="00165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433"/>
    <w:pPr>
      <w:spacing w:before="160"/>
      <w:jc w:val="center"/>
    </w:pPr>
    <w:rPr>
      <w:i/>
      <w:iCs/>
      <w:color w:val="404040" w:themeColor="text1" w:themeTint="BF"/>
    </w:rPr>
  </w:style>
  <w:style w:type="character" w:customStyle="1" w:styleId="QuoteChar">
    <w:name w:val="Quote Char"/>
    <w:basedOn w:val="DefaultParagraphFont"/>
    <w:link w:val="Quote"/>
    <w:uiPriority w:val="29"/>
    <w:rsid w:val="00165433"/>
    <w:rPr>
      <w:i/>
      <w:iCs/>
      <w:color w:val="404040" w:themeColor="text1" w:themeTint="BF"/>
    </w:rPr>
  </w:style>
  <w:style w:type="paragraph" w:styleId="ListParagraph">
    <w:name w:val="List Paragraph"/>
    <w:basedOn w:val="Normal"/>
    <w:uiPriority w:val="34"/>
    <w:qFormat/>
    <w:rsid w:val="00165433"/>
    <w:pPr>
      <w:ind w:left="720"/>
      <w:contextualSpacing/>
    </w:pPr>
  </w:style>
  <w:style w:type="character" w:styleId="IntenseEmphasis">
    <w:name w:val="Intense Emphasis"/>
    <w:basedOn w:val="DefaultParagraphFont"/>
    <w:uiPriority w:val="21"/>
    <w:qFormat/>
    <w:rsid w:val="00165433"/>
    <w:rPr>
      <w:i/>
      <w:iCs/>
      <w:color w:val="0F4761" w:themeColor="accent1" w:themeShade="BF"/>
    </w:rPr>
  </w:style>
  <w:style w:type="paragraph" w:styleId="IntenseQuote">
    <w:name w:val="Intense Quote"/>
    <w:basedOn w:val="Normal"/>
    <w:next w:val="Normal"/>
    <w:link w:val="IntenseQuoteChar"/>
    <w:uiPriority w:val="30"/>
    <w:qFormat/>
    <w:rsid w:val="00165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433"/>
    <w:rPr>
      <w:i/>
      <w:iCs/>
      <w:color w:val="0F4761" w:themeColor="accent1" w:themeShade="BF"/>
    </w:rPr>
  </w:style>
  <w:style w:type="character" w:styleId="IntenseReference">
    <w:name w:val="Intense Reference"/>
    <w:basedOn w:val="DefaultParagraphFont"/>
    <w:uiPriority w:val="32"/>
    <w:qFormat/>
    <w:rsid w:val="00165433"/>
    <w:rPr>
      <w:b/>
      <w:bCs/>
      <w:smallCaps/>
      <w:color w:val="0F4761" w:themeColor="accent1" w:themeShade="BF"/>
      <w:spacing w:val="5"/>
    </w:rPr>
  </w:style>
  <w:style w:type="paragraph" w:styleId="BodyText">
    <w:name w:val="Body Text"/>
    <w:basedOn w:val="Normal"/>
    <w:link w:val="BodyTextChar"/>
    <w:uiPriority w:val="99"/>
    <w:semiHidden/>
    <w:rsid w:val="00165433"/>
    <w:pPr>
      <w:spacing w:after="0" w:line="240" w:lineRule="auto"/>
    </w:pPr>
    <w:rPr>
      <w:rFonts w:ascii="Arial" w:eastAsia="Times New Roman" w:hAnsi="Arial" w:cs="Arial"/>
      <w:kern w:val="0"/>
      <w:sz w:val="28"/>
      <w:szCs w:val="20"/>
      <w14:ligatures w14:val="none"/>
    </w:rPr>
  </w:style>
  <w:style w:type="character" w:customStyle="1" w:styleId="BodyTextChar">
    <w:name w:val="Body Text Char"/>
    <w:basedOn w:val="DefaultParagraphFont"/>
    <w:link w:val="BodyText"/>
    <w:uiPriority w:val="99"/>
    <w:semiHidden/>
    <w:rsid w:val="00165433"/>
    <w:rPr>
      <w:rFonts w:ascii="Arial" w:eastAsia="Times New Roman" w:hAnsi="Arial" w:cs="Arial"/>
      <w:kern w:val="0"/>
      <w:sz w:val="28"/>
      <w:szCs w:val="20"/>
      <w14:ligatures w14:val="none"/>
    </w:rPr>
  </w:style>
  <w:style w:type="character" w:styleId="Hyperlink">
    <w:name w:val="Hyperlink"/>
    <w:basedOn w:val="DefaultParagraphFont"/>
    <w:uiPriority w:val="99"/>
    <w:unhideWhenUsed/>
    <w:rsid w:val="00165433"/>
    <w:rPr>
      <w:color w:val="467886" w:themeColor="hyperlink"/>
      <w:u w:val="single"/>
    </w:rPr>
  </w:style>
  <w:style w:type="character" w:styleId="UnresolvedMention">
    <w:name w:val="Unresolved Mention"/>
    <w:basedOn w:val="DefaultParagraphFont"/>
    <w:uiPriority w:val="99"/>
    <w:semiHidden/>
    <w:unhideWhenUsed/>
    <w:rsid w:val="00165433"/>
    <w:rPr>
      <w:color w:val="605E5C"/>
      <w:shd w:val="clear" w:color="auto" w:fill="E1DFDD"/>
    </w:rPr>
  </w:style>
  <w:style w:type="paragraph" w:styleId="Header">
    <w:name w:val="header"/>
    <w:basedOn w:val="Normal"/>
    <w:link w:val="HeaderChar"/>
    <w:uiPriority w:val="99"/>
    <w:unhideWhenUsed/>
    <w:rsid w:val="00165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33"/>
  </w:style>
  <w:style w:type="paragraph" w:styleId="Footer">
    <w:name w:val="footer"/>
    <w:basedOn w:val="Normal"/>
    <w:link w:val="FooterChar"/>
    <w:uiPriority w:val="99"/>
    <w:unhideWhenUsed/>
    <w:rsid w:val="0016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3</cp:revision>
  <dcterms:created xsi:type="dcterms:W3CDTF">2024-07-29T15:26:00Z</dcterms:created>
  <dcterms:modified xsi:type="dcterms:W3CDTF">2025-06-05T17:50:00Z</dcterms:modified>
</cp:coreProperties>
</file>