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E032" w14:textId="23C622DE" w:rsidR="00BA0FB3" w:rsidRDefault="00BA0FB3" w:rsidP="00E85496">
      <w:pPr>
        <w:rPr>
          <w:b/>
          <w:bCs/>
        </w:rPr>
      </w:pPr>
      <w:r>
        <w:rPr>
          <w:b/>
          <w:bCs/>
        </w:rPr>
        <w:t>DRAFT</w:t>
      </w:r>
    </w:p>
    <w:p w14:paraId="0CDCFDA8" w14:textId="77777777" w:rsidR="00BA0FB3" w:rsidRDefault="00BA0FB3" w:rsidP="00E85496">
      <w:pPr>
        <w:rPr>
          <w:b/>
          <w:bCs/>
        </w:rPr>
      </w:pPr>
    </w:p>
    <w:p w14:paraId="4AD91F78" w14:textId="392E58E3" w:rsidR="00B951A9" w:rsidRPr="00A84BA0" w:rsidRDefault="00B951A9" w:rsidP="00E85496">
      <w:pPr>
        <w:rPr>
          <w:b/>
          <w:bCs/>
        </w:rPr>
      </w:pPr>
      <w:r w:rsidRPr="00A84BA0">
        <w:rPr>
          <w:b/>
          <w:bCs/>
        </w:rPr>
        <w:t>Vocational Rehabilitation Portion of WIOA State Plan for the State of California</w:t>
      </w:r>
    </w:p>
    <w:p w14:paraId="069919A3" w14:textId="77777777" w:rsidR="00B951A9" w:rsidRPr="00A84BA0" w:rsidRDefault="00B951A9" w:rsidP="00E85496">
      <w:r w:rsidRPr="00A84BA0">
        <w:t>Program-Specific Requirements for Vocational Rehabilitation</w:t>
      </w:r>
    </w:p>
    <w:p w14:paraId="6C89B93C" w14:textId="77777777" w:rsidR="00B951A9" w:rsidRPr="00A84BA0" w:rsidRDefault="00B951A9" w:rsidP="00E85496">
      <w:pPr>
        <w:rPr>
          <w:b/>
          <w:bCs/>
        </w:rPr>
      </w:pPr>
    </w:p>
    <w:p w14:paraId="3A7929ED" w14:textId="5BB291A1" w:rsidR="00B951A9" w:rsidRPr="00A84BA0" w:rsidRDefault="00B951A9" w:rsidP="00E85496">
      <w:r w:rsidRPr="00A84BA0">
        <w:t>The Vocational Rehabilitation (VR) Services Portion of the Unified or Combined State Plan* must include the following descriptions and estimates, as required by section 101(a) of the Rehabilitation Act of 1973, as amended by WIOA:</w:t>
      </w:r>
    </w:p>
    <w:p w14:paraId="1DDACDC6" w14:textId="77777777" w:rsidR="00B951A9" w:rsidRPr="00A84BA0" w:rsidRDefault="00B951A9" w:rsidP="00E85496">
      <w:pPr>
        <w:rPr>
          <w:b/>
          <w:bCs/>
        </w:rPr>
      </w:pPr>
    </w:p>
    <w:p w14:paraId="554A4D47" w14:textId="7A941446" w:rsidR="00B951A9" w:rsidRPr="00A84BA0" w:rsidRDefault="00B951A9" w:rsidP="00E85496">
      <w:pPr>
        <w:rPr>
          <w:b/>
          <w:bCs/>
        </w:rPr>
      </w:pPr>
      <w:r w:rsidRPr="00A84BA0">
        <w:rPr>
          <w:b/>
          <w:bCs/>
        </w:rPr>
        <w:t>* Sec. 102(b)(D)(iii) of WIOA</w:t>
      </w:r>
    </w:p>
    <w:p w14:paraId="31FB113A" w14:textId="77777777" w:rsidR="00B951A9" w:rsidRPr="00A84BA0" w:rsidRDefault="00B951A9" w:rsidP="00E85496">
      <w:pPr>
        <w:rPr>
          <w:b/>
          <w:bCs/>
        </w:rPr>
      </w:pPr>
    </w:p>
    <w:p w14:paraId="1E837104" w14:textId="6E14E0A5" w:rsidR="00B951A9" w:rsidRPr="00A84BA0" w:rsidRDefault="00B951A9" w:rsidP="00E85496">
      <w:pPr>
        <w:rPr>
          <w:b/>
          <w:bCs/>
        </w:rPr>
      </w:pPr>
      <w:r w:rsidRPr="00A84BA0">
        <w:rPr>
          <w:b/>
          <w:bCs/>
        </w:rPr>
        <w:t>(a)</w:t>
      </w:r>
      <w:r w:rsidRPr="00A84BA0">
        <w:rPr>
          <w:b/>
          <w:bCs/>
        </w:rPr>
        <w:tab/>
        <w:t>State Rehabilitation Council</w:t>
      </w:r>
    </w:p>
    <w:p w14:paraId="6E292BEF" w14:textId="77777777" w:rsidR="00B951A9" w:rsidRPr="00A84BA0" w:rsidRDefault="00B951A9" w:rsidP="00E85496">
      <w:pPr>
        <w:rPr>
          <w:b/>
          <w:bCs/>
        </w:rPr>
      </w:pPr>
    </w:p>
    <w:p w14:paraId="33936039" w14:textId="07D0BE82" w:rsidR="00B951A9" w:rsidRPr="00A84BA0" w:rsidRDefault="00B951A9" w:rsidP="00C13F63">
      <w:pPr>
        <w:pStyle w:val="Heading1"/>
      </w:pPr>
      <w:r w:rsidRPr="00A84BA0">
        <w:t>All VR agencies, except for those that have an independent consumer-controlled commission, must have a State Rehabilitation Council (Council or SRC) that meets the criteria in section 105 of the Rehabilitation Act. The designated State agency or designated State unit, as applicable, has (select A or B):</w:t>
      </w:r>
    </w:p>
    <w:p w14:paraId="37DF4645" w14:textId="2CBAD9BC" w:rsidR="00B951A9" w:rsidRPr="00A84BA0" w:rsidRDefault="0023619C" w:rsidP="00E85496">
      <w:sdt>
        <w:sdtPr>
          <w:id w:val="285092257"/>
          <w14:checkbox>
            <w14:checked w14:val="0"/>
            <w14:checkedState w14:val="2612" w14:font="MS Gothic"/>
            <w14:uncheckedState w14:val="2610" w14:font="MS Gothic"/>
          </w14:checkbox>
        </w:sdtPr>
        <w:sdtEndPr/>
        <w:sdtContent>
          <w:r w:rsidR="00B951A9" w:rsidRPr="00A84BA0">
            <w:rPr>
              <w:rFonts w:ascii="MS Gothic" w:eastAsia="MS Gothic" w:hAnsi="MS Gothic" w:hint="eastAsia"/>
            </w:rPr>
            <w:t>☐</w:t>
          </w:r>
        </w:sdtContent>
      </w:sdt>
      <w:r w:rsidR="00B951A9" w:rsidRPr="00A84BA0">
        <w:t>(A) is an independent State commission.</w:t>
      </w:r>
    </w:p>
    <w:p w14:paraId="0B979D8F" w14:textId="04C721EC" w:rsidR="00B951A9" w:rsidRPr="00A84BA0" w:rsidRDefault="0023619C" w:rsidP="00E85496">
      <w:sdt>
        <w:sdtPr>
          <w:id w:val="-2116970298"/>
          <w14:checkbox>
            <w14:checked w14:val="1"/>
            <w14:checkedState w14:val="2612" w14:font="MS Gothic"/>
            <w14:uncheckedState w14:val="2610" w14:font="MS Gothic"/>
          </w14:checkbox>
        </w:sdtPr>
        <w:sdtEndPr/>
        <w:sdtContent>
          <w:r w:rsidR="00B951A9" w:rsidRPr="00A84BA0">
            <w:rPr>
              <w:rFonts w:ascii="MS Gothic" w:eastAsia="MS Gothic" w:hAnsi="MS Gothic" w:hint="eastAsia"/>
            </w:rPr>
            <w:t>☒</w:t>
          </w:r>
        </w:sdtContent>
      </w:sdt>
      <w:r w:rsidR="00B951A9" w:rsidRPr="00A84BA0">
        <w:t>(B) has established a State Rehabilitation Council.</w:t>
      </w:r>
    </w:p>
    <w:p w14:paraId="7EE13524" w14:textId="77777777" w:rsidR="00B951A9" w:rsidRPr="001639CF" w:rsidRDefault="00B951A9" w:rsidP="00E85496"/>
    <w:p w14:paraId="364F64F5" w14:textId="666D018C" w:rsidR="006F4C97" w:rsidRPr="00A84BA0" w:rsidRDefault="00B951A9" w:rsidP="00C13F63">
      <w:pPr>
        <w:pStyle w:val="Heading1"/>
        <w:rPr>
          <w:i w:val="0"/>
        </w:rPr>
      </w:pPr>
      <w:r w:rsidRPr="00A84BA0">
        <w:t>In accordance with Assurance 3(b), please provide information on the current composition of the Council by representative type, including the term number of the representative, as applicable, and any vacancies, as well as the beginning dates of each representative’s term.</w:t>
      </w:r>
    </w:p>
    <w:p w14:paraId="1085481D" w14:textId="77777777" w:rsidR="00B951A9" w:rsidRPr="001639CF" w:rsidRDefault="00B951A9" w:rsidP="00E85496">
      <w:pPr>
        <w:rPr>
          <w:bCs/>
          <w:i/>
          <w:iCs/>
        </w:rPr>
      </w:pPr>
    </w:p>
    <w:tbl>
      <w:tblPr>
        <w:tblStyle w:val="TableGrid"/>
        <w:tblW w:w="0" w:type="auto"/>
        <w:tblLook w:val="04A0" w:firstRow="1" w:lastRow="0" w:firstColumn="1" w:lastColumn="0" w:noHBand="0" w:noVBand="1"/>
      </w:tblPr>
      <w:tblGrid>
        <w:gridCol w:w="4288"/>
        <w:gridCol w:w="1964"/>
        <w:gridCol w:w="3098"/>
      </w:tblGrid>
      <w:tr w:rsidR="00B951A9" w:rsidRPr="001639CF" w14:paraId="6783AAEE" w14:textId="77777777" w:rsidTr="00A93829">
        <w:trPr>
          <w:tblHeader/>
        </w:trPr>
        <w:tc>
          <w:tcPr>
            <w:tcW w:w="4315" w:type="dxa"/>
            <w:shd w:val="clear" w:color="auto" w:fill="BFBFBF" w:themeFill="background1" w:themeFillShade="BF"/>
          </w:tcPr>
          <w:p w14:paraId="36F7D5EC" w14:textId="5D86A3D4" w:rsidR="00B951A9" w:rsidRPr="00F443F8" w:rsidRDefault="00B951A9" w:rsidP="00E85496">
            <w:pPr>
              <w:rPr>
                <w:b/>
              </w:rPr>
            </w:pPr>
            <w:r w:rsidRPr="00F443F8">
              <w:rPr>
                <w:b/>
              </w:rPr>
              <w:t>Council Representative</w:t>
            </w:r>
          </w:p>
        </w:tc>
        <w:tc>
          <w:tcPr>
            <w:tcW w:w="1918" w:type="dxa"/>
            <w:shd w:val="clear" w:color="auto" w:fill="BFBFBF" w:themeFill="background1" w:themeFillShade="BF"/>
          </w:tcPr>
          <w:p w14:paraId="2CDBE384" w14:textId="77777777" w:rsidR="00B951A9" w:rsidRPr="00F443F8" w:rsidRDefault="00B951A9" w:rsidP="00E85496">
            <w:pPr>
              <w:rPr>
                <w:b/>
              </w:rPr>
            </w:pPr>
            <w:r w:rsidRPr="00F443F8">
              <w:rPr>
                <w:b/>
              </w:rPr>
              <w:t>Current Term</w:t>
            </w:r>
          </w:p>
          <w:p w14:paraId="5CD69773" w14:textId="0F1A05CD" w:rsidR="00B951A9" w:rsidRPr="00F443F8" w:rsidRDefault="00B951A9" w:rsidP="00E85496">
            <w:pPr>
              <w:rPr>
                <w:b/>
              </w:rPr>
            </w:pPr>
            <w:r w:rsidRPr="00F443F8">
              <w:rPr>
                <w:b/>
              </w:rPr>
              <w:t>Number/Vacant</w:t>
            </w:r>
          </w:p>
        </w:tc>
        <w:tc>
          <w:tcPr>
            <w:tcW w:w="3117" w:type="dxa"/>
            <w:shd w:val="clear" w:color="auto" w:fill="BFBFBF" w:themeFill="background1" w:themeFillShade="BF"/>
          </w:tcPr>
          <w:p w14:paraId="2F7CF304" w14:textId="55E4C798" w:rsidR="00B951A9" w:rsidRPr="00F443F8" w:rsidRDefault="00B951A9" w:rsidP="00E85496">
            <w:pPr>
              <w:rPr>
                <w:b/>
              </w:rPr>
            </w:pPr>
            <w:r w:rsidRPr="00F443F8">
              <w:rPr>
                <w:b/>
              </w:rPr>
              <w:t>Beginning Date of Term Mo./Yr.</w:t>
            </w:r>
          </w:p>
        </w:tc>
      </w:tr>
      <w:tr w:rsidR="00B951A9" w:rsidRPr="001639CF" w14:paraId="4AE71C49" w14:textId="77777777" w:rsidTr="00B660BF">
        <w:tc>
          <w:tcPr>
            <w:tcW w:w="4315" w:type="dxa"/>
          </w:tcPr>
          <w:p w14:paraId="41415B6E" w14:textId="6ACD2806" w:rsidR="00B951A9" w:rsidRPr="001639CF" w:rsidRDefault="00AB66B7" w:rsidP="00E85496">
            <w:r w:rsidRPr="001639CF">
              <w:t>Statewide Independent Living Council (SILC)</w:t>
            </w:r>
          </w:p>
        </w:tc>
        <w:tc>
          <w:tcPr>
            <w:tcW w:w="1918" w:type="dxa"/>
          </w:tcPr>
          <w:p w14:paraId="035D652E" w14:textId="5B856D55" w:rsidR="00B951A9" w:rsidRPr="001639CF" w:rsidRDefault="00AB66B7" w:rsidP="00E85496">
            <w:r w:rsidRPr="001639CF">
              <w:t>2</w:t>
            </w:r>
          </w:p>
        </w:tc>
        <w:tc>
          <w:tcPr>
            <w:tcW w:w="3117" w:type="dxa"/>
          </w:tcPr>
          <w:p w14:paraId="38E2DE25" w14:textId="77777777" w:rsidR="001C2E0E" w:rsidRPr="00954EF8" w:rsidRDefault="00AB66B7" w:rsidP="00E85496">
            <w:r w:rsidRPr="00954EF8">
              <w:t>August 2025</w:t>
            </w:r>
            <w:r w:rsidR="001C2E0E" w:rsidRPr="00954EF8">
              <w:t xml:space="preserve"> </w:t>
            </w:r>
          </w:p>
          <w:p w14:paraId="30FF3D80" w14:textId="059001E7" w:rsidR="001639CF" w:rsidRPr="00954EF8" w:rsidRDefault="001639CF" w:rsidP="00E85496"/>
        </w:tc>
      </w:tr>
      <w:tr w:rsidR="001639CF" w:rsidRPr="001639CF" w14:paraId="03C1310B" w14:textId="77777777" w:rsidTr="00B660BF">
        <w:tc>
          <w:tcPr>
            <w:tcW w:w="4315" w:type="dxa"/>
          </w:tcPr>
          <w:p w14:paraId="1F34EC9F" w14:textId="5EB6848D" w:rsidR="001639CF" w:rsidRPr="001639CF" w:rsidRDefault="001639CF" w:rsidP="00E85496">
            <w:r w:rsidRPr="001639CF">
              <w:t>Parent Training and Information Center</w:t>
            </w:r>
          </w:p>
        </w:tc>
        <w:tc>
          <w:tcPr>
            <w:tcW w:w="1918" w:type="dxa"/>
          </w:tcPr>
          <w:p w14:paraId="4C6649E8" w14:textId="167E80D9" w:rsidR="001639CF" w:rsidRPr="001639CF" w:rsidRDefault="001639CF" w:rsidP="00E85496">
            <w:r w:rsidRPr="001639CF">
              <w:t>Vacant</w:t>
            </w:r>
          </w:p>
        </w:tc>
        <w:tc>
          <w:tcPr>
            <w:tcW w:w="3117" w:type="dxa"/>
          </w:tcPr>
          <w:p w14:paraId="0B2E2153" w14:textId="54B02BE0" w:rsidR="001639CF" w:rsidRPr="00954EF8" w:rsidRDefault="001639CF" w:rsidP="00E85496"/>
        </w:tc>
      </w:tr>
      <w:tr w:rsidR="001639CF" w:rsidRPr="001639CF" w14:paraId="6F9B003E" w14:textId="77777777" w:rsidTr="00B660BF">
        <w:tc>
          <w:tcPr>
            <w:tcW w:w="4315" w:type="dxa"/>
          </w:tcPr>
          <w:p w14:paraId="519CEA20" w14:textId="756B35E0" w:rsidR="001639CF" w:rsidRPr="001639CF" w:rsidRDefault="001639CF" w:rsidP="00E85496">
            <w:r w:rsidRPr="001639CF">
              <w:t>Client Assistance Program</w:t>
            </w:r>
          </w:p>
        </w:tc>
        <w:tc>
          <w:tcPr>
            <w:tcW w:w="1918" w:type="dxa"/>
          </w:tcPr>
          <w:p w14:paraId="0BCEA4C5" w14:textId="2CFEBE93" w:rsidR="001639CF" w:rsidRPr="001639CF" w:rsidRDefault="001639CF" w:rsidP="00E85496">
            <w:r w:rsidRPr="001639CF">
              <w:t>2</w:t>
            </w:r>
          </w:p>
        </w:tc>
        <w:tc>
          <w:tcPr>
            <w:tcW w:w="3117" w:type="dxa"/>
          </w:tcPr>
          <w:p w14:paraId="06D90B5F" w14:textId="77777777" w:rsidR="001639CF" w:rsidRPr="00954EF8" w:rsidRDefault="001639CF" w:rsidP="00E85496">
            <w:r w:rsidRPr="00954EF8">
              <w:t>August 2024</w:t>
            </w:r>
          </w:p>
          <w:p w14:paraId="1193D690" w14:textId="6224FBB8" w:rsidR="001639CF" w:rsidRPr="00954EF8" w:rsidRDefault="001639CF" w:rsidP="00E85496"/>
        </w:tc>
      </w:tr>
      <w:tr w:rsidR="001639CF" w:rsidRPr="001639CF" w14:paraId="0D58F6F4" w14:textId="77777777" w:rsidTr="00B660BF">
        <w:tc>
          <w:tcPr>
            <w:tcW w:w="4315" w:type="dxa"/>
          </w:tcPr>
          <w:p w14:paraId="258315D7" w14:textId="6B548353" w:rsidR="001639CF" w:rsidRPr="001639CF" w:rsidRDefault="001639CF" w:rsidP="00E85496">
            <w:r w:rsidRPr="001639CF">
              <w:t>Qualified Vocational Rehabilitation (VR) Counselor (Ex Officio if Employed by the VR Agency)</w:t>
            </w:r>
          </w:p>
        </w:tc>
        <w:tc>
          <w:tcPr>
            <w:tcW w:w="1918" w:type="dxa"/>
          </w:tcPr>
          <w:p w14:paraId="30E99E57" w14:textId="4BCBEBF5" w:rsidR="001639CF" w:rsidRPr="001639CF" w:rsidRDefault="00F3633C" w:rsidP="00E85496">
            <w:r>
              <w:t>2</w:t>
            </w:r>
          </w:p>
        </w:tc>
        <w:tc>
          <w:tcPr>
            <w:tcW w:w="3117" w:type="dxa"/>
          </w:tcPr>
          <w:p w14:paraId="0AF76906" w14:textId="2D42635B" w:rsidR="001639CF" w:rsidRPr="00954EF8" w:rsidRDefault="001639CF" w:rsidP="00E85496">
            <w:r w:rsidRPr="00954EF8">
              <w:t>September 202</w:t>
            </w:r>
            <w:r w:rsidR="00F3633C">
              <w:t>4</w:t>
            </w:r>
          </w:p>
          <w:p w14:paraId="0D6C4327" w14:textId="137795E4" w:rsidR="001639CF" w:rsidRPr="00954EF8" w:rsidRDefault="001639CF" w:rsidP="00E85496"/>
        </w:tc>
      </w:tr>
      <w:tr w:rsidR="001639CF" w:rsidRPr="001639CF" w14:paraId="6C79B77A" w14:textId="77777777" w:rsidTr="00B660BF">
        <w:tc>
          <w:tcPr>
            <w:tcW w:w="4315" w:type="dxa"/>
          </w:tcPr>
          <w:p w14:paraId="2906A291" w14:textId="27AFAC96" w:rsidR="001639CF" w:rsidRPr="001639CF" w:rsidRDefault="001639CF" w:rsidP="00E85496">
            <w:r w:rsidRPr="001639CF">
              <w:t>Community Rehabilitation Program Service Provider</w:t>
            </w:r>
          </w:p>
        </w:tc>
        <w:tc>
          <w:tcPr>
            <w:tcW w:w="1918" w:type="dxa"/>
          </w:tcPr>
          <w:p w14:paraId="7E9769CA" w14:textId="4DB58A3A" w:rsidR="001639CF" w:rsidRPr="001639CF" w:rsidRDefault="007A516A" w:rsidP="00E85496">
            <w:r>
              <w:t>1</w:t>
            </w:r>
          </w:p>
        </w:tc>
        <w:tc>
          <w:tcPr>
            <w:tcW w:w="3117" w:type="dxa"/>
          </w:tcPr>
          <w:p w14:paraId="11C277C7" w14:textId="5C71C03A" w:rsidR="001639CF" w:rsidRPr="00954EF8" w:rsidRDefault="007A516A" w:rsidP="00E85496">
            <w:r>
              <w:t>October 2025</w:t>
            </w:r>
          </w:p>
        </w:tc>
      </w:tr>
      <w:tr w:rsidR="001639CF" w:rsidRPr="001639CF" w14:paraId="460E748E" w14:textId="77777777" w:rsidTr="00B660BF">
        <w:tc>
          <w:tcPr>
            <w:tcW w:w="4315" w:type="dxa"/>
          </w:tcPr>
          <w:p w14:paraId="1480A747" w14:textId="4C0CCF6E" w:rsidR="001639CF" w:rsidRPr="001639CF" w:rsidRDefault="001639CF" w:rsidP="00E85496">
            <w:r w:rsidRPr="001639CF">
              <w:t>Business, Industry, and Labor</w:t>
            </w:r>
          </w:p>
        </w:tc>
        <w:tc>
          <w:tcPr>
            <w:tcW w:w="1918" w:type="dxa"/>
          </w:tcPr>
          <w:p w14:paraId="269E0E42" w14:textId="48A692A6" w:rsidR="001639CF" w:rsidRPr="001639CF" w:rsidRDefault="001639CF" w:rsidP="00E85496">
            <w:r w:rsidRPr="001639CF">
              <w:t>1</w:t>
            </w:r>
          </w:p>
        </w:tc>
        <w:tc>
          <w:tcPr>
            <w:tcW w:w="3117" w:type="dxa"/>
          </w:tcPr>
          <w:p w14:paraId="345D869E" w14:textId="77777777" w:rsidR="001639CF" w:rsidRPr="00954EF8" w:rsidRDefault="001639CF" w:rsidP="00E85496">
            <w:r w:rsidRPr="00954EF8">
              <w:t>August 2024</w:t>
            </w:r>
          </w:p>
          <w:p w14:paraId="1895CE0D" w14:textId="7E4410E0" w:rsidR="001639CF" w:rsidRPr="00954EF8" w:rsidRDefault="001639CF" w:rsidP="00E85496"/>
        </w:tc>
      </w:tr>
      <w:tr w:rsidR="001639CF" w:rsidRPr="001639CF" w14:paraId="20CC9EAB" w14:textId="77777777" w:rsidTr="00954EF8">
        <w:trPr>
          <w:trHeight w:val="56"/>
        </w:trPr>
        <w:tc>
          <w:tcPr>
            <w:tcW w:w="4315" w:type="dxa"/>
          </w:tcPr>
          <w:p w14:paraId="44412F76" w14:textId="5D0D8F63" w:rsidR="001639CF" w:rsidRPr="001639CF" w:rsidRDefault="001639CF" w:rsidP="00E85496">
            <w:r w:rsidRPr="001639CF">
              <w:t>Business, Industry, and Labor</w:t>
            </w:r>
          </w:p>
        </w:tc>
        <w:tc>
          <w:tcPr>
            <w:tcW w:w="1918" w:type="dxa"/>
          </w:tcPr>
          <w:p w14:paraId="13C6A586" w14:textId="3954BEAD" w:rsidR="001639CF" w:rsidRPr="001639CF" w:rsidRDefault="001639CF" w:rsidP="00E85496">
            <w:r w:rsidRPr="001639CF">
              <w:t>2</w:t>
            </w:r>
          </w:p>
        </w:tc>
        <w:tc>
          <w:tcPr>
            <w:tcW w:w="3117" w:type="dxa"/>
          </w:tcPr>
          <w:p w14:paraId="10AB297E" w14:textId="77777777" w:rsidR="001639CF" w:rsidRPr="00954EF8" w:rsidRDefault="001639CF" w:rsidP="00E85496">
            <w:r w:rsidRPr="00954EF8">
              <w:t>August 2024</w:t>
            </w:r>
          </w:p>
          <w:p w14:paraId="46C8CF7C" w14:textId="64D298FD" w:rsidR="001639CF" w:rsidRPr="00954EF8" w:rsidRDefault="001639CF" w:rsidP="00E85496"/>
        </w:tc>
      </w:tr>
      <w:tr w:rsidR="001639CF" w:rsidRPr="001639CF" w14:paraId="618C7655" w14:textId="77777777" w:rsidTr="00B660BF">
        <w:tc>
          <w:tcPr>
            <w:tcW w:w="4315" w:type="dxa"/>
          </w:tcPr>
          <w:p w14:paraId="1562A128" w14:textId="6C42B097" w:rsidR="001639CF" w:rsidRPr="001639CF" w:rsidRDefault="001639CF" w:rsidP="00E85496">
            <w:r w:rsidRPr="001639CF">
              <w:t>Business, Industry, and Labor</w:t>
            </w:r>
          </w:p>
        </w:tc>
        <w:tc>
          <w:tcPr>
            <w:tcW w:w="1918" w:type="dxa"/>
          </w:tcPr>
          <w:p w14:paraId="03CD4B2F" w14:textId="54F80515" w:rsidR="001639CF" w:rsidRPr="001639CF" w:rsidRDefault="001639CF" w:rsidP="00E85496">
            <w:r w:rsidRPr="001639CF">
              <w:t>Vacant</w:t>
            </w:r>
          </w:p>
        </w:tc>
        <w:tc>
          <w:tcPr>
            <w:tcW w:w="3117" w:type="dxa"/>
          </w:tcPr>
          <w:p w14:paraId="75CA00C5" w14:textId="7D5945AA" w:rsidR="001C2E0E" w:rsidRPr="00954EF8" w:rsidRDefault="001C2E0E" w:rsidP="00E85496"/>
        </w:tc>
      </w:tr>
      <w:tr w:rsidR="001639CF" w:rsidRPr="001639CF" w14:paraId="3BB68B90" w14:textId="77777777" w:rsidTr="00B660BF">
        <w:tc>
          <w:tcPr>
            <w:tcW w:w="4315" w:type="dxa"/>
          </w:tcPr>
          <w:p w14:paraId="0EDEC9B9" w14:textId="557D72B6" w:rsidR="001639CF" w:rsidRPr="001639CF" w:rsidRDefault="001639CF" w:rsidP="00E85496">
            <w:r w:rsidRPr="001639CF">
              <w:t>Business, Industry, and Labor</w:t>
            </w:r>
          </w:p>
        </w:tc>
        <w:tc>
          <w:tcPr>
            <w:tcW w:w="1918" w:type="dxa"/>
          </w:tcPr>
          <w:p w14:paraId="13ED7907" w14:textId="26AFB4F9" w:rsidR="001639CF" w:rsidRPr="001639CF" w:rsidRDefault="001639CF" w:rsidP="00E85496">
            <w:r w:rsidRPr="001639CF">
              <w:t>Vacant</w:t>
            </w:r>
          </w:p>
        </w:tc>
        <w:tc>
          <w:tcPr>
            <w:tcW w:w="3117" w:type="dxa"/>
          </w:tcPr>
          <w:p w14:paraId="1848CB93" w14:textId="144861F4" w:rsidR="001639CF" w:rsidRPr="00954EF8" w:rsidRDefault="001639CF" w:rsidP="00E85496"/>
        </w:tc>
      </w:tr>
      <w:tr w:rsidR="001639CF" w:rsidRPr="001639CF" w14:paraId="3B7805B7" w14:textId="77777777" w:rsidTr="00B660BF">
        <w:tc>
          <w:tcPr>
            <w:tcW w:w="4315" w:type="dxa"/>
          </w:tcPr>
          <w:p w14:paraId="2C3DE179" w14:textId="540CAD26" w:rsidR="001639CF" w:rsidRPr="001639CF" w:rsidRDefault="001639CF" w:rsidP="00E85496">
            <w:r w:rsidRPr="001639CF">
              <w:t>Disability Groups</w:t>
            </w:r>
          </w:p>
        </w:tc>
        <w:tc>
          <w:tcPr>
            <w:tcW w:w="1918" w:type="dxa"/>
          </w:tcPr>
          <w:p w14:paraId="5CFFB439" w14:textId="055B5C68" w:rsidR="001639CF" w:rsidRPr="001639CF" w:rsidRDefault="001639CF" w:rsidP="00E85496">
            <w:r w:rsidRPr="001639CF">
              <w:t>1</w:t>
            </w:r>
          </w:p>
        </w:tc>
        <w:tc>
          <w:tcPr>
            <w:tcW w:w="3117" w:type="dxa"/>
          </w:tcPr>
          <w:p w14:paraId="0022EFE0" w14:textId="77777777" w:rsidR="001639CF" w:rsidRDefault="001639CF" w:rsidP="00E85496">
            <w:r w:rsidRPr="00954EF8">
              <w:t>August 2025</w:t>
            </w:r>
          </w:p>
          <w:p w14:paraId="58B1E3AB" w14:textId="37E29BCB" w:rsidR="001639CF" w:rsidRPr="00351543" w:rsidRDefault="001639CF" w:rsidP="00E85496">
            <w:pPr>
              <w:rPr>
                <w:b/>
                <w:bCs/>
              </w:rPr>
            </w:pPr>
          </w:p>
        </w:tc>
      </w:tr>
      <w:tr w:rsidR="001639CF" w:rsidRPr="001639CF" w14:paraId="5A65477D" w14:textId="77777777" w:rsidTr="00B660BF">
        <w:tc>
          <w:tcPr>
            <w:tcW w:w="4315" w:type="dxa"/>
          </w:tcPr>
          <w:p w14:paraId="44FC0AD2" w14:textId="2DE99672" w:rsidR="001639CF" w:rsidRPr="001639CF" w:rsidRDefault="001639CF" w:rsidP="00E85496">
            <w:r w:rsidRPr="001639CF">
              <w:lastRenderedPageBreak/>
              <w:t>Disability Groups</w:t>
            </w:r>
          </w:p>
        </w:tc>
        <w:tc>
          <w:tcPr>
            <w:tcW w:w="1918" w:type="dxa"/>
          </w:tcPr>
          <w:p w14:paraId="1437F5B4" w14:textId="4D3C7696" w:rsidR="001639CF" w:rsidRPr="001639CF" w:rsidRDefault="001639CF" w:rsidP="00E85496">
            <w:r w:rsidRPr="001639CF">
              <w:t>Vacant</w:t>
            </w:r>
          </w:p>
        </w:tc>
        <w:tc>
          <w:tcPr>
            <w:tcW w:w="3117" w:type="dxa"/>
          </w:tcPr>
          <w:p w14:paraId="41D9C4F2" w14:textId="2EF67281" w:rsidR="001639CF" w:rsidRPr="001639CF" w:rsidRDefault="006213C5" w:rsidP="00F65934">
            <w:r>
              <w:t xml:space="preserve"> </w:t>
            </w:r>
          </w:p>
        </w:tc>
      </w:tr>
      <w:tr w:rsidR="001639CF" w:rsidRPr="001639CF" w14:paraId="29B21CC3" w14:textId="77777777" w:rsidTr="00B660BF">
        <w:tc>
          <w:tcPr>
            <w:tcW w:w="4315" w:type="dxa"/>
          </w:tcPr>
          <w:p w14:paraId="47C49EB3" w14:textId="52B99AE8" w:rsidR="001639CF" w:rsidRPr="001639CF" w:rsidRDefault="001639CF" w:rsidP="00E85496">
            <w:r w:rsidRPr="001639CF">
              <w:t>Current or Former Applicants for, or Recipients of, VR services</w:t>
            </w:r>
          </w:p>
        </w:tc>
        <w:tc>
          <w:tcPr>
            <w:tcW w:w="1918" w:type="dxa"/>
          </w:tcPr>
          <w:p w14:paraId="5D0918A2" w14:textId="18E38AC5" w:rsidR="001639CF" w:rsidRPr="001639CF" w:rsidRDefault="007A516A" w:rsidP="00E85496">
            <w:r>
              <w:t>1</w:t>
            </w:r>
          </w:p>
        </w:tc>
        <w:tc>
          <w:tcPr>
            <w:tcW w:w="3117" w:type="dxa"/>
          </w:tcPr>
          <w:p w14:paraId="4102F65D" w14:textId="5182EAA8" w:rsidR="001639CF" w:rsidRPr="001639CF" w:rsidRDefault="007A516A" w:rsidP="00E85496">
            <w:r>
              <w:t>October 2025</w:t>
            </w:r>
          </w:p>
        </w:tc>
      </w:tr>
      <w:tr w:rsidR="001639CF" w:rsidRPr="001639CF" w14:paraId="68BE1819" w14:textId="77777777" w:rsidTr="00B660BF">
        <w:tc>
          <w:tcPr>
            <w:tcW w:w="4315" w:type="dxa"/>
          </w:tcPr>
          <w:p w14:paraId="6FEB6399" w14:textId="6C46920E" w:rsidR="001639CF" w:rsidRPr="001639CF" w:rsidRDefault="001639CF" w:rsidP="00E85496">
            <w:r w:rsidRPr="001639CF">
              <w:t>Section 121 Project Directors in the State (as applicable)</w:t>
            </w:r>
          </w:p>
        </w:tc>
        <w:tc>
          <w:tcPr>
            <w:tcW w:w="1918" w:type="dxa"/>
          </w:tcPr>
          <w:p w14:paraId="3458E037" w14:textId="48EA422E" w:rsidR="001639CF" w:rsidRPr="001639CF" w:rsidRDefault="001639CF" w:rsidP="00E85496">
            <w:r w:rsidRPr="001639CF">
              <w:t>Vacant</w:t>
            </w:r>
          </w:p>
        </w:tc>
        <w:tc>
          <w:tcPr>
            <w:tcW w:w="3117" w:type="dxa"/>
          </w:tcPr>
          <w:p w14:paraId="509E6CBB" w14:textId="5ADE1421" w:rsidR="001639CF" w:rsidRPr="001639CF" w:rsidRDefault="001639CF" w:rsidP="00E85496"/>
        </w:tc>
      </w:tr>
      <w:tr w:rsidR="001639CF" w:rsidRPr="001639CF" w14:paraId="68D822A6" w14:textId="77777777" w:rsidTr="00B660BF">
        <w:tc>
          <w:tcPr>
            <w:tcW w:w="4315" w:type="dxa"/>
          </w:tcPr>
          <w:p w14:paraId="3D068B26" w14:textId="77777777" w:rsidR="001639CF" w:rsidRPr="001639CF" w:rsidRDefault="001639CF" w:rsidP="00E85496">
            <w:r w:rsidRPr="001639CF">
              <w:t>State Educational Agency Responsible for Students with Disabilities Eligible to Receive Services under Part B of the</w:t>
            </w:r>
          </w:p>
          <w:p w14:paraId="5F64646F" w14:textId="3F150B3E" w:rsidR="001639CF" w:rsidRPr="001639CF" w:rsidRDefault="001639CF" w:rsidP="00E85496">
            <w:r w:rsidRPr="001639CF">
              <w:t>Individuals with Disabilities Education Act (IDEA)</w:t>
            </w:r>
          </w:p>
        </w:tc>
        <w:tc>
          <w:tcPr>
            <w:tcW w:w="1918" w:type="dxa"/>
          </w:tcPr>
          <w:p w14:paraId="296DF1E2" w14:textId="5B643BA1" w:rsidR="001639CF" w:rsidRPr="001639CF" w:rsidRDefault="001639CF" w:rsidP="00E85496">
            <w:r w:rsidRPr="001639CF">
              <w:t>1</w:t>
            </w:r>
          </w:p>
        </w:tc>
        <w:tc>
          <w:tcPr>
            <w:tcW w:w="3117" w:type="dxa"/>
          </w:tcPr>
          <w:p w14:paraId="45A5B353" w14:textId="77777777" w:rsidR="001639CF" w:rsidRPr="001639CF" w:rsidRDefault="001639CF" w:rsidP="00E85496">
            <w:r w:rsidRPr="001639CF">
              <w:t>November 2024</w:t>
            </w:r>
          </w:p>
          <w:p w14:paraId="79E532BB" w14:textId="26711277" w:rsidR="001639CF" w:rsidRPr="001639CF" w:rsidRDefault="001639CF" w:rsidP="00E85496"/>
        </w:tc>
      </w:tr>
      <w:tr w:rsidR="001639CF" w:rsidRPr="001639CF" w14:paraId="10FFC98D" w14:textId="77777777" w:rsidTr="00B660BF">
        <w:tc>
          <w:tcPr>
            <w:tcW w:w="4315" w:type="dxa"/>
          </w:tcPr>
          <w:p w14:paraId="45BD695E" w14:textId="0AC18F51" w:rsidR="001639CF" w:rsidRPr="001639CF" w:rsidRDefault="001639CF" w:rsidP="00E85496">
            <w:r w:rsidRPr="001639CF">
              <w:t>State Workforce Development Board</w:t>
            </w:r>
          </w:p>
        </w:tc>
        <w:tc>
          <w:tcPr>
            <w:tcW w:w="1918" w:type="dxa"/>
          </w:tcPr>
          <w:p w14:paraId="0E80118B" w14:textId="3EA3BE96" w:rsidR="001639CF" w:rsidRPr="001639CF" w:rsidRDefault="001639CF" w:rsidP="00E85496">
            <w:r w:rsidRPr="001639CF">
              <w:t>2</w:t>
            </w:r>
          </w:p>
        </w:tc>
        <w:tc>
          <w:tcPr>
            <w:tcW w:w="3117" w:type="dxa"/>
          </w:tcPr>
          <w:p w14:paraId="53D48EC9" w14:textId="77777777" w:rsidR="001639CF" w:rsidRDefault="001639CF" w:rsidP="00E85496">
            <w:r w:rsidRPr="001639CF">
              <w:t>August 2025</w:t>
            </w:r>
          </w:p>
          <w:p w14:paraId="622DC587" w14:textId="14B718F9" w:rsidR="00136C11" w:rsidRPr="001639CF" w:rsidRDefault="00136C11" w:rsidP="00E85496"/>
        </w:tc>
      </w:tr>
    </w:tbl>
    <w:p w14:paraId="0DB4B5B3" w14:textId="77777777" w:rsidR="00B951A9" w:rsidRDefault="00B951A9" w:rsidP="00E85496">
      <w:pPr>
        <w:rPr>
          <w:bCs/>
        </w:rPr>
      </w:pPr>
    </w:p>
    <w:p w14:paraId="07907CC1" w14:textId="5C9A55B5" w:rsidR="002F4F6E" w:rsidRDefault="002F4F6E" w:rsidP="00C13F63">
      <w:pPr>
        <w:pStyle w:val="Heading1"/>
      </w:pPr>
      <w:r w:rsidRPr="00F443F8">
        <w:t>If the SRC is not meeting the composition requirements in section 105(b) of the Rehabilitation Act and/or is not meeting quarterly as required in section 105(f) of the Rehabilitation Act, provide the steps that the VR agency is taking to ensure it meets those requirements.</w:t>
      </w:r>
    </w:p>
    <w:p w14:paraId="47C75998" w14:textId="02918FAA" w:rsidR="00857EC8" w:rsidRPr="00857EC8" w:rsidRDefault="00857EC8" w:rsidP="00857EC8">
      <w:pPr>
        <w:rPr>
          <w:b/>
          <w:bCs/>
          <w:i/>
          <w:iCs/>
        </w:rPr>
      </w:pPr>
      <w:r w:rsidRPr="00857EC8">
        <w:rPr>
          <w:b/>
          <w:bCs/>
          <w:i/>
          <w:iCs/>
        </w:rPr>
        <w:t>[text box]</w:t>
      </w:r>
    </w:p>
    <w:p w14:paraId="75AEADB7" w14:textId="026A00E6" w:rsidR="002F4F6E" w:rsidRDefault="00F76EDC" w:rsidP="00E85496">
      <w:r w:rsidRPr="0018450D">
        <w:rPr>
          <w:u w:val="single"/>
        </w:rPr>
        <w:t>Meetings:</w:t>
      </w:r>
      <w:r w:rsidRPr="00F76EDC">
        <w:t xml:space="preserve"> The SRC </w:t>
      </w:r>
      <w:r w:rsidR="00F443F8">
        <w:t>holds</w:t>
      </w:r>
      <w:r w:rsidRPr="00F76EDC">
        <w:t xml:space="preserve"> consistent quarterly meetings and numerous subcommittee meetings throughout the year.</w:t>
      </w:r>
    </w:p>
    <w:p w14:paraId="2F71E80A" w14:textId="77777777" w:rsidR="00920FE7" w:rsidRDefault="00920FE7" w:rsidP="00E85496"/>
    <w:p w14:paraId="61B8F551" w14:textId="77777777" w:rsidR="00920FE7" w:rsidRPr="00920FE7" w:rsidRDefault="00920FE7" w:rsidP="00E85496">
      <w:r w:rsidRPr="0018450D">
        <w:rPr>
          <w:u w:val="single"/>
        </w:rPr>
        <w:t>Recruitment:</w:t>
      </w:r>
      <w:r w:rsidRPr="00920FE7">
        <w:t xml:space="preserve"> The CDOR leadership and the SRC Executive Officer engage in ongoing recruitment efforts, which include (but are not limited to):</w:t>
      </w:r>
    </w:p>
    <w:p w14:paraId="132A8929" w14:textId="77777777" w:rsidR="00920FE7" w:rsidRDefault="00920FE7" w:rsidP="00E85496">
      <w:pPr>
        <w:pStyle w:val="ListParagraph"/>
        <w:numPr>
          <w:ilvl w:val="0"/>
          <w:numId w:val="8"/>
        </w:numPr>
      </w:pPr>
      <w:r w:rsidRPr="00920FE7">
        <w:t>Sharing information about SRC membership opportunities at conferences, trainings, and statewide events.</w:t>
      </w:r>
    </w:p>
    <w:p w14:paraId="4E1C4D09" w14:textId="77777777" w:rsidR="00920FE7" w:rsidRDefault="00920FE7" w:rsidP="00E85496">
      <w:pPr>
        <w:pStyle w:val="ListParagraph"/>
        <w:numPr>
          <w:ilvl w:val="0"/>
          <w:numId w:val="8"/>
        </w:numPr>
      </w:pPr>
      <w:r w:rsidRPr="00920FE7">
        <w:t>Recruiting at local workforce development meetings.</w:t>
      </w:r>
    </w:p>
    <w:p w14:paraId="5A03B1E9" w14:textId="77777777" w:rsidR="00920FE7" w:rsidRDefault="00920FE7" w:rsidP="00E85496">
      <w:pPr>
        <w:pStyle w:val="ListParagraph"/>
        <w:numPr>
          <w:ilvl w:val="0"/>
          <w:numId w:val="8"/>
        </w:numPr>
      </w:pPr>
      <w:r w:rsidRPr="00920FE7">
        <w:t>Communicating with other state advisory councils and boards.</w:t>
      </w:r>
    </w:p>
    <w:p w14:paraId="1D1E6010" w14:textId="77777777" w:rsidR="00920FE7" w:rsidRDefault="00920FE7" w:rsidP="00E85496">
      <w:pPr>
        <w:pStyle w:val="ListParagraph"/>
        <w:numPr>
          <w:ilvl w:val="0"/>
          <w:numId w:val="8"/>
        </w:numPr>
      </w:pPr>
      <w:r w:rsidRPr="00920FE7">
        <w:t>Connecting with leadership from state departments and partner agencies.</w:t>
      </w:r>
    </w:p>
    <w:p w14:paraId="485C2FAA" w14:textId="77777777" w:rsidR="00920FE7" w:rsidRDefault="00920FE7" w:rsidP="00E85496">
      <w:pPr>
        <w:pStyle w:val="ListParagraph"/>
        <w:numPr>
          <w:ilvl w:val="0"/>
          <w:numId w:val="8"/>
        </w:numPr>
      </w:pPr>
      <w:r w:rsidRPr="00920FE7">
        <w:t>Encouraging current SRC members to share recruitment materials with their networks.</w:t>
      </w:r>
    </w:p>
    <w:p w14:paraId="4FE5D1EA" w14:textId="77777777" w:rsidR="00920FE7" w:rsidRDefault="00920FE7" w:rsidP="00E85496">
      <w:pPr>
        <w:pStyle w:val="ListParagraph"/>
        <w:numPr>
          <w:ilvl w:val="0"/>
          <w:numId w:val="8"/>
        </w:numPr>
      </w:pPr>
      <w:r w:rsidRPr="00920FE7">
        <w:t>Including membership information in the SRC Annual Report and on the SRC webpage.</w:t>
      </w:r>
    </w:p>
    <w:p w14:paraId="0FC4F53F" w14:textId="77777777" w:rsidR="00920FE7" w:rsidRDefault="00920FE7" w:rsidP="00E85496">
      <w:pPr>
        <w:pStyle w:val="ListParagraph"/>
        <w:numPr>
          <w:ilvl w:val="0"/>
          <w:numId w:val="8"/>
        </w:numPr>
      </w:pPr>
      <w:r w:rsidRPr="00920FE7">
        <w:t>Following up with interested individuals who attend SRC meetings.</w:t>
      </w:r>
    </w:p>
    <w:p w14:paraId="2EED35B2" w14:textId="77777777" w:rsidR="00920FE7" w:rsidRDefault="00920FE7" w:rsidP="00E85496">
      <w:pPr>
        <w:pStyle w:val="ListParagraph"/>
        <w:numPr>
          <w:ilvl w:val="0"/>
          <w:numId w:val="8"/>
        </w:numPr>
      </w:pPr>
      <w:r w:rsidRPr="00920FE7">
        <w:t xml:space="preserve">Sharing recruitment updates during quarterly SRC meetings. </w:t>
      </w:r>
    </w:p>
    <w:p w14:paraId="5D6A77BD" w14:textId="1B1CB8D2" w:rsidR="00920FE7" w:rsidRDefault="00920FE7" w:rsidP="00E85496">
      <w:pPr>
        <w:pStyle w:val="ListParagraph"/>
        <w:numPr>
          <w:ilvl w:val="0"/>
          <w:numId w:val="8"/>
        </w:numPr>
      </w:pPr>
      <w:r w:rsidRPr="00920FE7">
        <w:t xml:space="preserve">Maintaining a running list of prospective </w:t>
      </w:r>
      <w:r>
        <w:t>candidates.</w:t>
      </w:r>
    </w:p>
    <w:p w14:paraId="1C44E71D" w14:textId="77777777" w:rsidR="00920FE7" w:rsidRDefault="00920FE7" w:rsidP="00E85496">
      <w:pPr>
        <w:pStyle w:val="ListParagraph"/>
        <w:numPr>
          <w:ilvl w:val="0"/>
          <w:numId w:val="8"/>
        </w:numPr>
      </w:pPr>
      <w:r w:rsidRPr="00920FE7">
        <w:t>Coordinating with CDOR Regional Directors to identify candidates from local communities.</w:t>
      </w:r>
    </w:p>
    <w:p w14:paraId="7E7C7092" w14:textId="33D8B92E" w:rsidR="00920FE7" w:rsidRDefault="00920FE7" w:rsidP="00E85496">
      <w:pPr>
        <w:pStyle w:val="ListParagraph"/>
        <w:numPr>
          <w:ilvl w:val="0"/>
          <w:numId w:val="8"/>
        </w:numPr>
      </w:pPr>
      <w:r w:rsidRPr="00920FE7">
        <w:t>Sharing information about SRC membership opportunities on social media, as appropriate.</w:t>
      </w:r>
    </w:p>
    <w:p w14:paraId="5EA0C84B" w14:textId="77777777" w:rsidR="00504460" w:rsidRDefault="00504460" w:rsidP="00E85496"/>
    <w:p w14:paraId="414A1C32" w14:textId="3C1D1687" w:rsidR="00504460" w:rsidRDefault="00504460" w:rsidP="00E85496">
      <w:r w:rsidRPr="00504460">
        <w:t xml:space="preserve">To support the appointment process, the CDOR has an </w:t>
      </w:r>
      <w:r>
        <w:t>established</w:t>
      </w:r>
      <w:r w:rsidRPr="00504460">
        <w:t xml:space="preserve"> relationship with the California Health and Human Services Agency (CalHHS) and the Governor’s Office. As </w:t>
      </w:r>
      <w:r w:rsidRPr="00504460">
        <w:lastRenderedPageBreak/>
        <w:t>of October 2025, candidates for several of the vacant positions have been identified and submitted for consideration:</w:t>
      </w:r>
    </w:p>
    <w:p w14:paraId="782C132F" w14:textId="77777777" w:rsidR="00726322" w:rsidRDefault="00726322" w:rsidP="00E85496">
      <w:pPr>
        <w:pStyle w:val="ListParagraph"/>
        <w:numPr>
          <w:ilvl w:val="0"/>
          <w:numId w:val="9"/>
        </w:numPr>
      </w:pPr>
      <w:r w:rsidRPr="00726322">
        <w:t>Business, Industry and Labor – June 2025</w:t>
      </w:r>
    </w:p>
    <w:p w14:paraId="6E01470F" w14:textId="77777777" w:rsidR="00726322" w:rsidRDefault="00726322" w:rsidP="00E85496">
      <w:pPr>
        <w:pStyle w:val="ListParagraph"/>
        <w:numPr>
          <w:ilvl w:val="0"/>
          <w:numId w:val="9"/>
        </w:numPr>
      </w:pPr>
      <w:r w:rsidRPr="00726322">
        <w:t>Disability Groups – June 2025</w:t>
      </w:r>
    </w:p>
    <w:p w14:paraId="1B7A5DB3" w14:textId="77777777" w:rsidR="007E2097" w:rsidRDefault="007E2097" w:rsidP="00E85496"/>
    <w:p w14:paraId="26D62E9A" w14:textId="5C953B1F" w:rsidR="007E2097" w:rsidRDefault="007E2097" w:rsidP="00E85496">
      <w:r w:rsidRPr="007E2097">
        <w:t>To meet the SRC’s federally required membership composition, appointments for these vacant positions are anticipated by the end of 2025 or early 2026. Appointments are made at the discretion of the Governor.</w:t>
      </w:r>
      <w:r w:rsidR="00A93829">
        <w:t xml:space="preserve"> </w:t>
      </w:r>
      <w:r w:rsidRPr="007E2097">
        <w:t xml:space="preserve">An updated roster of current SRC members is available online at </w:t>
      </w:r>
      <w:hyperlink r:id="rId7" w:history="1">
        <w:r w:rsidR="00C3442E" w:rsidRPr="006C1ED5">
          <w:rPr>
            <w:rStyle w:val="Hyperlink"/>
            <w:szCs w:val="24"/>
          </w:rPr>
          <w:t>https://dor.ca.gov/Home/SrcMembership</w:t>
        </w:r>
      </w:hyperlink>
      <w:r w:rsidRPr="007E2097">
        <w:t>.</w:t>
      </w:r>
    </w:p>
    <w:p w14:paraId="5065EDA3" w14:textId="77777777" w:rsidR="00C3442E" w:rsidRDefault="00C3442E" w:rsidP="00E85496"/>
    <w:p w14:paraId="6A8A48A0" w14:textId="41378068" w:rsidR="00C3442E" w:rsidRDefault="00C3442E" w:rsidP="00C13F63">
      <w:pPr>
        <w:pStyle w:val="Heading1"/>
      </w:pPr>
      <w:r w:rsidRPr="00F443F8">
        <w:t>In accordance with the requirements in section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w:t>
      </w:r>
    </w:p>
    <w:p w14:paraId="4F8F832F" w14:textId="131456D8" w:rsidR="00857EC8" w:rsidRPr="00857EC8" w:rsidRDefault="00857EC8" w:rsidP="00857EC8">
      <w:pPr>
        <w:rPr>
          <w:b/>
          <w:bCs/>
          <w:i/>
          <w:iCs/>
        </w:rPr>
      </w:pPr>
      <w:r w:rsidRPr="00857EC8">
        <w:rPr>
          <w:b/>
          <w:bCs/>
          <w:i/>
          <w:iCs/>
        </w:rPr>
        <w:t>[text box]</w:t>
      </w:r>
    </w:p>
    <w:p w14:paraId="168DDECD" w14:textId="77777777" w:rsidR="00C3442E" w:rsidRDefault="00C3442E" w:rsidP="00E85496">
      <w:pPr>
        <w:rPr>
          <w:bCs/>
        </w:rPr>
      </w:pPr>
    </w:p>
    <w:p w14:paraId="68BEA2DE" w14:textId="77777777" w:rsidR="00A70369" w:rsidRDefault="00C3442E" w:rsidP="00E85496">
      <w:pPr>
        <w:rPr>
          <w:u w:val="single"/>
        </w:rPr>
      </w:pPr>
      <w:r w:rsidRPr="0018450D">
        <w:rPr>
          <w:u w:val="single"/>
        </w:rPr>
        <w:t>Summary of the SRC’s input, including how it was obtained, for the State Plan modification</w:t>
      </w:r>
    </w:p>
    <w:p w14:paraId="159FDF37" w14:textId="6185D712" w:rsidR="00A84BA0" w:rsidRDefault="00695525" w:rsidP="00C13F63">
      <w:r w:rsidRPr="00695525">
        <w:t xml:space="preserve">To develop </w:t>
      </w:r>
      <w:r w:rsidR="00600646">
        <w:t>meaningful</w:t>
      </w:r>
      <w:r w:rsidRPr="00695525">
        <w:t xml:space="preserve"> input for the State Plan modification, the SRC State Plan Committee approved a series of stakeholder engagement questions </w:t>
      </w:r>
      <w:r w:rsidR="00600646">
        <w:t>in April 2025</w:t>
      </w:r>
      <w:r w:rsidRPr="00695525">
        <w:t>. These questions were intended to gather feedback from a wide range of stakeholders regarding the strengths, challenges, and opportunities within California’s vocational rehabilitation service delivery system.</w:t>
      </w:r>
      <w:r w:rsidR="00600646">
        <w:t xml:space="preserve"> </w:t>
      </w:r>
      <w:r w:rsidRPr="00695525">
        <w:t>The questions were distributed through the SRC stakeholder listserv, and SRC members further shared them within their professional and community networks. In addition, SRC members discussed the questions with DOR Regional Directors and District Administrators to obtain local and program-level perspectives.</w:t>
      </w:r>
      <w:r w:rsidR="00600646">
        <w:t xml:space="preserve"> </w:t>
      </w:r>
      <w:r w:rsidRPr="00695525">
        <w:t xml:space="preserve">The resulting feedback was used to inform the development of several recommendations for inclusion in the State Plan modification, which were formally adopted by the full Council </w:t>
      </w:r>
      <w:r w:rsidR="00836D1A">
        <w:t>in September 2025</w:t>
      </w:r>
      <w:r w:rsidRPr="00695525">
        <w:t>.</w:t>
      </w:r>
      <w:r w:rsidR="00D212E7">
        <w:t xml:space="preserve"> </w:t>
      </w:r>
    </w:p>
    <w:p w14:paraId="11C0872E" w14:textId="77777777" w:rsidR="00F443F8" w:rsidRDefault="00F443F8" w:rsidP="00A84BA0"/>
    <w:p w14:paraId="27970E9A" w14:textId="6BAB35B2" w:rsidR="00F443F8" w:rsidRPr="00C72571" w:rsidRDefault="00ED379B" w:rsidP="00A84BA0">
      <w:pPr>
        <w:rPr>
          <w:bCs/>
          <w:u w:val="single"/>
        </w:rPr>
      </w:pPr>
      <w:r w:rsidRPr="00C72571">
        <w:rPr>
          <w:bCs/>
          <w:u w:val="single"/>
        </w:rPr>
        <w:t xml:space="preserve">Summary of the SRC’s recommendations from </w:t>
      </w:r>
      <w:r w:rsidR="00F443F8" w:rsidRPr="00C72571">
        <w:rPr>
          <w:bCs/>
          <w:u w:val="single"/>
        </w:rPr>
        <w:t>the Council's annual reports</w:t>
      </w:r>
    </w:p>
    <w:p w14:paraId="4EFADF5E" w14:textId="297370D1" w:rsidR="009735E2" w:rsidRDefault="00B81BA1" w:rsidP="009735E2">
      <w:pPr>
        <w:rPr>
          <w:bCs/>
        </w:rPr>
      </w:pPr>
      <w:r w:rsidRPr="00B81BA1">
        <w:rPr>
          <w:bCs/>
        </w:rPr>
        <w:t xml:space="preserve">In addition to recommendations developed specifically for the State Plan modification, the SRC </w:t>
      </w:r>
      <w:r>
        <w:rPr>
          <w:bCs/>
        </w:rPr>
        <w:t>regularly</w:t>
      </w:r>
      <w:r w:rsidRPr="00B81BA1">
        <w:rPr>
          <w:bCs/>
        </w:rPr>
        <w:t xml:space="preserve"> formulates and adopts policy recommendations that are </w:t>
      </w:r>
      <w:r>
        <w:rPr>
          <w:bCs/>
        </w:rPr>
        <w:t xml:space="preserve">included </w:t>
      </w:r>
      <w:r w:rsidRPr="00B81BA1">
        <w:rPr>
          <w:bCs/>
        </w:rPr>
        <w:t>in the Council’s Annual Reports. These recommendations reflect the Council’s ongoing advisory role and are shaped by a variety of information sources</w:t>
      </w:r>
      <w:r w:rsidR="006840EA">
        <w:rPr>
          <w:bCs/>
        </w:rPr>
        <w:t xml:space="preserve">, including: </w:t>
      </w:r>
      <w:r w:rsidRPr="00B81BA1">
        <w:rPr>
          <w:bCs/>
        </w:rPr>
        <w:t xml:space="preserve">discussions and presentations held during quarterly Council and subcommittee meetings, findings from the annual Consumer Satisfaction Survey, analysis of trends in administrative hearing decisions, and regular </w:t>
      </w:r>
      <w:r w:rsidR="00B063F2">
        <w:rPr>
          <w:bCs/>
        </w:rPr>
        <w:t xml:space="preserve">discussions </w:t>
      </w:r>
      <w:r w:rsidRPr="00B81BA1">
        <w:rPr>
          <w:bCs/>
        </w:rPr>
        <w:t>with DOR Regional Directors. Through this process, the SRC identifies opportunities to strengthen vocational rehabilitation service delivery across California.</w:t>
      </w:r>
      <w:r w:rsidR="00B063F2">
        <w:rPr>
          <w:bCs/>
        </w:rPr>
        <w:t xml:space="preserve"> The SRC’s</w:t>
      </w:r>
      <w:r w:rsidR="006E130F" w:rsidRPr="008D0835">
        <w:t xml:space="preserve"> </w:t>
      </w:r>
      <w:r w:rsidR="00014DAD">
        <w:t xml:space="preserve">policy </w:t>
      </w:r>
      <w:r w:rsidR="006E130F" w:rsidRPr="008D0835">
        <w:t>recommendations reflect the SRC’s efforts to review, analyze and advise DOR on the performance and effectiveness of California’s VR program.</w:t>
      </w:r>
    </w:p>
    <w:p w14:paraId="5802BF71" w14:textId="77777777" w:rsidR="00C13F63" w:rsidRPr="00C13F63" w:rsidRDefault="00C13F63" w:rsidP="009735E2">
      <w:pPr>
        <w:rPr>
          <w:bCs/>
        </w:rPr>
      </w:pPr>
    </w:p>
    <w:p w14:paraId="2AE91FF7" w14:textId="42A2F02B" w:rsidR="00C34F58" w:rsidRPr="00C13F63" w:rsidRDefault="00C34F58" w:rsidP="009735E2">
      <w:pPr>
        <w:rPr>
          <w:bCs/>
          <w:u w:val="single"/>
        </w:rPr>
      </w:pPr>
      <w:r w:rsidRPr="00C13F63">
        <w:rPr>
          <w:bCs/>
          <w:u w:val="single"/>
        </w:rPr>
        <w:t>Summary of the review and analysis of consumer satisfaction and other Council reports.</w:t>
      </w:r>
    </w:p>
    <w:p w14:paraId="445EAAAF" w14:textId="4CBBBAA5" w:rsidR="00556AE4" w:rsidRDefault="00530302" w:rsidP="00530302">
      <w:r w:rsidRPr="00530302">
        <w:lastRenderedPageBreak/>
        <w:t xml:space="preserve">The Rehabilitation Act calls for the SRC to review and analyze the effectiveness of, and consumer satisfaction with, </w:t>
      </w:r>
      <w:r w:rsidR="007C1B89">
        <w:t>C</w:t>
      </w:r>
      <w:r w:rsidRPr="00530302">
        <w:t xml:space="preserve">DOR’s delivery of VR services and the employment outcomes achieved by consumers. To carry out this responsibility, the SRC collaborates with </w:t>
      </w:r>
      <w:r w:rsidR="007C1B89">
        <w:t>C</w:t>
      </w:r>
      <w:r w:rsidRPr="00530302">
        <w:t>DOR to conduct an annual C</w:t>
      </w:r>
      <w:r w:rsidR="00931053">
        <w:t>onsumer Satisfaction Survey (C</w:t>
      </w:r>
      <w:r w:rsidRPr="00530302">
        <w:t>SS</w:t>
      </w:r>
      <w:r w:rsidR="00931053">
        <w:t>).</w:t>
      </w:r>
      <w:r w:rsidRPr="00530302">
        <w:t xml:space="preserve"> The SRC’s role in the survey includes </w:t>
      </w:r>
      <w:r w:rsidR="007C1B89">
        <w:t xml:space="preserve">reviewing </w:t>
      </w:r>
      <w:r w:rsidRPr="00530302">
        <w:t xml:space="preserve">and modifying the survey questions, advising on methodology, and developing policy recommendations based on the survey findings. </w:t>
      </w:r>
    </w:p>
    <w:p w14:paraId="2BEDA114" w14:textId="77777777" w:rsidR="00556AE4" w:rsidRDefault="00556AE4" w:rsidP="00530302"/>
    <w:p w14:paraId="26428574" w14:textId="55C123C2" w:rsidR="002868EE" w:rsidRDefault="00530302" w:rsidP="00530302">
      <w:r w:rsidRPr="00530302">
        <w:t xml:space="preserve">The annual CSS cycle aligns with California’s State Fiscal Year which runs from July 1st through the following June 30th. The </w:t>
      </w:r>
      <w:r w:rsidR="007C1B89">
        <w:t xml:space="preserve">CSS </w:t>
      </w:r>
      <w:r w:rsidR="00F313FA">
        <w:t xml:space="preserve">is </w:t>
      </w:r>
      <w:r w:rsidRPr="00530302">
        <w:t xml:space="preserve">comprised of questions designed to assess consumer satisfaction with services from DOR and its providers. These questions cover </w:t>
      </w:r>
      <w:r w:rsidR="002868EE">
        <w:t>categories such as:</w:t>
      </w:r>
      <w:r w:rsidRPr="00530302">
        <w:t xml:space="preserve"> overall DOR experience, DOR counselors, service providers, employment services, job satisfaction, and employment opportunities. </w:t>
      </w:r>
    </w:p>
    <w:p w14:paraId="50BD88FD" w14:textId="77777777" w:rsidR="002868EE" w:rsidRDefault="002868EE" w:rsidP="00530302"/>
    <w:p w14:paraId="30DDFCF9" w14:textId="281C9B76" w:rsidR="00530302" w:rsidRDefault="002868EE" w:rsidP="00530302">
      <w:r>
        <w:t xml:space="preserve">The </w:t>
      </w:r>
      <w:r w:rsidR="00530302" w:rsidRPr="00530302">
        <w:t xml:space="preserve">SRC and </w:t>
      </w:r>
      <w:r>
        <w:t>C</w:t>
      </w:r>
      <w:r w:rsidR="00530302" w:rsidRPr="00530302">
        <w:t xml:space="preserve">DOR are dedicated to measuring consumer satisfaction and </w:t>
      </w:r>
      <w:r w:rsidR="00CA7AC9">
        <w:t xml:space="preserve">understanding </w:t>
      </w:r>
      <w:r w:rsidR="00530302" w:rsidRPr="00530302">
        <w:t xml:space="preserve">how well the needs and expectations of consumers are being met. </w:t>
      </w:r>
      <w:r w:rsidR="00493179">
        <w:t>The</w:t>
      </w:r>
      <w:r w:rsidR="00530302" w:rsidRPr="00530302">
        <w:t xml:space="preserve"> SRC and </w:t>
      </w:r>
      <w:r w:rsidR="00493179">
        <w:t>C</w:t>
      </w:r>
      <w:r w:rsidR="00530302" w:rsidRPr="00530302">
        <w:t xml:space="preserve">DOR </w:t>
      </w:r>
      <w:r w:rsidR="001A1BF8">
        <w:t>make continuous efforts to e</w:t>
      </w:r>
      <w:r w:rsidR="001A1BF8" w:rsidRPr="00530302">
        <w:t>nhance</w:t>
      </w:r>
      <w:r w:rsidR="00530302" w:rsidRPr="00530302">
        <w:t xml:space="preserve"> survey engagement and increase the response rate. The SRC looks forward to </w:t>
      </w:r>
      <w:r w:rsidR="001A1BF8">
        <w:t xml:space="preserve">ongoing </w:t>
      </w:r>
      <w:r w:rsidR="00530302" w:rsidRPr="00530302">
        <w:t xml:space="preserve">collaboration </w:t>
      </w:r>
      <w:r w:rsidR="00CA7AC9">
        <w:t xml:space="preserve">with CDOR </w:t>
      </w:r>
      <w:r w:rsidR="00530302" w:rsidRPr="00530302">
        <w:t>on the CSS and developing policy recommendations that will lead to increased consumer satisfaction.</w:t>
      </w:r>
    </w:p>
    <w:p w14:paraId="3B299C68" w14:textId="7F4EC075" w:rsidR="00893533" w:rsidRDefault="00893533" w:rsidP="00CA7AC9">
      <w:pPr>
        <w:spacing w:after="160" w:line="259" w:lineRule="auto"/>
      </w:pPr>
    </w:p>
    <w:p w14:paraId="384E917C" w14:textId="77777777" w:rsidR="001448A3" w:rsidRDefault="001448A3" w:rsidP="00C13F63">
      <w:pPr>
        <w:pStyle w:val="Heading1"/>
      </w:pPr>
      <w:r>
        <w:t xml:space="preserve">Provide the VR agency’s response to the Council’s input and recommendations, including an explanation for the rejection of any input and recommendations. </w:t>
      </w:r>
    </w:p>
    <w:p w14:paraId="52B7C261" w14:textId="39301298" w:rsidR="00893533" w:rsidRPr="00857EC8" w:rsidRDefault="001448A3" w:rsidP="001448A3">
      <w:pPr>
        <w:rPr>
          <w:b/>
          <w:bCs/>
          <w:i/>
          <w:iCs/>
        </w:rPr>
      </w:pPr>
      <w:r w:rsidRPr="00857EC8">
        <w:rPr>
          <w:b/>
          <w:bCs/>
          <w:i/>
          <w:iCs/>
        </w:rPr>
        <w:t>[text box: List each recommendation/input followed by the VR agency response]</w:t>
      </w:r>
    </w:p>
    <w:p w14:paraId="42B49630" w14:textId="77777777" w:rsidR="00C13F63" w:rsidRPr="00CA7AC9" w:rsidRDefault="00C13F63" w:rsidP="00C13F63">
      <w:pPr>
        <w:rPr>
          <w:u w:val="single"/>
        </w:rPr>
      </w:pPr>
    </w:p>
    <w:p w14:paraId="6314922F" w14:textId="092BC294" w:rsidR="00380F79" w:rsidRPr="00380F79" w:rsidRDefault="00380F79" w:rsidP="00C13F63">
      <w:pPr>
        <w:rPr>
          <w:b/>
          <w:bCs/>
        </w:rPr>
      </w:pPr>
      <w:r w:rsidRPr="00380F79">
        <w:rPr>
          <w:b/>
          <w:bCs/>
        </w:rPr>
        <w:t>SRC State Plan Modification Recommendations</w:t>
      </w:r>
    </w:p>
    <w:p w14:paraId="652D1AA4" w14:textId="77777777" w:rsidR="00380F79" w:rsidRDefault="00380F79" w:rsidP="00C13F63">
      <w:pPr>
        <w:rPr>
          <w:i/>
          <w:iCs/>
          <w:u w:val="single"/>
        </w:rPr>
      </w:pPr>
    </w:p>
    <w:p w14:paraId="24F29185" w14:textId="2762BA22" w:rsidR="00C13F63" w:rsidRPr="00CA7AC9" w:rsidRDefault="00C13F63" w:rsidP="00C13F63">
      <w:pPr>
        <w:rPr>
          <w:i/>
          <w:iCs/>
          <w:u w:val="single"/>
        </w:rPr>
      </w:pPr>
      <w:r w:rsidRPr="00CA7AC9">
        <w:rPr>
          <w:i/>
          <w:iCs/>
          <w:u w:val="single"/>
        </w:rPr>
        <w:t xml:space="preserve">SRC State Plan Modification Recommendation 1 – </w:t>
      </w:r>
      <w:r w:rsidR="00F65934">
        <w:rPr>
          <w:i/>
          <w:iCs/>
          <w:u w:val="single"/>
        </w:rPr>
        <w:t>C</w:t>
      </w:r>
      <w:r w:rsidRPr="00CA7AC9">
        <w:rPr>
          <w:i/>
          <w:iCs/>
          <w:u w:val="single"/>
        </w:rPr>
        <w:t xml:space="preserve">DOR Staffing </w:t>
      </w:r>
    </w:p>
    <w:p w14:paraId="08C56C3E" w14:textId="1DFD60C5" w:rsidR="00C13F63" w:rsidRDefault="00C13F63" w:rsidP="00C13F63">
      <w:r w:rsidRPr="006E6845">
        <w:t xml:space="preserve">On March 5, 2025, the SRC recommended that </w:t>
      </w:r>
      <w:r w:rsidR="00E0385E">
        <w:t>C</w:t>
      </w:r>
      <w:r w:rsidRPr="006E6845">
        <w:t xml:space="preserve">DOR work to identify and address barriers to attracting and retaining staff. The SRC appreciates DOR’s commitment to exploring staffing solutions and its ongoing engagement with the SRC Policy Committee throughout 2025, including updates on the </w:t>
      </w:r>
      <w:r w:rsidR="00E0385E">
        <w:t>C</w:t>
      </w:r>
      <w:r w:rsidRPr="006E6845">
        <w:t xml:space="preserve">DOR apprenticeship program, the streamlined </w:t>
      </w:r>
      <w:r w:rsidR="0096673B" w:rsidRPr="00380F79">
        <w:t xml:space="preserve">Senior Vocational Rehabilitation Counselor–Qualified Rehabilitation Professional (SVRC-QRP) </w:t>
      </w:r>
      <w:r w:rsidRPr="006E6845">
        <w:t xml:space="preserve">exam, and related workforce initiatives. The SRC recommends that </w:t>
      </w:r>
      <w:r w:rsidR="00E0385E">
        <w:t>C</w:t>
      </w:r>
      <w:r w:rsidRPr="006E6845">
        <w:t xml:space="preserve">DOR prioritize workforce development in the 2024–2027 State Plan Modification.   </w:t>
      </w:r>
    </w:p>
    <w:p w14:paraId="18D64098" w14:textId="77777777" w:rsidR="00C13F63" w:rsidRPr="00CA7AC9" w:rsidRDefault="00C13F63" w:rsidP="00C13F63">
      <w:pPr>
        <w:rPr>
          <w:u w:val="single"/>
        </w:rPr>
      </w:pPr>
    </w:p>
    <w:p w14:paraId="6E78D84A" w14:textId="7EF037F3" w:rsidR="00C13F63" w:rsidRPr="00CA7AC9" w:rsidRDefault="0096673B" w:rsidP="00C13F63">
      <w:pPr>
        <w:rPr>
          <w:i/>
          <w:iCs/>
          <w:u w:val="single"/>
        </w:rPr>
      </w:pPr>
      <w:r>
        <w:rPr>
          <w:i/>
          <w:iCs/>
          <w:u w:val="single"/>
        </w:rPr>
        <w:t>C</w:t>
      </w:r>
      <w:r w:rsidR="00C13F63" w:rsidRPr="00CA7AC9">
        <w:rPr>
          <w:i/>
          <w:iCs/>
          <w:u w:val="single"/>
        </w:rPr>
        <w:t xml:space="preserve">DOR Response to SRC Recommendation 1 </w:t>
      </w:r>
    </w:p>
    <w:p w14:paraId="25DB9943" w14:textId="18F29739" w:rsidR="001D2C7B" w:rsidRDefault="00D11774" w:rsidP="00733436">
      <w:r>
        <w:t>C</w:t>
      </w:r>
      <w:r w:rsidR="00C13F63" w:rsidRPr="00967CCB">
        <w:t>DOR</w:t>
      </w:r>
      <w:r w:rsidR="00505B0E">
        <w:t xml:space="preserve"> agrees </w:t>
      </w:r>
      <w:r w:rsidR="00C13F63" w:rsidRPr="00967CCB">
        <w:t xml:space="preserve">that a strong workforce is essential to achieving quality outcomes for VR consumers. </w:t>
      </w:r>
      <w:r w:rsidR="0011171D">
        <w:t>C</w:t>
      </w:r>
      <w:r w:rsidR="00C13F63" w:rsidRPr="00967CCB">
        <w:t xml:space="preserve">DOR will continue to implement strategies as outlined in Section (i) –Comprehensive System of Personnel Development (CSPD) of the State Plan to ensure an adequate supply of qualified rehabilitation professionals and to support the professional growth of current staff. </w:t>
      </w:r>
      <w:r w:rsidR="00CA7AC9">
        <w:t xml:space="preserve">Examples of </w:t>
      </w:r>
      <w:r w:rsidR="001D2C7B">
        <w:t xml:space="preserve">recent initiatives to support and develop CDOR’s workforce include the following: </w:t>
      </w:r>
    </w:p>
    <w:p w14:paraId="734DE2F3" w14:textId="771B837E" w:rsidR="00733436" w:rsidRPr="00380F79" w:rsidRDefault="00733436" w:rsidP="00C13F63">
      <w:pPr>
        <w:pStyle w:val="ListParagraph"/>
        <w:numPr>
          <w:ilvl w:val="0"/>
          <w:numId w:val="18"/>
        </w:numPr>
      </w:pPr>
      <w:r w:rsidRPr="00380F79">
        <w:t xml:space="preserve">The Limited Examination and Appointment Program (LEAP) is a California state initiative that provides an alternative pathway to civil service employment for individuals with disabilities. Upon successful completion, candidates may receive </w:t>
      </w:r>
      <w:r w:rsidRPr="00380F79">
        <w:lastRenderedPageBreak/>
        <w:t>a permanent appointment to their position. LEAP participants must meet the same job qualifications as other applicants and may request reasonable accommodations</w:t>
      </w:r>
      <w:r w:rsidR="003C59D4" w:rsidRPr="00380F79">
        <w:t xml:space="preserve">, </w:t>
      </w:r>
      <w:r w:rsidRPr="00380F79">
        <w:t xml:space="preserve">as needed. DOR recently released a LEAP exam specific to </w:t>
      </w:r>
      <w:r w:rsidR="0096673B">
        <w:t xml:space="preserve">the </w:t>
      </w:r>
      <w:r w:rsidR="003C59D4" w:rsidRPr="00380F79">
        <w:t xml:space="preserve">Senior Vocational Rehabilitation Counselor–Qualified Rehabilitation Professional (SVRC-QRP) classification and </w:t>
      </w:r>
      <w:r w:rsidRPr="00380F79">
        <w:t xml:space="preserve">is </w:t>
      </w:r>
      <w:r w:rsidR="0096673B">
        <w:t>including</w:t>
      </w:r>
      <w:r w:rsidRPr="00380F79">
        <w:t xml:space="preserve"> LEAP into</w:t>
      </w:r>
      <w:r w:rsidR="0096673B">
        <w:t xml:space="preserve"> the Department’s</w:t>
      </w:r>
      <w:r w:rsidRPr="00380F79">
        <w:t xml:space="preserve"> broader recruitment and retention strategies.</w:t>
      </w:r>
      <w:r w:rsidR="00130663" w:rsidRPr="00380F79">
        <w:t xml:space="preserve"> </w:t>
      </w:r>
    </w:p>
    <w:p w14:paraId="46A62AFB" w14:textId="40AC3585" w:rsidR="00D229E9" w:rsidRPr="00380F79" w:rsidRDefault="00130663" w:rsidP="00D229E9">
      <w:pPr>
        <w:pStyle w:val="ListParagraph"/>
        <w:numPr>
          <w:ilvl w:val="0"/>
          <w:numId w:val="18"/>
        </w:numPr>
      </w:pPr>
      <w:r w:rsidRPr="00380F79">
        <w:t>In July 2025, CDOR</w:t>
      </w:r>
      <w:r w:rsidR="00D229E9" w:rsidRPr="00380F79">
        <w:t xml:space="preserve"> updated</w:t>
      </w:r>
      <w:r w:rsidR="008E3181" w:rsidRPr="00380F79">
        <w:t xml:space="preserve"> and streamlined</w:t>
      </w:r>
      <w:r w:rsidR="00D229E9" w:rsidRPr="00380F79">
        <w:t xml:space="preserve"> the SVRC-QRP exam to make the hiring process more efficient</w:t>
      </w:r>
      <w:r w:rsidR="008E3181" w:rsidRPr="00380F79">
        <w:t xml:space="preserve"> and to attract a wider range of qualified candidates. </w:t>
      </w:r>
    </w:p>
    <w:p w14:paraId="4ED0B6C9" w14:textId="022804E5" w:rsidR="00631323" w:rsidRPr="00D229E9" w:rsidRDefault="008E3181" w:rsidP="00BA55DD">
      <w:pPr>
        <w:pStyle w:val="ListParagraph"/>
        <w:numPr>
          <w:ilvl w:val="0"/>
          <w:numId w:val="18"/>
        </w:numPr>
      </w:pPr>
      <w:r w:rsidRPr="00380F79">
        <w:t xml:space="preserve">The CDOR is </w:t>
      </w:r>
      <w:r w:rsidR="00C45197" w:rsidRPr="00380F79">
        <w:t xml:space="preserve">launching a </w:t>
      </w:r>
      <w:r w:rsidR="00631323" w:rsidRPr="00380F79">
        <w:t xml:space="preserve">Registered Apprenticeship Program to strengthen its pipeline of qualified </w:t>
      </w:r>
      <w:r w:rsidR="00C45197" w:rsidRPr="00380F79">
        <w:t xml:space="preserve">SVRC-QRPs and to </w:t>
      </w:r>
      <w:r w:rsidR="00631323" w:rsidRPr="00380F79">
        <w:t>address workforce shortages. This two-year paid training program combines on-the-job experience with academic instruction</w:t>
      </w:r>
      <w:r w:rsidR="00C45197" w:rsidRPr="00380F79">
        <w:t xml:space="preserve">. </w:t>
      </w:r>
      <w:r w:rsidR="00631323" w:rsidRPr="00380F79">
        <w:t>Graduates who complete the apprenticeship and hold a related bachelor’s degree will qualify for appointment as Vocational Rehabilitation Counselors</w:t>
      </w:r>
      <w:r w:rsidR="00C45197" w:rsidRPr="00380F79">
        <w:t xml:space="preserve">. </w:t>
      </w:r>
    </w:p>
    <w:p w14:paraId="4CE335DF" w14:textId="77777777" w:rsidR="00380F79" w:rsidRDefault="00380F79" w:rsidP="00C13F63"/>
    <w:p w14:paraId="1672B839" w14:textId="092DC798" w:rsidR="009311C4" w:rsidRDefault="00CA7AC9" w:rsidP="00C13F63">
      <w:r w:rsidRPr="00967CCB">
        <w:t>DOR looks forward to ongoing collaboration with the SRC to</w:t>
      </w:r>
      <w:r w:rsidR="00C45197">
        <w:t xml:space="preserve"> monitor</w:t>
      </w:r>
      <w:r w:rsidR="0096673B">
        <w:t xml:space="preserve"> the effectiveness of</w:t>
      </w:r>
      <w:r w:rsidR="00C45197">
        <w:t xml:space="preserve"> these initiatives and to </w:t>
      </w:r>
      <w:r w:rsidR="00380F79">
        <w:t xml:space="preserve">identify additional strategies to strengthen DOR’s workforce. </w:t>
      </w:r>
    </w:p>
    <w:p w14:paraId="3491D7AC" w14:textId="77777777" w:rsidR="009311C4" w:rsidRPr="00967CCB" w:rsidRDefault="009311C4" w:rsidP="00C13F63"/>
    <w:p w14:paraId="20DDFAB5" w14:textId="77777777" w:rsidR="00C13F63" w:rsidRPr="00380F79" w:rsidRDefault="00C13F63" w:rsidP="00C13F63">
      <w:pPr>
        <w:rPr>
          <w:i/>
          <w:iCs/>
          <w:u w:val="single"/>
        </w:rPr>
      </w:pPr>
      <w:r w:rsidRPr="00380F79">
        <w:rPr>
          <w:i/>
          <w:iCs/>
          <w:u w:val="single"/>
        </w:rPr>
        <w:t>SRC State Plan Modification Recommendation 2 – Leveraging Partnerships</w:t>
      </w:r>
    </w:p>
    <w:p w14:paraId="7EE7BDCD" w14:textId="72AAB6A1" w:rsidR="00C13F63" w:rsidRPr="00F443F8" w:rsidRDefault="00C13F63" w:rsidP="00C13F63">
      <w:r w:rsidRPr="00F443F8">
        <w:t xml:space="preserve">The SRC recommends that </w:t>
      </w:r>
      <w:r w:rsidR="00E0385E">
        <w:t>C</w:t>
      </w:r>
      <w:r w:rsidRPr="00F443F8">
        <w:t xml:space="preserve">DOR prioritize leveraging partnerships in the 2024 – 2027 State Plan Modification. By strengthening partnerships with community-based organizations, independent living centers, workforce boards, and other service providers, individuals with disabilities can continue to access needed supports, even if an </w:t>
      </w:r>
      <w:r w:rsidR="0096673B">
        <w:t>O</w:t>
      </w:r>
      <w:r w:rsidRPr="00F443F8">
        <w:t xml:space="preserve">rder of </w:t>
      </w:r>
      <w:r w:rsidR="0096673B">
        <w:t>S</w:t>
      </w:r>
      <w:r w:rsidRPr="00F443F8">
        <w:t>election is implemented.</w:t>
      </w:r>
    </w:p>
    <w:p w14:paraId="1B696FB0" w14:textId="77777777" w:rsidR="00C13F63" w:rsidRPr="00F443F8" w:rsidRDefault="00C13F63" w:rsidP="00C13F63"/>
    <w:p w14:paraId="5C7F1379" w14:textId="14FBD8CC" w:rsidR="00842D50" w:rsidRPr="00BA0FB3" w:rsidRDefault="0096673B" w:rsidP="00C13F63">
      <w:pPr>
        <w:rPr>
          <w:i/>
          <w:iCs/>
          <w:u w:val="single"/>
        </w:rPr>
      </w:pPr>
      <w:r>
        <w:rPr>
          <w:i/>
          <w:iCs/>
          <w:u w:val="single"/>
        </w:rPr>
        <w:t>C</w:t>
      </w:r>
      <w:r w:rsidR="00C13F63" w:rsidRPr="00380F79">
        <w:rPr>
          <w:i/>
          <w:iCs/>
          <w:u w:val="single"/>
        </w:rPr>
        <w:t>DOR Response to SRC Recommendation 2</w:t>
      </w:r>
    </w:p>
    <w:p w14:paraId="496E37E3" w14:textId="77777777" w:rsidR="0007334F" w:rsidRDefault="0007334F" w:rsidP="0007334F">
      <w:r>
        <w:t>The C</w:t>
      </w:r>
      <w:r w:rsidRPr="00F443F8">
        <w:t xml:space="preserve">DOR agrees that coordinated partnerships are essential to enhancing service access and achieving successful employment outcomes for individuals with disabilities. </w:t>
      </w:r>
    </w:p>
    <w:p w14:paraId="2462EDD6" w14:textId="77777777" w:rsidR="0007334F" w:rsidRDefault="0007334F" w:rsidP="0007334F"/>
    <w:p w14:paraId="024AF394" w14:textId="77777777" w:rsidR="0007334F" w:rsidRPr="00F443F8" w:rsidRDefault="0007334F" w:rsidP="0007334F">
      <w:r>
        <w:t xml:space="preserve">The CDOR has, and continues, to engage in such initiatives, one of which is the </w:t>
      </w:r>
    </w:p>
    <w:p w14:paraId="106F1729" w14:textId="4073911D" w:rsidR="0007334F" w:rsidRPr="00BA79CB" w:rsidRDefault="0007334F" w:rsidP="0007334F">
      <w:r w:rsidRPr="00BA79CB">
        <w:t>Youth Employment Initiative, a three-year partnership launched in December 2023 between CDOR and the Office of Youth and Community Restoration (OYCR). This initiative supports youth with disabilities involved</w:t>
      </w:r>
      <w:r>
        <w:t xml:space="preserve"> in the</w:t>
      </w:r>
      <w:r w:rsidRPr="00BA79CB">
        <w:t xml:space="preserve"> justice system by providing vocational rehabilitation services that promote long-term employment and successful return to the community. Key features of the initiative include:</w:t>
      </w:r>
    </w:p>
    <w:p w14:paraId="10D841B0" w14:textId="77777777" w:rsidR="0007334F" w:rsidRPr="00BA79CB" w:rsidRDefault="0007334F" w:rsidP="0007334F">
      <w:pPr>
        <w:numPr>
          <w:ilvl w:val="0"/>
          <w:numId w:val="22"/>
        </w:numPr>
      </w:pPr>
      <w:r w:rsidRPr="00BA79CB">
        <w:t>Workforce Development Navigators employed by counties to identify eligible youth, coordinate services, and maintain engagement throughout the youth’s transition from secure facilities to the community.</w:t>
      </w:r>
    </w:p>
    <w:p w14:paraId="535CB37C" w14:textId="77777777" w:rsidR="0007334F" w:rsidRPr="00BA79CB" w:rsidRDefault="0007334F" w:rsidP="0007334F">
      <w:pPr>
        <w:numPr>
          <w:ilvl w:val="0"/>
          <w:numId w:val="22"/>
        </w:numPr>
      </w:pPr>
      <w:r w:rsidRPr="00BA79CB">
        <w:t>DOR Counselors who provide career counseling and planning, including in-facility engagement prior to release.</w:t>
      </w:r>
    </w:p>
    <w:p w14:paraId="265E7EE1" w14:textId="77777777" w:rsidR="0007334F" w:rsidRPr="00BA79CB" w:rsidRDefault="0007334F" w:rsidP="0007334F">
      <w:pPr>
        <w:numPr>
          <w:ilvl w:val="0"/>
          <w:numId w:val="22"/>
        </w:numPr>
      </w:pPr>
      <w:r w:rsidRPr="00BA79CB">
        <w:t>Community-based organizations that deliver pre-employment transition services and coordinate paid work experiences both in facilities and in the community.</w:t>
      </w:r>
    </w:p>
    <w:p w14:paraId="1236479F" w14:textId="77777777" w:rsidR="0007334F" w:rsidRDefault="0007334F" w:rsidP="0007334F"/>
    <w:p w14:paraId="476655FC" w14:textId="2C92DB7B" w:rsidR="0007334F" w:rsidRPr="0027004D" w:rsidRDefault="0007334F" w:rsidP="0007334F">
      <w:r>
        <w:t xml:space="preserve">The CDOR is also currently engaged in a strategic partnership with the California Employment Development Department (EDD) to implement a statewide initiative to expand services for individuals with disabilities through America’s Job Centers of </w:t>
      </w:r>
      <w:r>
        <w:lastRenderedPageBreak/>
        <w:t xml:space="preserve">California (AJCCs). </w:t>
      </w:r>
      <w:r w:rsidRPr="0027004D">
        <w:t xml:space="preserve">The purpose of this initiative is to improve employment and training outcomes for individuals with disabilities served by California’s workforce development system. It aims to increase job quality </w:t>
      </w:r>
      <w:r>
        <w:t xml:space="preserve">and </w:t>
      </w:r>
      <w:r w:rsidRPr="0027004D">
        <w:t>satisfaction for people with disabilities by promoting access to sustainable employment opportunities. A key component of the initiative is to expand co-enrollment across workforce programs, ensuring individuals receive coordinated services</w:t>
      </w:r>
      <w:r>
        <w:t>.</w:t>
      </w:r>
    </w:p>
    <w:p w14:paraId="3BFD795E" w14:textId="77777777" w:rsidR="0007334F" w:rsidRDefault="0007334F" w:rsidP="0007334F"/>
    <w:p w14:paraId="0625D64E" w14:textId="77777777" w:rsidR="0007334F" w:rsidRDefault="0007334F" w:rsidP="0007334F">
      <w:r>
        <w:t xml:space="preserve">Additional examples of CDOR’s partnerships are detailed in the </w:t>
      </w:r>
      <w:r w:rsidRPr="00F443F8">
        <w:t>following State Plan sections:</w:t>
      </w:r>
      <w:r>
        <w:t xml:space="preserve"> </w:t>
      </w:r>
      <w:r w:rsidRPr="00F443F8">
        <w:t>Section (h) – Waiver of Statewideness</w:t>
      </w:r>
      <w:r>
        <w:t xml:space="preserve">, </w:t>
      </w:r>
      <w:r w:rsidRPr="00F443F8">
        <w:t>Section (k) – Coordination with Employers</w:t>
      </w:r>
      <w:r>
        <w:t xml:space="preserve">, and </w:t>
      </w:r>
      <w:r w:rsidRPr="00F443F8">
        <w:t>Section (l) – Interagency Cooperation with Other Agencies</w:t>
      </w:r>
      <w:r>
        <w:t xml:space="preserve">. These sections detail DOR’s efforts to engage the </w:t>
      </w:r>
      <w:r w:rsidRPr="00F443F8">
        <w:t>broader workforce development system and business community through outreach, relationship-building, and partnership development</w:t>
      </w:r>
      <w:r>
        <w:t xml:space="preserve">. They also detail CDOR’s </w:t>
      </w:r>
      <w:r w:rsidRPr="00F443F8">
        <w:t xml:space="preserve">interagency coordination with educational agencies, regional centers, county programs, and community-based organizations to deliver coordinated services for youth and adults with disabilities.  </w:t>
      </w:r>
    </w:p>
    <w:p w14:paraId="749B28ED" w14:textId="77777777" w:rsidR="0007334F" w:rsidRPr="0027004D" w:rsidRDefault="0007334F" w:rsidP="0007334F"/>
    <w:p w14:paraId="7F7E0DF2" w14:textId="77777777" w:rsidR="0007334F" w:rsidRPr="0027004D" w:rsidRDefault="0007334F" w:rsidP="0007334F">
      <w:r w:rsidRPr="0027004D">
        <w:t xml:space="preserve">The CDOR is committed to providing regular updates to the SRC regarding the Department’s partnership initiatives. </w:t>
      </w:r>
    </w:p>
    <w:p w14:paraId="4EEFDC13" w14:textId="77777777" w:rsidR="0007334F" w:rsidRPr="00F443F8" w:rsidRDefault="0007334F" w:rsidP="00C13F63"/>
    <w:p w14:paraId="15920283" w14:textId="77777777" w:rsidR="00C13F63" w:rsidRPr="00380F79" w:rsidRDefault="00C13F63" w:rsidP="00C13F63">
      <w:pPr>
        <w:rPr>
          <w:i/>
          <w:iCs/>
          <w:u w:val="single"/>
        </w:rPr>
      </w:pPr>
      <w:r w:rsidRPr="00380F79">
        <w:rPr>
          <w:i/>
          <w:iCs/>
          <w:u w:val="single"/>
        </w:rPr>
        <w:t>SRC State Plan Modification Recommendation 3 – Vendor Development and Expansion</w:t>
      </w:r>
    </w:p>
    <w:p w14:paraId="1D7721A6" w14:textId="66FE1EC7" w:rsidR="00C13F63" w:rsidRPr="00F443F8" w:rsidRDefault="00C13F63" w:rsidP="00C13F63">
      <w:r w:rsidRPr="00F443F8">
        <w:t xml:space="preserve">The SRC recommends that </w:t>
      </w:r>
      <w:r w:rsidR="00E0385E">
        <w:t>C</w:t>
      </w:r>
      <w:r w:rsidRPr="00F443F8">
        <w:t>DOR prioritize vendor development and expansion in the 2024 – 2027 State Plan Modification. Developing and expanding the pool of available vendors is critical in order to reduce service delays, ensure equitable access to services throughout California, improving consumer choice, and increasing competitive integrated employment outcomes for individuals with disabilities.</w:t>
      </w:r>
    </w:p>
    <w:p w14:paraId="7E52B0C5" w14:textId="77777777" w:rsidR="00C13F63" w:rsidRPr="00F443F8" w:rsidRDefault="00C13F63" w:rsidP="00C13F63"/>
    <w:p w14:paraId="4554831B" w14:textId="77777777" w:rsidR="00C13F63" w:rsidRPr="00380F79" w:rsidRDefault="00C13F63" w:rsidP="00C13F63">
      <w:pPr>
        <w:rPr>
          <w:i/>
          <w:iCs/>
          <w:u w:val="single"/>
        </w:rPr>
      </w:pPr>
      <w:r w:rsidRPr="00380F79">
        <w:rPr>
          <w:i/>
          <w:iCs/>
          <w:u w:val="single"/>
        </w:rPr>
        <w:t>DOR Response to SRC Recommendation 3</w:t>
      </w:r>
    </w:p>
    <w:p w14:paraId="06F61121" w14:textId="2079C38D" w:rsidR="00842D50" w:rsidRDefault="00842D50" w:rsidP="00842D50">
      <w:r>
        <w:t xml:space="preserve">CDOR </w:t>
      </w:r>
      <w:r w:rsidR="0011171D">
        <w:t xml:space="preserve">agrees with this recommendation and </w:t>
      </w:r>
      <w:r>
        <w:t>continues to evaluate and enhance its vendor management processes to promote quality in service delivery. Examples of how CDOR is supporting the development and expansion of new vendors include the following:</w:t>
      </w:r>
    </w:p>
    <w:p w14:paraId="113B064B" w14:textId="77777777" w:rsidR="00842D50" w:rsidRPr="002B7973" w:rsidRDefault="00842D50" w:rsidP="00842D50">
      <w:pPr>
        <w:pStyle w:val="ListParagraph"/>
        <w:numPr>
          <w:ilvl w:val="0"/>
          <w:numId w:val="16"/>
        </w:numPr>
      </w:pPr>
      <w:r w:rsidRPr="002B7973">
        <w:t>Courtesy Vendorization: Courtesy vendorization is utilized to quickly establish services when critical needs or service gaps exist. This may be extended across district lines, allowing existing vendors to provide approved services in multiple geographic areas without duplicative application processes. This practice reduces service delays and ensures consumers have timely access to needed services statewide.</w:t>
      </w:r>
    </w:p>
    <w:p w14:paraId="33D56368" w14:textId="77777777" w:rsidR="00842D50" w:rsidRPr="002B7973" w:rsidRDefault="00842D50" w:rsidP="00842D50">
      <w:pPr>
        <w:pStyle w:val="ListParagraph"/>
        <w:numPr>
          <w:ilvl w:val="0"/>
          <w:numId w:val="16"/>
        </w:numPr>
      </w:pPr>
      <w:r w:rsidRPr="002B7973">
        <w:t>Online Vendor Application and Centralized Processing: An online vendor application system under development improves turnaround time, consistency, and communication. A dedicated vendorization team reviews and processes applications to ensure timely approvals and standardized procedures.</w:t>
      </w:r>
    </w:p>
    <w:p w14:paraId="2CD844F1" w14:textId="35591EC3" w:rsidR="00842D50" w:rsidRPr="002B7973" w:rsidRDefault="00842D50" w:rsidP="00842D50">
      <w:pPr>
        <w:pStyle w:val="ListParagraph"/>
        <w:numPr>
          <w:ilvl w:val="0"/>
          <w:numId w:val="16"/>
        </w:numPr>
      </w:pPr>
      <w:r w:rsidRPr="002B7973">
        <w:t>Alternative and Electronic Service Delivery Models: Alternative and electronic service delivery models expand access, particularly in rural areas. These include virtual assessments, remote job coaching, and technology-based service options that enhance flexibility and consumer reach.</w:t>
      </w:r>
    </w:p>
    <w:p w14:paraId="6E763967" w14:textId="77777777" w:rsidR="00842D50" w:rsidRPr="002B7973" w:rsidRDefault="00842D50" w:rsidP="00842D50">
      <w:pPr>
        <w:pStyle w:val="ListParagraph"/>
        <w:numPr>
          <w:ilvl w:val="0"/>
          <w:numId w:val="16"/>
        </w:numPr>
      </w:pPr>
      <w:r w:rsidRPr="002B7973">
        <w:lastRenderedPageBreak/>
        <w:t>Comprehensive Geographic Needs Assessments: Statewide and regional needs assessments identify vendor gaps by service type and location. Assessment data guide targeted outreach, recruitment, and capacity-building efforts in areas with limited service availability.</w:t>
      </w:r>
    </w:p>
    <w:p w14:paraId="4407EBDC" w14:textId="77777777" w:rsidR="0096673B" w:rsidRDefault="00842D50" w:rsidP="00842D50">
      <w:pPr>
        <w:pStyle w:val="ListParagraph"/>
        <w:numPr>
          <w:ilvl w:val="0"/>
          <w:numId w:val="16"/>
        </w:numPr>
      </w:pPr>
      <w:r w:rsidRPr="002B7973">
        <w:t xml:space="preserve">Abbreviated Vendor Certification and Reference Tools: An abbreviated Quick Reference/Mini Guide outlines key certification steps, documentation requirements, and best practices for new vendors is under development. Technical assistance and training are also provided to support vendors in meeting certification and accreditation standards efficiently. </w:t>
      </w:r>
    </w:p>
    <w:p w14:paraId="179BAA14" w14:textId="14D17F28" w:rsidR="00842D50" w:rsidRPr="002B7973" w:rsidRDefault="00842D50" w:rsidP="00842D50">
      <w:pPr>
        <w:pStyle w:val="ListParagraph"/>
        <w:numPr>
          <w:ilvl w:val="0"/>
          <w:numId w:val="16"/>
        </w:numPr>
      </w:pPr>
      <w:r w:rsidRPr="002B7973">
        <w:t>Performance Monitoring and Continuous Improvement: Vendorization timelines, service coverage, and service quality measures tracking processes are being implemented to ensure accountability and guide continuous improvement. Feedback from vendors and CDOR staff informs process enhancements to support efficient vendor growth and high-quality service delivery.</w:t>
      </w:r>
    </w:p>
    <w:p w14:paraId="35B09E09" w14:textId="77777777" w:rsidR="00C13F63" w:rsidRPr="00380F79" w:rsidRDefault="00C13F63" w:rsidP="00C13F63">
      <w:pPr>
        <w:rPr>
          <w:u w:val="single"/>
        </w:rPr>
      </w:pPr>
    </w:p>
    <w:p w14:paraId="53AB9942" w14:textId="77777777" w:rsidR="00C13F63" w:rsidRPr="00380F79" w:rsidRDefault="00C13F63" w:rsidP="00C13F63">
      <w:pPr>
        <w:rPr>
          <w:i/>
          <w:iCs/>
          <w:u w:val="single"/>
        </w:rPr>
      </w:pPr>
      <w:r w:rsidRPr="00380F79">
        <w:rPr>
          <w:i/>
          <w:iCs/>
          <w:u w:val="single"/>
        </w:rPr>
        <w:t>SRC State Plan Modification Recommendation 4 – Training</w:t>
      </w:r>
    </w:p>
    <w:p w14:paraId="79235895" w14:textId="77777777" w:rsidR="00C13F63" w:rsidRPr="00F443F8" w:rsidRDefault="00C13F63" w:rsidP="00C13F63">
      <w:r w:rsidRPr="00F443F8">
        <w:t>The SRC recommends that DOR prioritize staff training and consistency in policy implementation in the 2024–2027 State Plan Modification, ensuring that individuals with disabilities receive fair, timely, and equitable services regardless of where they live or which DOR office serves them. Ensuring that staff across California apply regulations and policies consistently is essential for equity, efficiency, and accountability in DOR’s service delivery. Comprehensive staff training will help increase consumer employment outcomes.</w:t>
      </w:r>
    </w:p>
    <w:p w14:paraId="5C0A43A3" w14:textId="77777777" w:rsidR="00C13F63" w:rsidRPr="00F443F8" w:rsidRDefault="00C13F63" w:rsidP="00C13F63"/>
    <w:p w14:paraId="10D1B9A1" w14:textId="79D79A7A" w:rsidR="00C13F63" w:rsidRPr="00380F79" w:rsidRDefault="00654951" w:rsidP="00C13F63">
      <w:pPr>
        <w:rPr>
          <w:i/>
          <w:iCs/>
          <w:u w:val="single"/>
        </w:rPr>
      </w:pPr>
      <w:r>
        <w:rPr>
          <w:i/>
          <w:iCs/>
          <w:u w:val="single"/>
        </w:rPr>
        <w:t>C</w:t>
      </w:r>
      <w:r w:rsidR="00C13F63" w:rsidRPr="00380F79">
        <w:rPr>
          <w:i/>
          <w:iCs/>
          <w:u w:val="single"/>
        </w:rPr>
        <w:t>DOR Response to SRC Recommendation 4</w:t>
      </w:r>
    </w:p>
    <w:p w14:paraId="58CB212A" w14:textId="7EC403B3" w:rsidR="00C13F63" w:rsidRDefault="00654951" w:rsidP="00C13F63">
      <w:r>
        <w:t>C</w:t>
      </w:r>
      <w:r w:rsidR="00C13F63" w:rsidRPr="00F443F8">
        <w:t>DOR agrees that comprehensive staff training is critical to ensuring that individuals with disabilities receive quality services throughout California.</w:t>
      </w:r>
      <w:r>
        <w:t xml:space="preserve"> </w:t>
      </w:r>
      <w:r w:rsidR="00C13F63" w:rsidRPr="00F443F8">
        <w:t>Consistent application of policies and regulations promotes efficiency and positive outcomes for consumers. To meet current and emerging</w:t>
      </w:r>
      <w:r>
        <w:t xml:space="preserve"> workforce training</w:t>
      </w:r>
      <w:r w:rsidR="00C13F63" w:rsidRPr="00F443F8">
        <w:t xml:space="preserve"> needs, </w:t>
      </w:r>
      <w:r>
        <w:t>C</w:t>
      </w:r>
      <w:r w:rsidR="00C13F63" w:rsidRPr="00F443F8">
        <w:t xml:space="preserve">DOR’s Staff Development Unit collaborates with other </w:t>
      </w:r>
      <w:r>
        <w:t>C</w:t>
      </w:r>
      <w:r w:rsidR="00C13F63" w:rsidRPr="00F443F8">
        <w:t xml:space="preserve">DOR divisions to develop and deliver targeted training and professional development opportunities for staff, as described in Section (i) – Comprehensive System of Personnel Development (CSPD) of the State Plan. </w:t>
      </w:r>
    </w:p>
    <w:p w14:paraId="1D55939B" w14:textId="77777777" w:rsidR="002B7973" w:rsidRDefault="002B7973" w:rsidP="00C13F63"/>
    <w:p w14:paraId="219F42A5" w14:textId="5D06959B" w:rsidR="006E7517" w:rsidRPr="005A519D" w:rsidRDefault="00676B24" w:rsidP="00D54A1C">
      <w:r>
        <w:t>Examples of trainings recently provided to</w:t>
      </w:r>
      <w:r w:rsidR="00654951">
        <w:t xml:space="preserve"> CDOR</w:t>
      </w:r>
      <w:r>
        <w:t xml:space="preserve"> staff include trainings on </w:t>
      </w:r>
      <w:r w:rsidR="008008F8">
        <w:t>regulations</w:t>
      </w:r>
      <w:r w:rsidR="005A71D3">
        <w:t xml:space="preserve"> related to student services, training services, public and private postsecondary schools, maintenance supports, and informed choice. </w:t>
      </w:r>
      <w:r w:rsidR="00D54A1C" w:rsidRPr="00D54A1C">
        <w:t xml:space="preserve">Trainings currently in development will address key aspects of the </w:t>
      </w:r>
      <w:r w:rsidR="00D54A1C">
        <w:t>v</w:t>
      </w:r>
      <w:r w:rsidR="00D54A1C" w:rsidRPr="00D54A1C">
        <w:t xml:space="preserve">ocational </w:t>
      </w:r>
      <w:r w:rsidR="00D54A1C">
        <w:t>r</w:t>
      </w:r>
      <w:r w:rsidR="00D54A1C" w:rsidRPr="00D54A1C">
        <w:t>ehabilitation process, including regulations related to service applications, eligibility criteria, service prioritization, and other essential program components</w:t>
      </w:r>
      <w:r w:rsidR="00D54A1C">
        <w:t>.</w:t>
      </w:r>
    </w:p>
    <w:p w14:paraId="520391EB" w14:textId="77777777" w:rsidR="00C13F63" w:rsidRDefault="00C13F63" w:rsidP="00C13F63">
      <w:pPr>
        <w:pBdr>
          <w:bottom w:val="single" w:sz="6" w:space="1" w:color="auto"/>
        </w:pBdr>
      </w:pPr>
    </w:p>
    <w:p w14:paraId="14AA2A5F" w14:textId="77777777" w:rsidR="009311C4" w:rsidRDefault="00D54A1C" w:rsidP="009311C4">
      <w:pPr>
        <w:pBdr>
          <w:bottom w:val="single" w:sz="6" w:space="1" w:color="auto"/>
        </w:pBdr>
      </w:pPr>
      <w:r w:rsidRPr="00F443F8">
        <w:t xml:space="preserve">These coordinated training initiatives reinforce </w:t>
      </w:r>
      <w:r w:rsidR="00654951">
        <w:t>C</w:t>
      </w:r>
      <w:r w:rsidRPr="00F443F8">
        <w:t>DOR’s commitment to staff excellence, policy consistency, and high-quality service delivery for Californians</w:t>
      </w:r>
      <w:r w:rsidRPr="005A519D">
        <w:t xml:space="preserve"> with disabilities.</w:t>
      </w:r>
    </w:p>
    <w:p w14:paraId="22E1D64B" w14:textId="77777777" w:rsidR="009311C4" w:rsidRDefault="009311C4" w:rsidP="009311C4">
      <w:pPr>
        <w:pBdr>
          <w:bottom w:val="single" w:sz="6" w:space="1" w:color="auto"/>
        </w:pBdr>
      </w:pPr>
    </w:p>
    <w:p w14:paraId="4CF12B51" w14:textId="77777777" w:rsidR="009311C4" w:rsidRPr="009311C4" w:rsidRDefault="009311C4" w:rsidP="009311C4">
      <w:pPr>
        <w:pBdr>
          <w:bottom w:val="single" w:sz="6" w:space="1" w:color="auto"/>
        </w:pBdr>
        <w:rPr>
          <w:i/>
          <w:iCs/>
          <w:u w:val="single"/>
        </w:rPr>
      </w:pPr>
      <w:r w:rsidRPr="009311C4">
        <w:rPr>
          <w:i/>
          <w:iCs/>
          <w:u w:val="single"/>
        </w:rPr>
        <w:t>SRC State Plan Modification Recommendation 5 – Order of Selection</w:t>
      </w:r>
    </w:p>
    <w:p w14:paraId="5B179658" w14:textId="77777777" w:rsidR="009311C4" w:rsidRDefault="009311C4" w:rsidP="009311C4">
      <w:pPr>
        <w:pBdr>
          <w:bottom w:val="single" w:sz="6" w:space="1" w:color="auto"/>
        </w:pBdr>
      </w:pPr>
      <w:r>
        <w:t xml:space="preserve">The SRC has closely monitored CDOR’s workforce shortages, increased caseloads, resource and budget limitations. The Rehabilitation Act requires a state vocational </w:t>
      </w:r>
      <w:r>
        <w:lastRenderedPageBreak/>
        <w:t xml:space="preserve">rehabilitation agency to implement an Order of Selection (OOS) when it lacks sufficient staff or resources to serve all eligible individuals. An OOS prioritizes individuals with the most significant disabilities, ensuring that limited resources are directed to those with the greatest need. The SRC recognizes that an OOS is necessary in order for CDOR to improve service quality, increase employment outcomes, and maintain the integrity of the VR program. Therefore, the SRC supports CDOR’s decision to enter into an OOS for the modification to the 2024 – 2027 State Plan Modification. </w:t>
      </w:r>
    </w:p>
    <w:p w14:paraId="32EF9898" w14:textId="77777777" w:rsidR="009311C4" w:rsidRDefault="009311C4" w:rsidP="009311C4">
      <w:pPr>
        <w:pBdr>
          <w:bottom w:val="single" w:sz="6" w:space="1" w:color="auto"/>
        </w:pBdr>
      </w:pPr>
    </w:p>
    <w:p w14:paraId="2CBDC4E7" w14:textId="77777777" w:rsidR="009311C4" w:rsidRPr="009311C4" w:rsidRDefault="009311C4" w:rsidP="009311C4">
      <w:pPr>
        <w:pBdr>
          <w:bottom w:val="single" w:sz="6" w:space="1" w:color="auto"/>
        </w:pBdr>
        <w:rPr>
          <w:i/>
          <w:iCs/>
          <w:u w:val="single"/>
        </w:rPr>
      </w:pPr>
      <w:r w:rsidRPr="009311C4">
        <w:rPr>
          <w:i/>
          <w:iCs/>
          <w:u w:val="single"/>
        </w:rPr>
        <w:t>DOR Response to SRC Recommendation 5</w:t>
      </w:r>
    </w:p>
    <w:p w14:paraId="4AF1A80C" w14:textId="4979D5D5" w:rsidR="009311C4" w:rsidRPr="0023619C" w:rsidRDefault="00BA0FB3" w:rsidP="009311C4">
      <w:pPr>
        <w:pBdr>
          <w:bottom w:val="single" w:sz="6" w:space="1" w:color="auto"/>
        </w:pBdr>
        <w:rPr>
          <w:i/>
          <w:iCs/>
          <w:color w:val="ED0000"/>
        </w:rPr>
      </w:pPr>
      <w:r w:rsidRPr="0023619C">
        <w:rPr>
          <w:i/>
          <w:iCs/>
          <w:color w:val="ED0000"/>
        </w:rPr>
        <w:t>Forthcoming</w:t>
      </w:r>
    </w:p>
    <w:p w14:paraId="755E81E5" w14:textId="77777777" w:rsidR="009311C4" w:rsidRDefault="009311C4" w:rsidP="009311C4">
      <w:pPr>
        <w:pBdr>
          <w:bottom w:val="single" w:sz="6" w:space="1" w:color="auto"/>
        </w:pBdr>
      </w:pPr>
    </w:p>
    <w:p w14:paraId="5E2FBF71" w14:textId="77777777" w:rsidR="009311C4" w:rsidRPr="009311C4" w:rsidRDefault="009311C4" w:rsidP="009311C4">
      <w:pPr>
        <w:pBdr>
          <w:bottom w:val="single" w:sz="6" w:space="1" w:color="auto"/>
        </w:pBdr>
        <w:rPr>
          <w:i/>
          <w:iCs/>
          <w:u w:val="single"/>
        </w:rPr>
      </w:pPr>
      <w:r w:rsidRPr="009311C4">
        <w:rPr>
          <w:i/>
          <w:iCs/>
          <w:u w:val="single"/>
        </w:rPr>
        <w:t xml:space="preserve">SRC State Plan Recommendation 6 – Expanding the Pool of American Sign Language (ASL) Interpreters </w:t>
      </w:r>
    </w:p>
    <w:p w14:paraId="68D049DC" w14:textId="77777777" w:rsidR="009311C4" w:rsidRDefault="009311C4" w:rsidP="009311C4">
      <w:pPr>
        <w:pBdr>
          <w:bottom w:val="single" w:sz="6" w:space="1" w:color="auto"/>
        </w:pBdr>
      </w:pPr>
      <w:r>
        <w:t>The SRC recommends that CDOR prioritize increasing the pool of ASL interpreters as part of the 2024–2027 State Plan Modification, ensuring that all consumers can fully participate in the VR process and achieve meaningful employment outcomes.</w:t>
      </w:r>
    </w:p>
    <w:p w14:paraId="19AE67C6" w14:textId="77777777" w:rsidR="009311C4" w:rsidRDefault="009311C4" w:rsidP="009311C4">
      <w:pPr>
        <w:pBdr>
          <w:bottom w:val="single" w:sz="6" w:space="1" w:color="auto"/>
        </w:pBdr>
      </w:pPr>
    </w:p>
    <w:p w14:paraId="52CFCB27" w14:textId="77777777" w:rsidR="009311C4" w:rsidRPr="009311C4" w:rsidRDefault="009311C4" w:rsidP="009311C4">
      <w:pPr>
        <w:pBdr>
          <w:bottom w:val="single" w:sz="6" w:space="1" w:color="auto"/>
        </w:pBdr>
        <w:rPr>
          <w:i/>
          <w:iCs/>
          <w:u w:val="single"/>
        </w:rPr>
      </w:pPr>
      <w:r w:rsidRPr="009311C4">
        <w:rPr>
          <w:i/>
          <w:iCs/>
          <w:u w:val="single"/>
        </w:rPr>
        <w:t>CDOR Response to SRC Recommendation 6</w:t>
      </w:r>
    </w:p>
    <w:p w14:paraId="6FFE6053" w14:textId="591E53C3" w:rsidR="00EF6E02" w:rsidRDefault="009311C4" w:rsidP="009311C4">
      <w:pPr>
        <w:pBdr>
          <w:bottom w:val="single" w:sz="6" w:space="1" w:color="auto"/>
        </w:pBdr>
      </w:pPr>
      <w:r>
        <w:t>CDOR agrees that access to qualified ASL interpreters is essential to ensuring that consumers who are Deaf and hard of hearing can fully participate in VR services and achieve successful employment outcomes. To increase interpreter availability and service quality, CDOR’s Specialized Services Division is implementing the following strategies:</w:t>
      </w:r>
    </w:p>
    <w:p w14:paraId="1CD7913C" w14:textId="7591C9D6" w:rsidR="00EF6E02" w:rsidRDefault="00EF6E02" w:rsidP="00EF6E02">
      <w:pPr>
        <w:pStyle w:val="ListParagraph"/>
        <w:numPr>
          <w:ilvl w:val="0"/>
          <w:numId w:val="20"/>
        </w:numPr>
        <w:pBdr>
          <w:bottom w:val="single" w:sz="6" w:space="1" w:color="auto"/>
        </w:pBdr>
      </w:pPr>
      <w:r>
        <w:t>Targeted recruitment of qualified ASL interpreters, including outreach to interpreter training programs and professional networks.</w:t>
      </w:r>
    </w:p>
    <w:p w14:paraId="14EB665E" w14:textId="1F9FC3E3" w:rsidR="00EF6E02" w:rsidRDefault="00EF6E02" w:rsidP="00EF6E02">
      <w:pPr>
        <w:pStyle w:val="ListParagraph"/>
        <w:numPr>
          <w:ilvl w:val="0"/>
          <w:numId w:val="20"/>
        </w:numPr>
        <w:pBdr>
          <w:bottom w:val="single" w:sz="6" w:space="1" w:color="auto"/>
        </w:pBdr>
      </w:pPr>
      <w:r>
        <w:t>Ongoing professional development opportunities to support interpreter skill-building and retention.</w:t>
      </w:r>
    </w:p>
    <w:p w14:paraId="6F0D5459" w14:textId="135C5F0C" w:rsidR="009311C4" w:rsidRDefault="00EF6E02" w:rsidP="00EF6E02">
      <w:pPr>
        <w:pStyle w:val="ListParagraph"/>
        <w:numPr>
          <w:ilvl w:val="0"/>
          <w:numId w:val="20"/>
        </w:numPr>
        <w:pBdr>
          <w:bottom w:val="single" w:sz="6" w:space="1" w:color="auto"/>
        </w:pBdr>
      </w:pPr>
      <w:r>
        <w:t>Strategic partnerships with community-based organizations to expand access and coverage.</w:t>
      </w:r>
    </w:p>
    <w:p w14:paraId="391B5E17" w14:textId="77777777" w:rsidR="00EF6E02" w:rsidRDefault="00EF6E02" w:rsidP="00EF6E02">
      <w:pPr>
        <w:pBdr>
          <w:bottom w:val="single" w:sz="6" w:space="1" w:color="auto"/>
        </w:pBdr>
      </w:pPr>
    </w:p>
    <w:p w14:paraId="6D69CDF2" w14:textId="77777777" w:rsidR="009311C4" w:rsidRDefault="009311C4" w:rsidP="009311C4">
      <w:pPr>
        <w:pBdr>
          <w:bottom w:val="single" w:sz="6" w:space="1" w:color="auto"/>
        </w:pBdr>
      </w:pPr>
      <w:r>
        <w:t>In addition, CDOR is exploring innovative service delivery options, such as remote interpreting technology, to enhance accessibility and reduce service delays, particularly in regions with limited in-person interpreter availability. These solutions are intended to support consumers and ensure effective communication across all service settings. These efforts reflect CDOR’s ongoing commitment to and effective communication for all consumers receiving VR services.</w:t>
      </w:r>
    </w:p>
    <w:p w14:paraId="10523BA7" w14:textId="77777777" w:rsidR="009311C4" w:rsidRDefault="009311C4" w:rsidP="009311C4">
      <w:pPr>
        <w:pBdr>
          <w:bottom w:val="single" w:sz="6" w:space="1" w:color="auto"/>
        </w:pBdr>
      </w:pPr>
    </w:p>
    <w:p w14:paraId="3DC72134" w14:textId="46D0F29E" w:rsidR="009311C4" w:rsidRPr="00EF6E02" w:rsidRDefault="009311C4" w:rsidP="009311C4">
      <w:pPr>
        <w:pBdr>
          <w:bottom w:val="single" w:sz="6" w:space="1" w:color="auto"/>
        </w:pBdr>
        <w:rPr>
          <w:i/>
          <w:iCs/>
          <w:u w:val="single"/>
        </w:rPr>
      </w:pPr>
      <w:r w:rsidRPr="00EF6E02">
        <w:rPr>
          <w:i/>
          <w:iCs/>
          <w:u w:val="single"/>
        </w:rPr>
        <w:t>SRC State Plan Recommendation</w:t>
      </w:r>
      <w:r w:rsidR="00F65934">
        <w:rPr>
          <w:i/>
          <w:iCs/>
          <w:u w:val="single"/>
        </w:rPr>
        <w:t xml:space="preserve"> 7</w:t>
      </w:r>
      <w:r w:rsidRPr="00EF6E02">
        <w:rPr>
          <w:i/>
          <w:iCs/>
          <w:u w:val="single"/>
        </w:rPr>
        <w:t xml:space="preserve"> – Expanding Outreach</w:t>
      </w:r>
    </w:p>
    <w:p w14:paraId="29AF0DE0" w14:textId="6BC959E9" w:rsidR="009311C4" w:rsidRDefault="009311C4" w:rsidP="009311C4">
      <w:pPr>
        <w:pBdr>
          <w:bottom w:val="single" w:sz="6" w:space="1" w:color="auto"/>
        </w:pBdr>
      </w:pPr>
      <w:r>
        <w:t xml:space="preserve">The SRC recommends that </w:t>
      </w:r>
      <w:r w:rsidR="00F65934">
        <w:t>C</w:t>
      </w:r>
      <w:r>
        <w:t>DOR expand outreach efforts to reach individuals and communities who may experience the most significant challenges with accessing VR services. This includes strengthening partnerships, improving communication about available resources, and using data and stakeholder feedback to identify areas where services are underutilized.</w:t>
      </w:r>
    </w:p>
    <w:p w14:paraId="0CCE4F84" w14:textId="77777777" w:rsidR="009311C4" w:rsidRDefault="009311C4" w:rsidP="009311C4">
      <w:pPr>
        <w:pBdr>
          <w:bottom w:val="single" w:sz="6" w:space="1" w:color="auto"/>
        </w:pBdr>
      </w:pPr>
    </w:p>
    <w:p w14:paraId="5072FEEF" w14:textId="68F4394C" w:rsidR="00F65934" w:rsidRPr="009311C4" w:rsidRDefault="00F65934" w:rsidP="00F65934">
      <w:pPr>
        <w:pBdr>
          <w:bottom w:val="single" w:sz="6" w:space="1" w:color="auto"/>
        </w:pBdr>
        <w:rPr>
          <w:i/>
          <w:iCs/>
          <w:u w:val="single"/>
        </w:rPr>
      </w:pPr>
      <w:r w:rsidRPr="009311C4">
        <w:rPr>
          <w:i/>
          <w:iCs/>
          <w:u w:val="single"/>
        </w:rPr>
        <w:t>CDOR Response to SRC Recommendation</w:t>
      </w:r>
      <w:r>
        <w:rPr>
          <w:i/>
          <w:iCs/>
          <w:u w:val="single"/>
        </w:rPr>
        <w:t xml:space="preserve"> 7</w:t>
      </w:r>
    </w:p>
    <w:p w14:paraId="351CF51D" w14:textId="5DA89322" w:rsidR="005E6FAA" w:rsidRPr="0023619C" w:rsidRDefault="00BA0FB3" w:rsidP="005E6FAA">
      <w:pPr>
        <w:pBdr>
          <w:bottom w:val="single" w:sz="6" w:space="1" w:color="auto"/>
        </w:pBdr>
        <w:rPr>
          <w:i/>
          <w:iCs/>
          <w:color w:val="ED0000"/>
        </w:rPr>
      </w:pPr>
      <w:r w:rsidRPr="0023619C">
        <w:rPr>
          <w:i/>
          <w:iCs/>
          <w:color w:val="ED0000"/>
        </w:rPr>
        <w:t>Forthcoming</w:t>
      </w:r>
    </w:p>
    <w:p w14:paraId="2626DB8D" w14:textId="77777777" w:rsidR="00BA0FB3" w:rsidRPr="0023619C" w:rsidRDefault="00BA0FB3" w:rsidP="005E6FAA">
      <w:pPr>
        <w:pBdr>
          <w:bottom w:val="single" w:sz="6" w:space="1" w:color="auto"/>
        </w:pBdr>
        <w:rPr>
          <w:i/>
          <w:iCs/>
          <w:color w:val="ED0000"/>
        </w:rPr>
      </w:pPr>
    </w:p>
    <w:p w14:paraId="6AAA7283" w14:textId="77777777" w:rsidR="00BA0FB3" w:rsidRDefault="00BA0FB3" w:rsidP="001448A3">
      <w:pPr>
        <w:rPr>
          <w:b/>
          <w:bCs/>
        </w:rPr>
      </w:pPr>
    </w:p>
    <w:p w14:paraId="05DCAA24" w14:textId="52F70C94" w:rsidR="00837D1E" w:rsidRPr="00380F79" w:rsidRDefault="00837D1E" w:rsidP="001448A3">
      <w:pPr>
        <w:rPr>
          <w:b/>
          <w:bCs/>
        </w:rPr>
      </w:pPr>
      <w:r w:rsidRPr="00380F79">
        <w:rPr>
          <w:b/>
          <w:bCs/>
        </w:rPr>
        <w:t>SRC Policy Recommendations</w:t>
      </w:r>
    </w:p>
    <w:p w14:paraId="011E07EC" w14:textId="77777777" w:rsidR="00380F79" w:rsidRDefault="00380F79" w:rsidP="001448A3"/>
    <w:p w14:paraId="00C3ACFD" w14:textId="77777777" w:rsidR="00C13F63" w:rsidRPr="00380F79" w:rsidRDefault="00C13F63" w:rsidP="00C13F63">
      <w:pPr>
        <w:rPr>
          <w:i/>
          <w:iCs/>
          <w:u w:val="single"/>
        </w:rPr>
      </w:pPr>
      <w:r w:rsidRPr="00380F79">
        <w:rPr>
          <w:i/>
          <w:iCs/>
          <w:u w:val="single"/>
        </w:rPr>
        <w:t>SRC Recommendation 2024.1 – Benefits Planning</w:t>
      </w:r>
    </w:p>
    <w:p w14:paraId="6DD02200" w14:textId="77777777" w:rsidR="00C13F63" w:rsidRPr="009735E2" w:rsidRDefault="00C13F63" w:rsidP="00C13F63">
      <w:r w:rsidRPr="009735E2">
        <w:t>Adopted on September 12, 2024</w:t>
      </w:r>
    </w:p>
    <w:p w14:paraId="64B54DC3" w14:textId="77777777" w:rsidR="00C13F63" w:rsidRPr="009735E2" w:rsidRDefault="00C13F63" w:rsidP="00C13F63">
      <w:r w:rsidRPr="009735E2">
        <w:t xml:space="preserve">The SRC supports the policy recommendations included in the 2024 Benefits Planning Report developed by the California Committee on the Employment of People with Disabilities (CCEPD) workgroup of disability-related advisory bodies. </w:t>
      </w:r>
    </w:p>
    <w:p w14:paraId="1A752FA6" w14:textId="77777777" w:rsidR="00C13F63" w:rsidRPr="009735E2" w:rsidRDefault="00C13F63" w:rsidP="00C13F63"/>
    <w:p w14:paraId="1CB1A5CF" w14:textId="294A4944" w:rsidR="00C13F63" w:rsidRPr="00380F79" w:rsidRDefault="007A72DC" w:rsidP="00C13F63">
      <w:pPr>
        <w:rPr>
          <w:i/>
          <w:iCs/>
          <w:u w:val="single"/>
        </w:rPr>
      </w:pPr>
      <w:r>
        <w:rPr>
          <w:i/>
          <w:iCs/>
          <w:u w:val="single"/>
        </w:rPr>
        <w:t>C</w:t>
      </w:r>
      <w:r w:rsidR="00C13F63" w:rsidRPr="00380F79">
        <w:rPr>
          <w:i/>
          <w:iCs/>
          <w:u w:val="single"/>
        </w:rPr>
        <w:t xml:space="preserve">DOR Response to SRC Recommendation 2024.1 </w:t>
      </w:r>
    </w:p>
    <w:p w14:paraId="6632BA02" w14:textId="04BE407F" w:rsidR="00C13F63" w:rsidRPr="009735E2" w:rsidRDefault="007A72DC" w:rsidP="00C13F63">
      <w:r>
        <w:t>C</w:t>
      </w:r>
      <w:r w:rsidR="00C13F63" w:rsidRPr="009735E2">
        <w:t>DOR</w:t>
      </w:r>
      <w:r w:rsidR="000D7F62">
        <w:t xml:space="preserve"> </w:t>
      </w:r>
      <w:r w:rsidR="00AB106B">
        <w:t>agrees</w:t>
      </w:r>
      <w:r w:rsidR="00C13F63" w:rsidRPr="009735E2">
        <w:t xml:space="preserve"> that benefits planning is a crucial support for individuals with disabilities as they explore employment options. </w:t>
      </w:r>
      <w:r>
        <w:t>The C</w:t>
      </w:r>
      <w:r w:rsidR="00C13F63" w:rsidRPr="009735E2">
        <w:t xml:space="preserve">DOR appreciates the efforts of the California Committee on Employment of People with Disabilities (CCEPD) disability cross-advisory body workgroup to identify policy recommendations. The </w:t>
      </w:r>
      <w:r>
        <w:t>C</w:t>
      </w:r>
      <w:r w:rsidR="00C13F63" w:rsidRPr="009735E2">
        <w:t xml:space="preserve">DOR Directorate received the 2024 Benefits Planning Report on October 11, 2024 from CCEPD leadership. </w:t>
      </w:r>
      <w:r w:rsidR="00161E57">
        <w:t xml:space="preserve">CDOR </w:t>
      </w:r>
      <w:r w:rsidR="00F6463D">
        <w:t xml:space="preserve">executive leadership will identify individuals and </w:t>
      </w:r>
      <w:r w:rsidR="002D5725">
        <w:t>organizations</w:t>
      </w:r>
      <w:r w:rsidR="00C061CC">
        <w:t xml:space="preserve"> whose scope and interests </w:t>
      </w:r>
      <w:r w:rsidR="00161E57">
        <w:t>intersects with the report recommendations and CDOR will distribute the report accordingly.</w:t>
      </w:r>
      <w:r w:rsidR="00B47319">
        <w:t xml:space="preserve"> </w:t>
      </w:r>
      <w:r w:rsidR="00161E57">
        <w:t xml:space="preserve"> </w:t>
      </w:r>
    </w:p>
    <w:p w14:paraId="4316C754" w14:textId="77777777" w:rsidR="00C13F63" w:rsidRPr="009735E2" w:rsidRDefault="00C13F63" w:rsidP="00C13F63"/>
    <w:p w14:paraId="5BE9AADE" w14:textId="77777777" w:rsidR="00C13F63" w:rsidRPr="00380F79" w:rsidRDefault="00C13F63" w:rsidP="00C13F63">
      <w:pPr>
        <w:rPr>
          <w:i/>
          <w:iCs/>
          <w:u w:val="single"/>
        </w:rPr>
      </w:pPr>
      <w:r w:rsidRPr="00380F79">
        <w:rPr>
          <w:i/>
          <w:iCs/>
          <w:u w:val="single"/>
        </w:rPr>
        <w:t>SRC Recommendation 2024.2 – VR Terminology</w:t>
      </w:r>
    </w:p>
    <w:p w14:paraId="2E4D002F" w14:textId="77777777" w:rsidR="00C13F63" w:rsidRPr="009735E2" w:rsidRDefault="00C13F63" w:rsidP="00C13F63">
      <w:r w:rsidRPr="009735E2">
        <w:t>Adopted on September 12, 2024</w:t>
      </w:r>
    </w:p>
    <w:p w14:paraId="5B0CD660" w14:textId="6B4DC7C7" w:rsidR="00C13F63" w:rsidRPr="009735E2" w:rsidRDefault="00C13F63" w:rsidP="00C13F63">
      <w:r w:rsidRPr="009735E2">
        <w:t xml:space="preserve">The SRC recommends that a glossary in plain language, within the vocational rehabilitation (VR) context, of VR terminology (example: disability, conservator, Community Rehabilitation Program, etc.) be made available to interested individuals, applicants and consumers on the </w:t>
      </w:r>
      <w:r w:rsidR="007A72DC">
        <w:t>C</w:t>
      </w:r>
      <w:r w:rsidRPr="009735E2">
        <w:t xml:space="preserve">DOR website and attached to the </w:t>
      </w:r>
      <w:r w:rsidR="007A72DC">
        <w:t>C</w:t>
      </w:r>
      <w:r w:rsidRPr="009735E2">
        <w:t xml:space="preserve">DOR application. A glossary may be a helpful reference when individuals apply for VR services without an advocate or </w:t>
      </w:r>
      <w:r w:rsidR="007A72DC">
        <w:t>C</w:t>
      </w:r>
      <w:r w:rsidRPr="009735E2">
        <w:t>DOR staff member present.</w:t>
      </w:r>
    </w:p>
    <w:p w14:paraId="16890FC6" w14:textId="77777777" w:rsidR="00C13F63" w:rsidRPr="00380F79" w:rsidRDefault="00C13F63" w:rsidP="00C13F63">
      <w:pPr>
        <w:rPr>
          <w:i/>
          <w:iCs/>
          <w:u w:val="single"/>
        </w:rPr>
      </w:pPr>
    </w:p>
    <w:p w14:paraId="0F17F7E8" w14:textId="7E14B1F0" w:rsidR="00816CCB" w:rsidRPr="00BA0FB3" w:rsidRDefault="007A72DC" w:rsidP="00C13F63">
      <w:pPr>
        <w:rPr>
          <w:i/>
          <w:iCs/>
          <w:u w:val="single"/>
        </w:rPr>
      </w:pPr>
      <w:bookmarkStart w:id="0" w:name="_Hlk214351788"/>
      <w:r>
        <w:rPr>
          <w:i/>
          <w:iCs/>
          <w:u w:val="single"/>
        </w:rPr>
        <w:t>C</w:t>
      </w:r>
      <w:r w:rsidR="00C13F63" w:rsidRPr="00380F79">
        <w:rPr>
          <w:i/>
          <w:iCs/>
          <w:u w:val="single"/>
        </w:rPr>
        <w:t xml:space="preserve">DOR Response to SRC Recommendation 2024.2 </w:t>
      </w:r>
    </w:p>
    <w:p w14:paraId="2353DC81" w14:textId="59B208D6" w:rsidR="00816CCB" w:rsidRDefault="00816CCB" w:rsidP="00816CCB">
      <w:r w:rsidRPr="00816CCB">
        <w:t>CDOR agrees with developing a glossary, as this aligns with our commitment to providing interested individuals, applicants, and consumers with clear, plain-language information about CDOR and VR services. The purpose of the VR Services Application, however, is to give individuals the opportunity to personally describe their disability and how it affects their ability to work in a streamlined format that avoids unnecessary complexity or potential barriers. For this reason, CDOR does not anticipate placing the glossary directly within the application.</w:t>
      </w:r>
      <w:r w:rsidR="00C23BA0">
        <w:t xml:space="preserve"> </w:t>
      </w:r>
      <w:r w:rsidRPr="00816CCB">
        <w:t>Instead, CDOR subject matter experts will determine the most effective location(s) for the glossary so that it enhances understanding without detracting from the application experience. After submitting an application, individuals have the opportunity to further discuss their disability and service needs with a CDOR Counselor during eligibility, assessment, and employment planning.</w:t>
      </w:r>
    </w:p>
    <w:p w14:paraId="2D4CFA2D" w14:textId="77777777" w:rsidR="00816CCB" w:rsidRPr="00816CCB" w:rsidRDefault="00816CCB" w:rsidP="00816CCB"/>
    <w:p w14:paraId="633F0D97" w14:textId="6B2AD4E0" w:rsidR="00816CCB" w:rsidRPr="00816CCB" w:rsidRDefault="00816CCB" w:rsidP="00816CCB">
      <w:r w:rsidRPr="00816CCB">
        <w:t>CDOR also notes that the recently revised Student and Consumer Handbook already serves as a plain-language reference tool</w:t>
      </w:r>
      <w:r>
        <w:t xml:space="preserve">, </w:t>
      </w:r>
      <w:r w:rsidRPr="00816CCB">
        <w:t>functioning similarly to a glossary</w:t>
      </w:r>
      <w:r>
        <w:t xml:space="preserve">, </w:t>
      </w:r>
      <w:r w:rsidRPr="00816CCB">
        <w:t>by explaining CDOR and VR terminology in an accessible format. This updated handbook will be available in all CDOR offices and on the CDOR public website.</w:t>
      </w:r>
    </w:p>
    <w:p w14:paraId="00E98A80" w14:textId="77777777" w:rsidR="00816CCB" w:rsidRDefault="00816CCB" w:rsidP="00816CCB"/>
    <w:p w14:paraId="04F933B3" w14:textId="718470D5" w:rsidR="00816CCB" w:rsidRPr="00816CCB" w:rsidRDefault="00816CCB" w:rsidP="00816CCB">
      <w:r w:rsidRPr="00816CCB">
        <w:t xml:space="preserve">CDOR’s </w:t>
      </w:r>
      <w:r>
        <w:t>future</w:t>
      </w:r>
      <w:r w:rsidRPr="00816CCB">
        <w:t xml:space="preserve"> efforts to improve consumer understanding of CDOR and VR services may also include modernization and rebranding initiatives.</w:t>
      </w:r>
    </w:p>
    <w:bookmarkEnd w:id="0"/>
    <w:p w14:paraId="22522227" w14:textId="77777777" w:rsidR="00C13F63" w:rsidRPr="009735E2" w:rsidRDefault="00C13F63" w:rsidP="00C13F63"/>
    <w:p w14:paraId="43F505CA" w14:textId="77777777" w:rsidR="00C13F63" w:rsidRPr="00380F79" w:rsidRDefault="00C13F63" w:rsidP="00C13F63">
      <w:pPr>
        <w:rPr>
          <w:i/>
          <w:iCs/>
          <w:u w:val="single"/>
        </w:rPr>
      </w:pPr>
      <w:r w:rsidRPr="00380F79">
        <w:rPr>
          <w:i/>
          <w:iCs/>
          <w:u w:val="single"/>
        </w:rPr>
        <w:t xml:space="preserve">SRC Recommendation 2024.3 – CARF Accreditation </w:t>
      </w:r>
    </w:p>
    <w:p w14:paraId="29EBE522" w14:textId="77777777" w:rsidR="00C13F63" w:rsidRPr="009735E2" w:rsidRDefault="00C13F63" w:rsidP="00C13F63">
      <w:r w:rsidRPr="009735E2">
        <w:t>Adopted on September 12, 2024</w:t>
      </w:r>
    </w:p>
    <w:p w14:paraId="59C21F85" w14:textId="701A307A" w:rsidR="00C13F63" w:rsidRPr="009735E2" w:rsidRDefault="00C13F63" w:rsidP="00C13F63">
      <w:r w:rsidRPr="009735E2">
        <w:t xml:space="preserve">The SRC recommends that the </w:t>
      </w:r>
      <w:r w:rsidR="00A84F74">
        <w:t>C</w:t>
      </w:r>
      <w:r w:rsidRPr="009735E2">
        <w:t xml:space="preserve">DOR Community Resource Division (CRD) conduct a survey of Community Rehabilitation Programs (CRPs) currently providing services to </w:t>
      </w:r>
      <w:r w:rsidR="00A84F74">
        <w:t>C</w:t>
      </w:r>
      <w:r w:rsidRPr="009735E2">
        <w:t xml:space="preserve">DOR consumers to gather information on the following: </w:t>
      </w:r>
    </w:p>
    <w:p w14:paraId="074006D0" w14:textId="77777777" w:rsidR="00C13F63" w:rsidRPr="009735E2" w:rsidRDefault="00C13F63" w:rsidP="00C13F63">
      <w:pPr>
        <w:pStyle w:val="ListParagraph"/>
        <w:numPr>
          <w:ilvl w:val="0"/>
          <w:numId w:val="14"/>
        </w:numPr>
      </w:pPr>
      <w:r w:rsidRPr="009735E2">
        <w:t>CRP expenditures,</w:t>
      </w:r>
    </w:p>
    <w:p w14:paraId="3E5216B4" w14:textId="77777777" w:rsidR="00C13F63" w:rsidRPr="009735E2" w:rsidRDefault="00C13F63" w:rsidP="00C13F63">
      <w:pPr>
        <w:pStyle w:val="ListParagraph"/>
        <w:numPr>
          <w:ilvl w:val="0"/>
          <w:numId w:val="14"/>
        </w:numPr>
      </w:pPr>
      <w:r w:rsidRPr="009735E2">
        <w:t xml:space="preserve">Revenue from providing VR services, </w:t>
      </w:r>
    </w:p>
    <w:p w14:paraId="6E3DD99E" w14:textId="77777777" w:rsidR="00C13F63" w:rsidRPr="009735E2" w:rsidRDefault="00C13F63" w:rsidP="00C13F63">
      <w:pPr>
        <w:pStyle w:val="ListParagraph"/>
        <w:numPr>
          <w:ilvl w:val="0"/>
          <w:numId w:val="14"/>
        </w:numPr>
      </w:pPr>
      <w:r w:rsidRPr="009735E2">
        <w:t xml:space="preserve">Cost of becoming Commission on Accreditation of Rehabilitation Facilities (CARF) accredited,  </w:t>
      </w:r>
    </w:p>
    <w:p w14:paraId="55D2879F" w14:textId="77777777" w:rsidR="00C13F63" w:rsidRPr="009735E2" w:rsidRDefault="00C13F63" w:rsidP="00C13F63">
      <w:pPr>
        <w:pStyle w:val="ListParagraph"/>
        <w:numPr>
          <w:ilvl w:val="0"/>
          <w:numId w:val="14"/>
        </w:numPr>
      </w:pPr>
      <w:r w:rsidRPr="009735E2">
        <w:t xml:space="preserve">Benefits to the CRP of having CARF accreditation, and, </w:t>
      </w:r>
    </w:p>
    <w:p w14:paraId="08A9B71B" w14:textId="77777777" w:rsidR="00C13F63" w:rsidRPr="004C2399" w:rsidRDefault="00C13F63" w:rsidP="00C13F63">
      <w:pPr>
        <w:pStyle w:val="ListParagraph"/>
        <w:numPr>
          <w:ilvl w:val="0"/>
          <w:numId w:val="14"/>
        </w:numPr>
      </w:pPr>
      <w:r w:rsidRPr="004C2399">
        <w:t xml:space="preserve">Barriers that CARF accreditation creates for the CRP. </w:t>
      </w:r>
    </w:p>
    <w:p w14:paraId="71E24033" w14:textId="77777777" w:rsidR="00C13F63" w:rsidRPr="009735E2" w:rsidRDefault="00C13F63" w:rsidP="00C13F63"/>
    <w:p w14:paraId="0FC5E9FA" w14:textId="6610E8B8" w:rsidR="00C13F63" w:rsidRPr="00380F79" w:rsidRDefault="00A84F74" w:rsidP="00C13F63">
      <w:pPr>
        <w:rPr>
          <w:i/>
          <w:iCs/>
          <w:u w:val="single"/>
        </w:rPr>
      </w:pPr>
      <w:r>
        <w:rPr>
          <w:i/>
          <w:iCs/>
          <w:u w:val="single"/>
        </w:rPr>
        <w:t>C</w:t>
      </w:r>
      <w:r w:rsidR="00C13F63" w:rsidRPr="00380F79">
        <w:rPr>
          <w:i/>
          <w:iCs/>
          <w:u w:val="single"/>
        </w:rPr>
        <w:t xml:space="preserve">DOR Response to SRC Recommendation 2024.3 </w:t>
      </w:r>
    </w:p>
    <w:p w14:paraId="36ADE2A1" w14:textId="337FE04D" w:rsidR="00C13F63" w:rsidRPr="009735E2" w:rsidRDefault="00C13F63" w:rsidP="00C13F63">
      <w:r w:rsidRPr="009735E2">
        <w:t xml:space="preserve">The </w:t>
      </w:r>
      <w:r w:rsidR="00A84F74">
        <w:t>C</w:t>
      </w:r>
      <w:r w:rsidRPr="009735E2">
        <w:t xml:space="preserve">DOR agrees with this recommendation and will conduct a survey of CRPs currently providing services to </w:t>
      </w:r>
      <w:r w:rsidR="00A84F74">
        <w:t>C</w:t>
      </w:r>
      <w:r w:rsidRPr="009735E2">
        <w:t xml:space="preserve">DOR consumers. An overview of the survey results will be presented at a future SRC quarterly meeting. </w:t>
      </w:r>
    </w:p>
    <w:p w14:paraId="47DC06EA" w14:textId="77777777" w:rsidR="00C13F63" w:rsidRPr="00380F79" w:rsidRDefault="00C13F63" w:rsidP="00C13F63">
      <w:pPr>
        <w:rPr>
          <w:u w:val="single"/>
        </w:rPr>
      </w:pPr>
    </w:p>
    <w:p w14:paraId="5F022356" w14:textId="4BCCC396" w:rsidR="00C13F63" w:rsidRPr="00380F79" w:rsidRDefault="00A84F74" w:rsidP="00C13F63">
      <w:pPr>
        <w:rPr>
          <w:i/>
          <w:iCs/>
          <w:u w:val="single"/>
        </w:rPr>
      </w:pPr>
      <w:r>
        <w:rPr>
          <w:i/>
          <w:iCs/>
          <w:u w:val="single"/>
        </w:rPr>
        <w:t>C</w:t>
      </w:r>
      <w:r w:rsidR="00C13F63" w:rsidRPr="00380F79">
        <w:rPr>
          <w:i/>
          <w:iCs/>
          <w:u w:val="single"/>
        </w:rPr>
        <w:t>DOR Recommendation 2025.1 – DOR Staffing</w:t>
      </w:r>
    </w:p>
    <w:p w14:paraId="70127C65" w14:textId="77777777" w:rsidR="00C13F63" w:rsidRPr="009735E2" w:rsidRDefault="00C13F63" w:rsidP="00C13F63">
      <w:r w:rsidRPr="009735E2">
        <w:t>Adopted on March 5, 2025</w:t>
      </w:r>
    </w:p>
    <w:p w14:paraId="103B2CF3" w14:textId="097834A0" w:rsidR="00C13F63" w:rsidRPr="009735E2" w:rsidRDefault="00C13F63" w:rsidP="00C13F63">
      <w:r w:rsidRPr="009735E2">
        <w:t xml:space="preserve">The SRC recommends that </w:t>
      </w:r>
      <w:r w:rsidR="00A84F74">
        <w:t>C</w:t>
      </w:r>
      <w:r w:rsidRPr="009735E2">
        <w:t>DOR work to understand and address barriers to attracting and retaining staff.</w:t>
      </w:r>
    </w:p>
    <w:p w14:paraId="49381C4D" w14:textId="77777777" w:rsidR="00C13F63" w:rsidRPr="009735E2" w:rsidRDefault="00C13F63" w:rsidP="00C13F63"/>
    <w:p w14:paraId="08A28E64" w14:textId="63879D83" w:rsidR="00C13F63" w:rsidRPr="00380F79" w:rsidRDefault="00A84F74" w:rsidP="00C13F63">
      <w:pPr>
        <w:rPr>
          <w:i/>
          <w:iCs/>
          <w:u w:val="single"/>
        </w:rPr>
      </w:pPr>
      <w:r>
        <w:rPr>
          <w:i/>
          <w:iCs/>
          <w:u w:val="single"/>
        </w:rPr>
        <w:t>C</w:t>
      </w:r>
      <w:r w:rsidR="00C13F63" w:rsidRPr="00380F79">
        <w:rPr>
          <w:i/>
          <w:iCs/>
          <w:u w:val="single"/>
        </w:rPr>
        <w:t>DOR Response to Recommendation 2025.1 – DOR Staffing</w:t>
      </w:r>
    </w:p>
    <w:p w14:paraId="5F3D52B1" w14:textId="68EC3657" w:rsidR="00C13F63" w:rsidRPr="009735E2" w:rsidRDefault="00C13F63" w:rsidP="00C13F63">
      <w:r w:rsidRPr="009735E2">
        <w:t xml:space="preserve">The DOR agrees with this recommendation and acknowledges the importance of attracting and retaining a qualified, dedicated workforce. </w:t>
      </w:r>
      <w:r w:rsidR="00A84F74">
        <w:t>C</w:t>
      </w:r>
      <w:r w:rsidRPr="009735E2">
        <w:t xml:space="preserve">DOR is prioritizing the quality of services delivered to consumers and ensuring that individuals exiting the VR program do so with meaningful, competitive employment outcomes. In support of this priority, </w:t>
      </w:r>
      <w:r w:rsidR="00A84F74">
        <w:t>C</w:t>
      </w:r>
      <w:r w:rsidRPr="009735E2">
        <w:t>DOR leadership is actively evaluating internal staffing practices, identifying recruitment and retention</w:t>
      </w:r>
      <w:r w:rsidR="00A84F74">
        <w:t xml:space="preserve"> challenges</w:t>
      </w:r>
      <w:r w:rsidRPr="009735E2">
        <w:t xml:space="preserve">, and exploring strategies to enhance staff engagement. </w:t>
      </w:r>
      <w:r w:rsidR="00A84F74">
        <w:t>C</w:t>
      </w:r>
      <w:r w:rsidRPr="009735E2">
        <w:t>DOR will continue to partner with stakeholders to strengthen our workforce and sustain high-quality service delivery across California.</w:t>
      </w:r>
    </w:p>
    <w:p w14:paraId="0376D485" w14:textId="77777777" w:rsidR="00C13F63" w:rsidRPr="00C82BE9" w:rsidRDefault="00C13F63" w:rsidP="001448A3"/>
    <w:sectPr w:rsidR="00C13F63" w:rsidRPr="00C82BE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676C" w14:textId="77777777" w:rsidR="00990CEA" w:rsidRDefault="00990CEA" w:rsidP="00A93829">
      <w:r>
        <w:separator/>
      </w:r>
    </w:p>
  </w:endnote>
  <w:endnote w:type="continuationSeparator" w:id="0">
    <w:p w14:paraId="05A99361" w14:textId="77777777" w:rsidR="00990CEA" w:rsidRDefault="00990CEA" w:rsidP="00A9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73CE" w14:textId="103AC398" w:rsidR="00A93829" w:rsidRPr="00A93829" w:rsidRDefault="00805734">
    <w:pPr>
      <w:pStyle w:val="Footer"/>
      <w:jc w:val="right"/>
      <w:rPr>
        <w:rFonts w:cs="Arial"/>
      </w:rPr>
    </w:pPr>
    <w:r>
      <w:rPr>
        <w:rFonts w:cs="Arial"/>
      </w:rPr>
      <w:t xml:space="preserve">Draft </w:t>
    </w:r>
    <w:r w:rsidR="009311C4">
      <w:rPr>
        <w:rFonts w:cs="Arial"/>
      </w:rPr>
      <w:t>11/</w:t>
    </w:r>
    <w:r w:rsidR="0007334F">
      <w:rPr>
        <w:rFonts w:cs="Arial"/>
      </w:rPr>
      <w:t>24</w:t>
    </w:r>
    <w:r w:rsidR="009311C4">
      <w:rPr>
        <w:rFonts w:cs="Arial"/>
      </w:rPr>
      <w:t>/25</w:t>
    </w:r>
    <w:r>
      <w:rPr>
        <w:rFonts w:cs="Arial"/>
      </w:rPr>
      <w:t xml:space="preserve"> </w:t>
    </w:r>
    <w:r w:rsidR="00122320">
      <w:rPr>
        <w:rFonts w:cs="Arial"/>
      </w:rPr>
      <w:tab/>
    </w:r>
    <w:r w:rsidR="00122320">
      <w:rPr>
        <w:rFonts w:cs="Arial"/>
      </w:rPr>
      <w:tab/>
    </w:r>
    <w:r w:rsidR="00A93829" w:rsidRPr="00A93829">
      <w:rPr>
        <w:rFonts w:cs="Arial"/>
      </w:rPr>
      <w:t xml:space="preserve">Page </w:t>
    </w:r>
    <w:sdt>
      <w:sdtPr>
        <w:rPr>
          <w:rFonts w:cs="Arial"/>
        </w:rPr>
        <w:id w:val="-190229272"/>
        <w:docPartObj>
          <w:docPartGallery w:val="Page Numbers (Bottom of Page)"/>
          <w:docPartUnique/>
        </w:docPartObj>
      </w:sdtPr>
      <w:sdtEndPr>
        <w:rPr>
          <w:noProof/>
        </w:rPr>
      </w:sdtEndPr>
      <w:sdtContent>
        <w:r w:rsidR="00A93829" w:rsidRPr="00A93829">
          <w:rPr>
            <w:rFonts w:cs="Arial"/>
          </w:rPr>
          <w:fldChar w:fldCharType="begin"/>
        </w:r>
        <w:r w:rsidR="00A93829" w:rsidRPr="00A93829">
          <w:rPr>
            <w:rFonts w:cs="Arial"/>
          </w:rPr>
          <w:instrText xml:space="preserve"> PAGE   \* MERGEFORMAT </w:instrText>
        </w:r>
        <w:r w:rsidR="00A93829" w:rsidRPr="00A93829">
          <w:rPr>
            <w:rFonts w:cs="Arial"/>
          </w:rPr>
          <w:fldChar w:fldCharType="separate"/>
        </w:r>
        <w:r w:rsidR="00A93829" w:rsidRPr="00A93829">
          <w:rPr>
            <w:rFonts w:cs="Arial"/>
            <w:noProof/>
          </w:rPr>
          <w:t>2</w:t>
        </w:r>
        <w:r w:rsidR="00A93829" w:rsidRPr="00A93829">
          <w:rPr>
            <w:rFonts w:cs="Arial"/>
            <w:noProof/>
          </w:rPr>
          <w:fldChar w:fldCharType="end"/>
        </w:r>
      </w:sdtContent>
    </w:sdt>
  </w:p>
  <w:p w14:paraId="36CE6C45" w14:textId="77777777" w:rsidR="00A93829" w:rsidRPr="00A93829" w:rsidRDefault="00A9382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1562" w14:textId="77777777" w:rsidR="00990CEA" w:rsidRDefault="00990CEA" w:rsidP="00A93829">
      <w:r>
        <w:separator/>
      </w:r>
    </w:p>
  </w:footnote>
  <w:footnote w:type="continuationSeparator" w:id="0">
    <w:p w14:paraId="43C91A76" w14:textId="77777777" w:rsidR="00990CEA" w:rsidRDefault="00990CEA" w:rsidP="00A93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CA32" w14:textId="3EE87C80" w:rsidR="00BA0FB3" w:rsidRDefault="00BA0FB3">
    <w:pPr>
      <w:pStyle w:val="Header"/>
    </w:pPr>
    <w:r>
      <w:t>December 3 – 4, 2025 SRC Quarterly Meeting</w:t>
    </w:r>
  </w:p>
  <w:p w14:paraId="428C4494" w14:textId="68C3C375" w:rsidR="00BA0FB3" w:rsidRDefault="00BA0FB3">
    <w:pPr>
      <w:pStyle w:val="Header"/>
    </w:pPr>
    <w:r>
      <w:t xml:space="preserve">Item 12 – State Plan Modification Section A: SRC Input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912"/>
    <w:multiLevelType w:val="hybridMultilevel"/>
    <w:tmpl w:val="2EBE8F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984AD2"/>
    <w:multiLevelType w:val="hybridMultilevel"/>
    <w:tmpl w:val="6072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D333D"/>
    <w:multiLevelType w:val="hybridMultilevel"/>
    <w:tmpl w:val="D348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94D21"/>
    <w:multiLevelType w:val="hybridMultilevel"/>
    <w:tmpl w:val="6FE4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9780D"/>
    <w:multiLevelType w:val="multilevel"/>
    <w:tmpl w:val="A8D0D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E186F"/>
    <w:multiLevelType w:val="hybridMultilevel"/>
    <w:tmpl w:val="3758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41ED2"/>
    <w:multiLevelType w:val="hybridMultilevel"/>
    <w:tmpl w:val="20AC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E0290"/>
    <w:multiLevelType w:val="hybridMultilevel"/>
    <w:tmpl w:val="F73A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34CD8"/>
    <w:multiLevelType w:val="hybridMultilevel"/>
    <w:tmpl w:val="7DB63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76265C"/>
    <w:multiLevelType w:val="hybridMultilevel"/>
    <w:tmpl w:val="D5D84552"/>
    <w:lvl w:ilvl="0" w:tplc="04090001">
      <w:start w:val="1"/>
      <w:numFmt w:val="bullet"/>
      <w:lvlText w:val=""/>
      <w:lvlJc w:val="left"/>
      <w:pPr>
        <w:ind w:left="720" w:hanging="360"/>
      </w:pPr>
      <w:rPr>
        <w:rFonts w:ascii="Symbol" w:hAnsi="Symbol" w:hint="default"/>
      </w:rPr>
    </w:lvl>
    <w:lvl w:ilvl="1" w:tplc="ED02EEBA">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20F0B"/>
    <w:multiLevelType w:val="hybridMultilevel"/>
    <w:tmpl w:val="B1BE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1604F"/>
    <w:multiLevelType w:val="hybridMultilevel"/>
    <w:tmpl w:val="1D44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35758"/>
    <w:multiLevelType w:val="hybridMultilevel"/>
    <w:tmpl w:val="280E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53BF4"/>
    <w:multiLevelType w:val="hybridMultilevel"/>
    <w:tmpl w:val="74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B85DBA"/>
    <w:multiLevelType w:val="hybridMultilevel"/>
    <w:tmpl w:val="C85C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FC105F"/>
    <w:multiLevelType w:val="hybridMultilevel"/>
    <w:tmpl w:val="64CC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A28E3"/>
    <w:multiLevelType w:val="hybridMultilevel"/>
    <w:tmpl w:val="8434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F110A"/>
    <w:multiLevelType w:val="hybridMultilevel"/>
    <w:tmpl w:val="C660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B4208"/>
    <w:multiLevelType w:val="hybridMultilevel"/>
    <w:tmpl w:val="CA5A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54339"/>
    <w:multiLevelType w:val="hybridMultilevel"/>
    <w:tmpl w:val="6588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65371"/>
    <w:multiLevelType w:val="hybridMultilevel"/>
    <w:tmpl w:val="AAD0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940C3"/>
    <w:multiLevelType w:val="hybridMultilevel"/>
    <w:tmpl w:val="8854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912643">
    <w:abstractNumId w:val="8"/>
  </w:num>
  <w:num w:numId="2" w16cid:durableId="1158116018">
    <w:abstractNumId w:val="16"/>
  </w:num>
  <w:num w:numId="3" w16cid:durableId="1940866184">
    <w:abstractNumId w:val="15"/>
  </w:num>
  <w:num w:numId="4" w16cid:durableId="1759600490">
    <w:abstractNumId w:val="12"/>
  </w:num>
  <w:num w:numId="5" w16cid:durableId="1519659866">
    <w:abstractNumId w:val="19"/>
  </w:num>
  <w:num w:numId="6" w16cid:durableId="1519155708">
    <w:abstractNumId w:val="2"/>
  </w:num>
  <w:num w:numId="7" w16cid:durableId="1669283946">
    <w:abstractNumId w:val="17"/>
  </w:num>
  <w:num w:numId="8" w16cid:durableId="201941245">
    <w:abstractNumId w:val="7"/>
  </w:num>
  <w:num w:numId="9" w16cid:durableId="2131825285">
    <w:abstractNumId w:val="6"/>
  </w:num>
  <w:num w:numId="10" w16cid:durableId="1374188836">
    <w:abstractNumId w:val="14"/>
  </w:num>
  <w:num w:numId="11" w16cid:durableId="1938443879">
    <w:abstractNumId w:val="3"/>
  </w:num>
  <w:num w:numId="12" w16cid:durableId="556549502">
    <w:abstractNumId w:val="9"/>
  </w:num>
  <w:num w:numId="13" w16cid:durableId="974407176">
    <w:abstractNumId w:val="18"/>
  </w:num>
  <w:num w:numId="14" w16cid:durableId="1116559512">
    <w:abstractNumId w:val="21"/>
  </w:num>
  <w:num w:numId="15" w16cid:durableId="57092940">
    <w:abstractNumId w:val="13"/>
  </w:num>
  <w:num w:numId="16" w16cid:durableId="1587495690">
    <w:abstractNumId w:val="5"/>
  </w:num>
  <w:num w:numId="17" w16cid:durableId="1474374255">
    <w:abstractNumId w:val="11"/>
  </w:num>
  <w:num w:numId="18" w16cid:durableId="1150681744">
    <w:abstractNumId w:val="1"/>
  </w:num>
  <w:num w:numId="19" w16cid:durableId="1593473193">
    <w:abstractNumId w:val="10"/>
  </w:num>
  <w:num w:numId="20" w16cid:durableId="1735421775">
    <w:abstractNumId w:val="0"/>
  </w:num>
  <w:num w:numId="21" w16cid:durableId="1326124707">
    <w:abstractNumId w:val="4"/>
  </w:num>
  <w:num w:numId="22" w16cid:durableId="7908989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A9"/>
    <w:rsid w:val="0000192B"/>
    <w:rsid w:val="00003A5C"/>
    <w:rsid w:val="00004DC2"/>
    <w:rsid w:val="00014DAD"/>
    <w:rsid w:val="000349C0"/>
    <w:rsid w:val="0003591A"/>
    <w:rsid w:val="00060E8D"/>
    <w:rsid w:val="0007334F"/>
    <w:rsid w:val="000936FF"/>
    <w:rsid w:val="000B09AC"/>
    <w:rsid w:val="000D7F62"/>
    <w:rsid w:val="0011171D"/>
    <w:rsid w:val="001133C6"/>
    <w:rsid w:val="00122320"/>
    <w:rsid w:val="00126B9F"/>
    <w:rsid w:val="00130663"/>
    <w:rsid w:val="00136C11"/>
    <w:rsid w:val="001448A3"/>
    <w:rsid w:val="0014580C"/>
    <w:rsid w:val="001471C2"/>
    <w:rsid w:val="001578CA"/>
    <w:rsid w:val="00161E57"/>
    <w:rsid w:val="001639CF"/>
    <w:rsid w:val="001649F2"/>
    <w:rsid w:val="00174764"/>
    <w:rsid w:val="0018098A"/>
    <w:rsid w:val="0018450D"/>
    <w:rsid w:val="001A1BF8"/>
    <w:rsid w:val="001C2E0E"/>
    <w:rsid w:val="001D2C7B"/>
    <w:rsid w:val="001E41E2"/>
    <w:rsid w:val="00233F94"/>
    <w:rsid w:val="0023619C"/>
    <w:rsid w:val="00255C2F"/>
    <w:rsid w:val="00271EA7"/>
    <w:rsid w:val="002868EE"/>
    <w:rsid w:val="00296C46"/>
    <w:rsid w:val="00297105"/>
    <w:rsid w:val="002B7973"/>
    <w:rsid w:val="002C0C1B"/>
    <w:rsid w:val="002C4CC9"/>
    <w:rsid w:val="002D3B12"/>
    <w:rsid w:val="002D4C89"/>
    <w:rsid w:val="002D5725"/>
    <w:rsid w:val="002E3159"/>
    <w:rsid w:val="002F4F6E"/>
    <w:rsid w:val="00316F48"/>
    <w:rsid w:val="00351543"/>
    <w:rsid w:val="00354A32"/>
    <w:rsid w:val="00380F79"/>
    <w:rsid w:val="003A1FB0"/>
    <w:rsid w:val="003A4CE9"/>
    <w:rsid w:val="003C59D4"/>
    <w:rsid w:val="003D22AC"/>
    <w:rsid w:val="00413F56"/>
    <w:rsid w:val="00434938"/>
    <w:rsid w:val="00493179"/>
    <w:rsid w:val="004B0F04"/>
    <w:rsid w:val="004B45B4"/>
    <w:rsid w:val="004B4C76"/>
    <w:rsid w:val="004C2399"/>
    <w:rsid w:val="004D666C"/>
    <w:rsid w:val="004F778F"/>
    <w:rsid w:val="00504460"/>
    <w:rsid w:val="00505B0E"/>
    <w:rsid w:val="00513673"/>
    <w:rsid w:val="005159B1"/>
    <w:rsid w:val="00530302"/>
    <w:rsid w:val="00533933"/>
    <w:rsid w:val="00554F2A"/>
    <w:rsid w:val="00556AE4"/>
    <w:rsid w:val="005A519D"/>
    <w:rsid w:val="005A71D3"/>
    <w:rsid w:val="005C60B8"/>
    <w:rsid w:val="005D1D1C"/>
    <w:rsid w:val="005E6FAA"/>
    <w:rsid w:val="005F7E38"/>
    <w:rsid w:val="00600646"/>
    <w:rsid w:val="006213C5"/>
    <w:rsid w:val="00631323"/>
    <w:rsid w:val="00643C7A"/>
    <w:rsid w:val="00645510"/>
    <w:rsid w:val="006508F9"/>
    <w:rsid w:val="00652D31"/>
    <w:rsid w:val="00654951"/>
    <w:rsid w:val="00655C78"/>
    <w:rsid w:val="00676B24"/>
    <w:rsid w:val="0068408B"/>
    <w:rsid w:val="006840EA"/>
    <w:rsid w:val="00695525"/>
    <w:rsid w:val="006D286E"/>
    <w:rsid w:val="006E130F"/>
    <w:rsid w:val="006E6845"/>
    <w:rsid w:val="006E7517"/>
    <w:rsid w:val="006F4C97"/>
    <w:rsid w:val="00712E30"/>
    <w:rsid w:val="00714836"/>
    <w:rsid w:val="00716756"/>
    <w:rsid w:val="007213BC"/>
    <w:rsid w:val="00726322"/>
    <w:rsid w:val="00733436"/>
    <w:rsid w:val="007351B5"/>
    <w:rsid w:val="00765A1A"/>
    <w:rsid w:val="00791EDD"/>
    <w:rsid w:val="00792068"/>
    <w:rsid w:val="007A516A"/>
    <w:rsid w:val="007A72DC"/>
    <w:rsid w:val="007B20C5"/>
    <w:rsid w:val="007B76AE"/>
    <w:rsid w:val="007C1B89"/>
    <w:rsid w:val="007E14B0"/>
    <w:rsid w:val="007E2097"/>
    <w:rsid w:val="008008F8"/>
    <w:rsid w:val="00805734"/>
    <w:rsid w:val="00816CCB"/>
    <w:rsid w:val="008254D3"/>
    <w:rsid w:val="00836D1A"/>
    <w:rsid w:val="00837D1E"/>
    <w:rsid w:val="00842D50"/>
    <w:rsid w:val="00845E78"/>
    <w:rsid w:val="00857EC8"/>
    <w:rsid w:val="00893533"/>
    <w:rsid w:val="00896E00"/>
    <w:rsid w:val="008A76D0"/>
    <w:rsid w:val="008D40B2"/>
    <w:rsid w:val="008E3181"/>
    <w:rsid w:val="008F581E"/>
    <w:rsid w:val="009043B0"/>
    <w:rsid w:val="00906994"/>
    <w:rsid w:val="00920FE7"/>
    <w:rsid w:val="00931053"/>
    <w:rsid w:val="009311C4"/>
    <w:rsid w:val="00936C20"/>
    <w:rsid w:val="00954EF8"/>
    <w:rsid w:val="0096673B"/>
    <w:rsid w:val="00967CCB"/>
    <w:rsid w:val="0097011E"/>
    <w:rsid w:val="009735E2"/>
    <w:rsid w:val="00990CEA"/>
    <w:rsid w:val="00994939"/>
    <w:rsid w:val="009A014F"/>
    <w:rsid w:val="009A123E"/>
    <w:rsid w:val="009C1FFC"/>
    <w:rsid w:val="009E56B0"/>
    <w:rsid w:val="009F2F47"/>
    <w:rsid w:val="009F41ED"/>
    <w:rsid w:val="00A02748"/>
    <w:rsid w:val="00A0390B"/>
    <w:rsid w:val="00A64E5F"/>
    <w:rsid w:val="00A70369"/>
    <w:rsid w:val="00A84BA0"/>
    <w:rsid w:val="00A84F74"/>
    <w:rsid w:val="00A93829"/>
    <w:rsid w:val="00A94B8D"/>
    <w:rsid w:val="00AA0772"/>
    <w:rsid w:val="00AB106B"/>
    <w:rsid w:val="00AB66B7"/>
    <w:rsid w:val="00AE00AB"/>
    <w:rsid w:val="00B04FAC"/>
    <w:rsid w:val="00B063F2"/>
    <w:rsid w:val="00B229D8"/>
    <w:rsid w:val="00B337D7"/>
    <w:rsid w:val="00B35E26"/>
    <w:rsid w:val="00B47319"/>
    <w:rsid w:val="00B660BF"/>
    <w:rsid w:val="00B81BA1"/>
    <w:rsid w:val="00B951A9"/>
    <w:rsid w:val="00B969BE"/>
    <w:rsid w:val="00BA0FB3"/>
    <w:rsid w:val="00BA79CB"/>
    <w:rsid w:val="00BE6102"/>
    <w:rsid w:val="00C061CC"/>
    <w:rsid w:val="00C11430"/>
    <w:rsid w:val="00C13F63"/>
    <w:rsid w:val="00C23BA0"/>
    <w:rsid w:val="00C3442E"/>
    <w:rsid w:val="00C34F58"/>
    <w:rsid w:val="00C43000"/>
    <w:rsid w:val="00C45197"/>
    <w:rsid w:val="00C53D2A"/>
    <w:rsid w:val="00C72571"/>
    <w:rsid w:val="00C82BE9"/>
    <w:rsid w:val="00C922F0"/>
    <w:rsid w:val="00CA021D"/>
    <w:rsid w:val="00CA0D52"/>
    <w:rsid w:val="00CA7AC9"/>
    <w:rsid w:val="00CB2AE5"/>
    <w:rsid w:val="00CB6AE2"/>
    <w:rsid w:val="00CF340F"/>
    <w:rsid w:val="00D06BC7"/>
    <w:rsid w:val="00D100A3"/>
    <w:rsid w:val="00D11774"/>
    <w:rsid w:val="00D175A3"/>
    <w:rsid w:val="00D17C8D"/>
    <w:rsid w:val="00D212E7"/>
    <w:rsid w:val="00D229E9"/>
    <w:rsid w:val="00D5246E"/>
    <w:rsid w:val="00D54A1C"/>
    <w:rsid w:val="00D57703"/>
    <w:rsid w:val="00DA2612"/>
    <w:rsid w:val="00DA3402"/>
    <w:rsid w:val="00DC0C05"/>
    <w:rsid w:val="00DC6A67"/>
    <w:rsid w:val="00DC7E47"/>
    <w:rsid w:val="00DE2E4E"/>
    <w:rsid w:val="00DF281A"/>
    <w:rsid w:val="00DF65FD"/>
    <w:rsid w:val="00E0385E"/>
    <w:rsid w:val="00E047D4"/>
    <w:rsid w:val="00E4365A"/>
    <w:rsid w:val="00E44C01"/>
    <w:rsid w:val="00E61BDE"/>
    <w:rsid w:val="00E85496"/>
    <w:rsid w:val="00EA5678"/>
    <w:rsid w:val="00EB00CB"/>
    <w:rsid w:val="00ED379B"/>
    <w:rsid w:val="00ED60E9"/>
    <w:rsid w:val="00EF6E02"/>
    <w:rsid w:val="00F14265"/>
    <w:rsid w:val="00F313FA"/>
    <w:rsid w:val="00F3633C"/>
    <w:rsid w:val="00F443F8"/>
    <w:rsid w:val="00F6463D"/>
    <w:rsid w:val="00F65934"/>
    <w:rsid w:val="00F71055"/>
    <w:rsid w:val="00F717F6"/>
    <w:rsid w:val="00F76EDC"/>
    <w:rsid w:val="00FD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FA45"/>
  <w15:chartTrackingRefBased/>
  <w15:docId w15:val="{D18A1DF2-1842-4C13-83EA-4310EA62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496"/>
    <w:pPr>
      <w:spacing w:after="0" w:line="240" w:lineRule="auto"/>
    </w:pPr>
    <w:rPr>
      <w:rFonts w:ascii="Arial" w:hAnsi="Arial"/>
      <w:sz w:val="24"/>
    </w:rPr>
  </w:style>
  <w:style w:type="paragraph" w:styleId="Heading1">
    <w:name w:val="heading 1"/>
    <w:basedOn w:val="Normal"/>
    <w:next w:val="Normal"/>
    <w:link w:val="Heading1Char"/>
    <w:uiPriority w:val="9"/>
    <w:qFormat/>
    <w:rsid w:val="00C13F63"/>
    <w:pPr>
      <w:keepNext/>
      <w:keepLines/>
      <w:outlineLvl w:val="0"/>
    </w:pPr>
    <w:rPr>
      <w:rFonts w:eastAsiaTheme="majorEastAsia" w:cstheme="majorBidi"/>
      <w:b/>
      <w:i/>
      <w:szCs w:val="40"/>
    </w:rPr>
  </w:style>
  <w:style w:type="paragraph" w:styleId="Heading2">
    <w:name w:val="heading 2"/>
    <w:basedOn w:val="Normal"/>
    <w:next w:val="Normal"/>
    <w:link w:val="Heading2Char"/>
    <w:uiPriority w:val="9"/>
    <w:semiHidden/>
    <w:unhideWhenUsed/>
    <w:qFormat/>
    <w:rsid w:val="00791EDD"/>
    <w:pPr>
      <w:keepNext/>
      <w:keepLines/>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B951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1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1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1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1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1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1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R">
    <w:name w:val="DOR"/>
    <w:basedOn w:val="Normal"/>
    <w:link w:val="DORChar"/>
    <w:autoRedefine/>
    <w:rsid w:val="00E85496"/>
    <w:rPr>
      <w:rFonts w:cs="Calibri"/>
      <w:kern w:val="0"/>
      <w:sz w:val="28"/>
    </w:rPr>
  </w:style>
  <w:style w:type="character" w:customStyle="1" w:styleId="DORChar">
    <w:name w:val="DOR Char"/>
    <w:basedOn w:val="DefaultParagraphFont"/>
    <w:link w:val="DOR"/>
    <w:rsid w:val="00E85496"/>
    <w:rPr>
      <w:rFonts w:ascii="Arial" w:hAnsi="Arial" w:cs="Calibri"/>
      <w:kern w:val="0"/>
      <w:sz w:val="28"/>
    </w:rPr>
  </w:style>
  <w:style w:type="paragraph" w:customStyle="1" w:styleId="Kate">
    <w:name w:val="Kate"/>
    <w:basedOn w:val="DOR"/>
    <w:qFormat/>
    <w:rsid w:val="00791EDD"/>
  </w:style>
  <w:style w:type="character" w:customStyle="1" w:styleId="Heading2Char">
    <w:name w:val="Heading 2 Char"/>
    <w:basedOn w:val="DefaultParagraphFont"/>
    <w:link w:val="Heading2"/>
    <w:uiPriority w:val="9"/>
    <w:semiHidden/>
    <w:rsid w:val="00791EDD"/>
    <w:rPr>
      <w:rFonts w:ascii="Arial" w:eastAsiaTheme="majorEastAsia" w:hAnsi="Arial" w:cstheme="majorBidi"/>
      <w:b/>
      <w:sz w:val="28"/>
      <w:szCs w:val="32"/>
    </w:rPr>
  </w:style>
  <w:style w:type="character" w:customStyle="1" w:styleId="Heading1Char">
    <w:name w:val="Heading 1 Char"/>
    <w:basedOn w:val="DefaultParagraphFont"/>
    <w:link w:val="Heading1"/>
    <w:uiPriority w:val="9"/>
    <w:rsid w:val="00C13F63"/>
    <w:rPr>
      <w:rFonts w:ascii="Arial" w:eastAsiaTheme="majorEastAsia" w:hAnsi="Arial" w:cstheme="majorBidi"/>
      <w:b/>
      <w:i/>
      <w:sz w:val="24"/>
      <w:szCs w:val="40"/>
    </w:rPr>
  </w:style>
  <w:style w:type="character" w:customStyle="1" w:styleId="Heading3Char">
    <w:name w:val="Heading 3 Char"/>
    <w:basedOn w:val="DefaultParagraphFont"/>
    <w:link w:val="Heading3"/>
    <w:uiPriority w:val="9"/>
    <w:semiHidden/>
    <w:rsid w:val="00B951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1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1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1A9"/>
    <w:rPr>
      <w:rFonts w:eastAsiaTheme="majorEastAsia" w:cstheme="majorBidi"/>
      <w:color w:val="272727" w:themeColor="text1" w:themeTint="D8"/>
    </w:rPr>
  </w:style>
  <w:style w:type="paragraph" w:styleId="Title">
    <w:name w:val="Title"/>
    <w:basedOn w:val="Normal"/>
    <w:next w:val="Normal"/>
    <w:link w:val="TitleChar"/>
    <w:uiPriority w:val="10"/>
    <w:qFormat/>
    <w:rsid w:val="00B951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1A9"/>
    <w:pPr>
      <w:spacing w:before="160"/>
      <w:jc w:val="center"/>
    </w:pPr>
    <w:rPr>
      <w:i/>
      <w:iCs/>
      <w:color w:val="404040" w:themeColor="text1" w:themeTint="BF"/>
    </w:rPr>
  </w:style>
  <w:style w:type="character" w:customStyle="1" w:styleId="QuoteChar">
    <w:name w:val="Quote Char"/>
    <w:basedOn w:val="DefaultParagraphFont"/>
    <w:link w:val="Quote"/>
    <w:uiPriority w:val="29"/>
    <w:rsid w:val="00B951A9"/>
    <w:rPr>
      <w:i/>
      <w:iCs/>
      <w:color w:val="404040" w:themeColor="text1" w:themeTint="BF"/>
    </w:rPr>
  </w:style>
  <w:style w:type="paragraph" w:styleId="ListParagraph">
    <w:name w:val="List Paragraph"/>
    <w:basedOn w:val="Normal"/>
    <w:uiPriority w:val="34"/>
    <w:qFormat/>
    <w:rsid w:val="00B951A9"/>
    <w:pPr>
      <w:ind w:left="720"/>
      <w:contextualSpacing/>
    </w:pPr>
  </w:style>
  <w:style w:type="character" w:styleId="IntenseEmphasis">
    <w:name w:val="Intense Emphasis"/>
    <w:basedOn w:val="DefaultParagraphFont"/>
    <w:uiPriority w:val="21"/>
    <w:qFormat/>
    <w:rsid w:val="00B951A9"/>
    <w:rPr>
      <w:i/>
      <w:iCs/>
      <w:color w:val="0F4761" w:themeColor="accent1" w:themeShade="BF"/>
    </w:rPr>
  </w:style>
  <w:style w:type="paragraph" w:styleId="IntenseQuote">
    <w:name w:val="Intense Quote"/>
    <w:basedOn w:val="Normal"/>
    <w:next w:val="Normal"/>
    <w:link w:val="IntenseQuoteChar"/>
    <w:uiPriority w:val="30"/>
    <w:qFormat/>
    <w:rsid w:val="00B95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1A9"/>
    <w:rPr>
      <w:i/>
      <w:iCs/>
      <w:color w:val="0F4761" w:themeColor="accent1" w:themeShade="BF"/>
    </w:rPr>
  </w:style>
  <w:style w:type="character" w:styleId="IntenseReference">
    <w:name w:val="Intense Reference"/>
    <w:basedOn w:val="DefaultParagraphFont"/>
    <w:uiPriority w:val="32"/>
    <w:qFormat/>
    <w:rsid w:val="00B951A9"/>
    <w:rPr>
      <w:b/>
      <w:bCs/>
      <w:smallCaps/>
      <w:color w:val="0F4761" w:themeColor="accent1" w:themeShade="BF"/>
      <w:spacing w:val="5"/>
    </w:rPr>
  </w:style>
  <w:style w:type="table" w:styleId="TableGrid">
    <w:name w:val="Table Grid"/>
    <w:basedOn w:val="TableNormal"/>
    <w:uiPriority w:val="39"/>
    <w:rsid w:val="00B95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442E"/>
    <w:rPr>
      <w:color w:val="467886" w:themeColor="hyperlink"/>
      <w:u w:val="single"/>
    </w:rPr>
  </w:style>
  <w:style w:type="character" w:styleId="UnresolvedMention">
    <w:name w:val="Unresolved Mention"/>
    <w:basedOn w:val="DefaultParagraphFont"/>
    <w:uiPriority w:val="99"/>
    <w:semiHidden/>
    <w:unhideWhenUsed/>
    <w:rsid w:val="00C3442E"/>
    <w:rPr>
      <w:color w:val="605E5C"/>
      <w:shd w:val="clear" w:color="auto" w:fill="E1DFDD"/>
    </w:rPr>
  </w:style>
  <w:style w:type="paragraph" w:styleId="Header">
    <w:name w:val="header"/>
    <w:basedOn w:val="Normal"/>
    <w:link w:val="HeaderChar"/>
    <w:uiPriority w:val="99"/>
    <w:unhideWhenUsed/>
    <w:rsid w:val="00A93829"/>
    <w:pPr>
      <w:tabs>
        <w:tab w:val="center" w:pos="4680"/>
        <w:tab w:val="right" w:pos="9360"/>
      </w:tabs>
    </w:pPr>
  </w:style>
  <w:style w:type="character" w:customStyle="1" w:styleId="HeaderChar">
    <w:name w:val="Header Char"/>
    <w:basedOn w:val="DefaultParagraphFont"/>
    <w:link w:val="Header"/>
    <w:uiPriority w:val="99"/>
    <w:rsid w:val="00A93829"/>
  </w:style>
  <w:style w:type="paragraph" w:styleId="Footer">
    <w:name w:val="footer"/>
    <w:basedOn w:val="Normal"/>
    <w:link w:val="FooterChar"/>
    <w:uiPriority w:val="99"/>
    <w:unhideWhenUsed/>
    <w:rsid w:val="00A93829"/>
    <w:pPr>
      <w:tabs>
        <w:tab w:val="center" w:pos="4680"/>
        <w:tab w:val="right" w:pos="9360"/>
      </w:tabs>
    </w:pPr>
  </w:style>
  <w:style w:type="character" w:customStyle="1" w:styleId="FooterChar">
    <w:name w:val="Footer Char"/>
    <w:basedOn w:val="DefaultParagraphFont"/>
    <w:link w:val="Footer"/>
    <w:uiPriority w:val="99"/>
    <w:rsid w:val="00A93829"/>
  </w:style>
  <w:style w:type="paragraph" w:styleId="Revision">
    <w:name w:val="Revision"/>
    <w:hidden/>
    <w:uiPriority w:val="99"/>
    <w:semiHidden/>
    <w:rsid w:val="002C4CC9"/>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2D4C89"/>
    <w:rPr>
      <w:color w:val="96607D" w:themeColor="followedHyperlink"/>
      <w:u w:val="single"/>
    </w:rPr>
  </w:style>
  <w:style w:type="character" w:styleId="CommentReference">
    <w:name w:val="annotation reference"/>
    <w:basedOn w:val="DefaultParagraphFont"/>
    <w:uiPriority w:val="99"/>
    <w:semiHidden/>
    <w:unhideWhenUsed/>
    <w:rsid w:val="002D4C89"/>
    <w:rPr>
      <w:sz w:val="16"/>
      <w:szCs w:val="16"/>
    </w:rPr>
  </w:style>
  <w:style w:type="paragraph" w:styleId="CommentText">
    <w:name w:val="annotation text"/>
    <w:basedOn w:val="Normal"/>
    <w:link w:val="CommentTextChar"/>
    <w:uiPriority w:val="99"/>
    <w:unhideWhenUsed/>
    <w:rsid w:val="002D4C89"/>
    <w:rPr>
      <w:sz w:val="20"/>
      <w:szCs w:val="20"/>
    </w:rPr>
  </w:style>
  <w:style w:type="character" w:customStyle="1" w:styleId="CommentTextChar">
    <w:name w:val="Comment Text Char"/>
    <w:basedOn w:val="DefaultParagraphFont"/>
    <w:link w:val="CommentText"/>
    <w:uiPriority w:val="99"/>
    <w:rsid w:val="002D4C8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D4C89"/>
    <w:rPr>
      <w:b/>
      <w:bCs/>
    </w:rPr>
  </w:style>
  <w:style w:type="character" w:customStyle="1" w:styleId="CommentSubjectChar">
    <w:name w:val="Comment Subject Char"/>
    <w:basedOn w:val="CommentTextChar"/>
    <w:link w:val="CommentSubject"/>
    <w:uiPriority w:val="99"/>
    <w:semiHidden/>
    <w:rsid w:val="002D4C8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5155">
      <w:bodyDiv w:val="1"/>
      <w:marLeft w:val="0"/>
      <w:marRight w:val="0"/>
      <w:marTop w:val="0"/>
      <w:marBottom w:val="0"/>
      <w:divBdr>
        <w:top w:val="none" w:sz="0" w:space="0" w:color="auto"/>
        <w:left w:val="none" w:sz="0" w:space="0" w:color="auto"/>
        <w:bottom w:val="none" w:sz="0" w:space="0" w:color="auto"/>
        <w:right w:val="none" w:sz="0" w:space="0" w:color="auto"/>
      </w:divBdr>
    </w:div>
    <w:div w:id="316307193">
      <w:bodyDiv w:val="1"/>
      <w:marLeft w:val="0"/>
      <w:marRight w:val="0"/>
      <w:marTop w:val="0"/>
      <w:marBottom w:val="0"/>
      <w:divBdr>
        <w:top w:val="none" w:sz="0" w:space="0" w:color="auto"/>
        <w:left w:val="none" w:sz="0" w:space="0" w:color="auto"/>
        <w:bottom w:val="none" w:sz="0" w:space="0" w:color="auto"/>
        <w:right w:val="none" w:sz="0" w:space="0" w:color="auto"/>
      </w:divBdr>
    </w:div>
    <w:div w:id="424154477">
      <w:bodyDiv w:val="1"/>
      <w:marLeft w:val="0"/>
      <w:marRight w:val="0"/>
      <w:marTop w:val="0"/>
      <w:marBottom w:val="0"/>
      <w:divBdr>
        <w:top w:val="none" w:sz="0" w:space="0" w:color="auto"/>
        <w:left w:val="none" w:sz="0" w:space="0" w:color="auto"/>
        <w:bottom w:val="none" w:sz="0" w:space="0" w:color="auto"/>
        <w:right w:val="none" w:sz="0" w:space="0" w:color="auto"/>
      </w:divBdr>
    </w:div>
    <w:div w:id="456996382">
      <w:bodyDiv w:val="1"/>
      <w:marLeft w:val="0"/>
      <w:marRight w:val="0"/>
      <w:marTop w:val="0"/>
      <w:marBottom w:val="0"/>
      <w:divBdr>
        <w:top w:val="none" w:sz="0" w:space="0" w:color="auto"/>
        <w:left w:val="none" w:sz="0" w:space="0" w:color="auto"/>
        <w:bottom w:val="none" w:sz="0" w:space="0" w:color="auto"/>
        <w:right w:val="none" w:sz="0" w:space="0" w:color="auto"/>
      </w:divBdr>
    </w:div>
    <w:div w:id="494803368">
      <w:bodyDiv w:val="1"/>
      <w:marLeft w:val="0"/>
      <w:marRight w:val="0"/>
      <w:marTop w:val="0"/>
      <w:marBottom w:val="0"/>
      <w:divBdr>
        <w:top w:val="none" w:sz="0" w:space="0" w:color="auto"/>
        <w:left w:val="none" w:sz="0" w:space="0" w:color="auto"/>
        <w:bottom w:val="none" w:sz="0" w:space="0" w:color="auto"/>
        <w:right w:val="none" w:sz="0" w:space="0" w:color="auto"/>
      </w:divBdr>
    </w:div>
    <w:div w:id="534924596">
      <w:bodyDiv w:val="1"/>
      <w:marLeft w:val="0"/>
      <w:marRight w:val="0"/>
      <w:marTop w:val="0"/>
      <w:marBottom w:val="0"/>
      <w:divBdr>
        <w:top w:val="none" w:sz="0" w:space="0" w:color="auto"/>
        <w:left w:val="none" w:sz="0" w:space="0" w:color="auto"/>
        <w:bottom w:val="none" w:sz="0" w:space="0" w:color="auto"/>
        <w:right w:val="none" w:sz="0" w:space="0" w:color="auto"/>
      </w:divBdr>
    </w:div>
    <w:div w:id="558588657">
      <w:bodyDiv w:val="1"/>
      <w:marLeft w:val="0"/>
      <w:marRight w:val="0"/>
      <w:marTop w:val="0"/>
      <w:marBottom w:val="0"/>
      <w:divBdr>
        <w:top w:val="none" w:sz="0" w:space="0" w:color="auto"/>
        <w:left w:val="none" w:sz="0" w:space="0" w:color="auto"/>
        <w:bottom w:val="none" w:sz="0" w:space="0" w:color="auto"/>
        <w:right w:val="none" w:sz="0" w:space="0" w:color="auto"/>
      </w:divBdr>
    </w:div>
    <w:div w:id="636373939">
      <w:bodyDiv w:val="1"/>
      <w:marLeft w:val="0"/>
      <w:marRight w:val="0"/>
      <w:marTop w:val="0"/>
      <w:marBottom w:val="0"/>
      <w:divBdr>
        <w:top w:val="none" w:sz="0" w:space="0" w:color="auto"/>
        <w:left w:val="none" w:sz="0" w:space="0" w:color="auto"/>
        <w:bottom w:val="none" w:sz="0" w:space="0" w:color="auto"/>
        <w:right w:val="none" w:sz="0" w:space="0" w:color="auto"/>
      </w:divBdr>
    </w:div>
    <w:div w:id="748890647">
      <w:bodyDiv w:val="1"/>
      <w:marLeft w:val="0"/>
      <w:marRight w:val="0"/>
      <w:marTop w:val="0"/>
      <w:marBottom w:val="0"/>
      <w:divBdr>
        <w:top w:val="none" w:sz="0" w:space="0" w:color="auto"/>
        <w:left w:val="none" w:sz="0" w:space="0" w:color="auto"/>
        <w:bottom w:val="none" w:sz="0" w:space="0" w:color="auto"/>
        <w:right w:val="none" w:sz="0" w:space="0" w:color="auto"/>
      </w:divBdr>
    </w:div>
    <w:div w:id="815149975">
      <w:bodyDiv w:val="1"/>
      <w:marLeft w:val="0"/>
      <w:marRight w:val="0"/>
      <w:marTop w:val="0"/>
      <w:marBottom w:val="0"/>
      <w:divBdr>
        <w:top w:val="none" w:sz="0" w:space="0" w:color="auto"/>
        <w:left w:val="none" w:sz="0" w:space="0" w:color="auto"/>
        <w:bottom w:val="none" w:sz="0" w:space="0" w:color="auto"/>
        <w:right w:val="none" w:sz="0" w:space="0" w:color="auto"/>
      </w:divBdr>
    </w:div>
    <w:div w:id="1067533504">
      <w:bodyDiv w:val="1"/>
      <w:marLeft w:val="0"/>
      <w:marRight w:val="0"/>
      <w:marTop w:val="0"/>
      <w:marBottom w:val="0"/>
      <w:divBdr>
        <w:top w:val="none" w:sz="0" w:space="0" w:color="auto"/>
        <w:left w:val="none" w:sz="0" w:space="0" w:color="auto"/>
        <w:bottom w:val="none" w:sz="0" w:space="0" w:color="auto"/>
        <w:right w:val="none" w:sz="0" w:space="0" w:color="auto"/>
      </w:divBdr>
    </w:div>
    <w:div w:id="1096558940">
      <w:bodyDiv w:val="1"/>
      <w:marLeft w:val="0"/>
      <w:marRight w:val="0"/>
      <w:marTop w:val="0"/>
      <w:marBottom w:val="0"/>
      <w:divBdr>
        <w:top w:val="none" w:sz="0" w:space="0" w:color="auto"/>
        <w:left w:val="none" w:sz="0" w:space="0" w:color="auto"/>
        <w:bottom w:val="none" w:sz="0" w:space="0" w:color="auto"/>
        <w:right w:val="none" w:sz="0" w:space="0" w:color="auto"/>
      </w:divBdr>
    </w:div>
    <w:div w:id="1131702991">
      <w:bodyDiv w:val="1"/>
      <w:marLeft w:val="0"/>
      <w:marRight w:val="0"/>
      <w:marTop w:val="0"/>
      <w:marBottom w:val="0"/>
      <w:divBdr>
        <w:top w:val="none" w:sz="0" w:space="0" w:color="auto"/>
        <w:left w:val="none" w:sz="0" w:space="0" w:color="auto"/>
        <w:bottom w:val="none" w:sz="0" w:space="0" w:color="auto"/>
        <w:right w:val="none" w:sz="0" w:space="0" w:color="auto"/>
      </w:divBdr>
    </w:div>
    <w:div w:id="1249458854">
      <w:bodyDiv w:val="1"/>
      <w:marLeft w:val="0"/>
      <w:marRight w:val="0"/>
      <w:marTop w:val="0"/>
      <w:marBottom w:val="0"/>
      <w:divBdr>
        <w:top w:val="none" w:sz="0" w:space="0" w:color="auto"/>
        <w:left w:val="none" w:sz="0" w:space="0" w:color="auto"/>
        <w:bottom w:val="none" w:sz="0" w:space="0" w:color="auto"/>
        <w:right w:val="none" w:sz="0" w:space="0" w:color="auto"/>
      </w:divBdr>
    </w:div>
    <w:div w:id="1335109032">
      <w:bodyDiv w:val="1"/>
      <w:marLeft w:val="0"/>
      <w:marRight w:val="0"/>
      <w:marTop w:val="0"/>
      <w:marBottom w:val="0"/>
      <w:divBdr>
        <w:top w:val="none" w:sz="0" w:space="0" w:color="auto"/>
        <w:left w:val="none" w:sz="0" w:space="0" w:color="auto"/>
        <w:bottom w:val="none" w:sz="0" w:space="0" w:color="auto"/>
        <w:right w:val="none" w:sz="0" w:space="0" w:color="auto"/>
      </w:divBdr>
    </w:div>
    <w:div w:id="1396853061">
      <w:bodyDiv w:val="1"/>
      <w:marLeft w:val="0"/>
      <w:marRight w:val="0"/>
      <w:marTop w:val="0"/>
      <w:marBottom w:val="0"/>
      <w:divBdr>
        <w:top w:val="none" w:sz="0" w:space="0" w:color="auto"/>
        <w:left w:val="none" w:sz="0" w:space="0" w:color="auto"/>
        <w:bottom w:val="none" w:sz="0" w:space="0" w:color="auto"/>
        <w:right w:val="none" w:sz="0" w:space="0" w:color="auto"/>
      </w:divBdr>
    </w:div>
    <w:div w:id="1502816227">
      <w:bodyDiv w:val="1"/>
      <w:marLeft w:val="0"/>
      <w:marRight w:val="0"/>
      <w:marTop w:val="0"/>
      <w:marBottom w:val="0"/>
      <w:divBdr>
        <w:top w:val="none" w:sz="0" w:space="0" w:color="auto"/>
        <w:left w:val="none" w:sz="0" w:space="0" w:color="auto"/>
        <w:bottom w:val="none" w:sz="0" w:space="0" w:color="auto"/>
        <w:right w:val="none" w:sz="0" w:space="0" w:color="auto"/>
      </w:divBdr>
    </w:div>
    <w:div w:id="1889993779">
      <w:bodyDiv w:val="1"/>
      <w:marLeft w:val="0"/>
      <w:marRight w:val="0"/>
      <w:marTop w:val="0"/>
      <w:marBottom w:val="0"/>
      <w:divBdr>
        <w:top w:val="none" w:sz="0" w:space="0" w:color="auto"/>
        <w:left w:val="none" w:sz="0" w:space="0" w:color="auto"/>
        <w:bottom w:val="none" w:sz="0" w:space="0" w:color="auto"/>
        <w:right w:val="none" w:sz="0" w:space="0" w:color="auto"/>
      </w:divBdr>
    </w:div>
    <w:div w:id="1933277347">
      <w:bodyDiv w:val="1"/>
      <w:marLeft w:val="0"/>
      <w:marRight w:val="0"/>
      <w:marTop w:val="0"/>
      <w:marBottom w:val="0"/>
      <w:divBdr>
        <w:top w:val="none" w:sz="0" w:space="0" w:color="auto"/>
        <w:left w:val="none" w:sz="0" w:space="0" w:color="auto"/>
        <w:bottom w:val="none" w:sz="0" w:space="0" w:color="auto"/>
        <w:right w:val="none" w:sz="0" w:space="0" w:color="auto"/>
      </w:divBdr>
    </w:div>
    <w:div w:id="20073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r.ca.gov/Home/SrcMembe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3856</Words>
  <Characters>21980</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Huynh, Duy@DOR</cp:lastModifiedBy>
  <cp:revision>2</cp:revision>
  <dcterms:created xsi:type="dcterms:W3CDTF">2025-11-24T23:27:00Z</dcterms:created>
  <dcterms:modified xsi:type="dcterms:W3CDTF">2025-11-24T23:27:00Z</dcterms:modified>
</cp:coreProperties>
</file>