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9964D" w14:textId="77777777" w:rsidR="0002635A" w:rsidRDefault="0002635A" w:rsidP="006C34F6">
      <w:pPr>
        <w:rPr>
          <w:b/>
          <w:szCs w:val="28"/>
        </w:rPr>
      </w:pPr>
    </w:p>
    <w:p w14:paraId="0700BBBF" w14:textId="68F2ED61" w:rsidR="006C34F6" w:rsidRPr="0006478C" w:rsidRDefault="006C34F6" w:rsidP="006C34F6">
      <w:pPr>
        <w:rPr>
          <w:b/>
          <w:szCs w:val="28"/>
        </w:rPr>
      </w:pPr>
      <w:r w:rsidRPr="0006478C">
        <w:rPr>
          <w:b/>
          <w:szCs w:val="28"/>
        </w:rPr>
        <w:t xml:space="preserve">State Rehabilitation Council (SRC) </w:t>
      </w:r>
    </w:p>
    <w:p w14:paraId="422F42C3" w14:textId="77777777" w:rsidR="006C34F6" w:rsidRPr="0006478C" w:rsidRDefault="006C34F6" w:rsidP="006C34F6">
      <w:pPr>
        <w:rPr>
          <w:b/>
          <w:szCs w:val="28"/>
        </w:rPr>
      </w:pPr>
      <w:r w:rsidRPr="0006478C">
        <w:rPr>
          <w:b/>
          <w:szCs w:val="28"/>
        </w:rPr>
        <w:t>Policy Committee Meeting</w:t>
      </w:r>
    </w:p>
    <w:p w14:paraId="2A210B68" w14:textId="53C61462" w:rsidR="006C34F6" w:rsidRPr="0006478C" w:rsidRDefault="006C34F6" w:rsidP="006C34F6">
      <w:pPr>
        <w:rPr>
          <w:b/>
          <w:bCs/>
          <w:szCs w:val="28"/>
        </w:rPr>
      </w:pPr>
      <w:r w:rsidRPr="0006478C">
        <w:rPr>
          <w:b/>
          <w:bCs/>
          <w:szCs w:val="28"/>
        </w:rPr>
        <w:t xml:space="preserve">October 17, 2024, 10:00 a.m. – 12:00 p.m. </w:t>
      </w:r>
    </w:p>
    <w:p w14:paraId="50BF6315" w14:textId="77777777" w:rsidR="006C34F6" w:rsidRPr="0006478C" w:rsidRDefault="006C34F6" w:rsidP="006C34F6">
      <w:pPr>
        <w:rPr>
          <w:rFonts w:eastAsia="Times New Roman" w:cs="Arial"/>
          <w:szCs w:val="28"/>
        </w:rPr>
      </w:pPr>
      <w:r w:rsidRPr="0006478C">
        <w:rPr>
          <w:rFonts w:eastAsia="Times New Roman" w:cs="Arial"/>
          <w:szCs w:val="28"/>
        </w:rPr>
        <w:t>Location: Department of Rehabilitation (DOR) Central Office, 721 Capitol Mall, Room 407, Sacramento, CA 95814</w:t>
      </w:r>
    </w:p>
    <w:p w14:paraId="5948EF59" w14:textId="77777777" w:rsidR="006C34F6" w:rsidRPr="0006478C" w:rsidRDefault="006C34F6" w:rsidP="006C34F6">
      <w:pPr>
        <w:rPr>
          <w:rFonts w:eastAsia="Times New Roman" w:cs="Arial"/>
          <w:szCs w:val="28"/>
        </w:rPr>
      </w:pPr>
    </w:p>
    <w:p w14:paraId="5E13178D" w14:textId="2990D22C" w:rsidR="006C34F6" w:rsidRDefault="006C34F6" w:rsidP="006C34F6">
      <w:pPr>
        <w:rPr>
          <w:rFonts w:eastAsia="Times New Roman" w:cs="Arial"/>
          <w:i/>
          <w:iCs/>
          <w:szCs w:val="28"/>
        </w:rPr>
      </w:pPr>
      <w:r w:rsidRPr="0006478C">
        <w:rPr>
          <w:rFonts w:eastAsia="Times New Roman" w:cs="Arial"/>
          <w:i/>
          <w:iCs/>
          <w:szCs w:val="28"/>
        </w:rPr>
        <w:t>Meeting Minutes</w:t>
      </w:r>
    </w:p>
    <w:p w14:paraId="0AA85A0B" w14:textId="77F53C17" w:rsidR="002F3D83" w:rsidRPr="0006478C" w:rsidRDefault="002F3D83" w:rsidP="006C34F6">
      <w:pPr>
        <w:rPr>
          <w:rFonts w:eastAsia="Times New Roman" w:cs="Arial"/>
          <w:i/>
          <w:iCs/>
          <w:szCs w:val="28"/>
        </w:rPr>
      </w:pPr>
      <w:r>
        <w:rPr>
          <w:rFonts w:eastAsia="Times New Roman" w:cs="Arial"/>
          <w:i/>
          <w:iCs/>
          <w:szCs w:val="28"/>
        </w:rPr>
        <w:t>Approved on January 9, 2025</w:t>
      </w:r>
    </w:p>
    <w:p w14:paraId="20BE08AF" w14:textId="77777777" w:rsidR="006C34F6" w:rsidRPr="0006478C" w:rsidRDefault="006C34F6" w:rsidP="006C34F6">
      <w:pPr>
        <w:rPr>
          <w:rFonts w:eastAsia="Times New Roman" w:cs="Arial"/>
          <w:i/>
          <w:iCs/>
          <w:szCs w:val="28"/>
        </w:rPr>
      </w:pPr>
    </w:p>
    <w:p w14:paraId="355FE29D" w14:textId="77777777" w:rsidR="006C34F6" w:rsidRPr="0006478C" w:rsidRDefault="006C34F6" w:rsidP="006C34F6">
      <w:pPr>
        <w:rPr>
          <w:rFonts w:eastAsia="Times New Roman" w:cs="Arial"/>
          <w:szCs w:val="28"/>
        </w:rPr>
      </w:pPr>
      <w:r w:rsidRPr="0006478C">
        <w:rPr>
          <w:rFonts w:eastAsia="Times New Roman" w:cs="Arial"/>
          <w:szCs w:val="28"/>
        </w:rPr>
        <w:t>Note: This committee meeting was held in accordance with California Government Code section 11123.5. There may be members of the public body who participated in meeting who were granted a reasonable accommodation per the Americans with Disabilities Act (ADA).</w:t>
      </w:r>
    </w:p>
    <w:p w14:paraId="3C9A7367" w14:textId="77777777" w:rsidR="00EF2F9B" w:rsidRPr="0006478C" w:rsidRDefault="00EF2F9B" w:rsidP="00760C92">
      <w:pPr>
        <w:rPr>
          <w:rFonts w:cs="Arial"/>
          <w:b/>
          <w:szCs w:val="28"/>
        </w:rPr>
      </w:pPr>
    </w:p>
    <w:p w14:paraId="251761C6" w14:textId="77777777" w:rsidR="006C34F6" w:rsidRPr="0006478C" w:rsidRDefault="006C34F6" w:rsidP="005D1BC0">
      <w:pPr>
        <w:pStyle w:val="Heading1"/>
        <w:rPr>
          <w:rFonts w:eastAsia="Times New Roman"/>
          <w:szCs w:val="28"/>
        </w:rPr>
      </w:pPr>
      <w:r w:rsidRPr="0006478C">
        <w:rPr>
          <w:rFonts w:eastAsia="Times New Roman"/>
          <w:szCs w:val="28"/>
        </w:rPr>
        <w:t>Attendance:</w:t>
      </w:r>
    </w:p>
    <w:p w14:paraId="269AB729" w14:textId="2280B331" w:rsidR="006C5B5D" w:rsidRPr="0006478C" w:rsidRDefault="006C34F6" w:rsidP="00F75153">
      <w:pPr>
        <w:pStyle w:val="ListParagraph"/>
        <w:numPr>
          <w:ilvl w:val="0"/>
          <w:numId w:val="13"/>
        </w:numPr>
        <w:rPr>
          <w:rFonts w:eastAsia="Times New Roman" w:cs="Arial"/>
          <w:szCs w:val="28"/>
        </w:rPr>
      </w:pPr>
      <w:r w:rsidRPr="0006478C">
        <w:rPr>
          <w:rFonts w:eastAsia="Times New Roman" w:cs="Arial"/>
          <w:szCs w:val="28"/>
        </w:rPr>
        <w:t xml:space="preserve">SRC Policy Committee members in attendance (by Zoom): Chanel Brisbane, </w:t>
      </w:r>
      <w:r w:rsidR="006C5B5D" w:rsidRPr="0006478C">
        <w:rPr>
          <w:rFonts w:eastAsia="Times New Roman" w:cs="Arial"/>
          <w:szCs w:val="28"/>
        </w:rPr>
        <w:t>Theresa Comstock, Ivan Guillen</w:t>
      </w:r>
    </w:p>
    <w:p w14:paraId="51F0CEA5" w14:textId="26518901" w:rsidR="006C5B5D" w:rsidRPr="0006478C" w:rsidRDefault="006C34F6" w:rsidP="006C5B5D">
      <w:pPr>
        <w:pStyle w:val="ListParagraph"/>
        <w:numPr>
          <w:ilvl w:val="0"/>
          <w:numId w:val="13"/>
        </w:numPr>
        <w:rPr>
          <w:rFonts w:eastAsia="Times New Roman" w:cs="Arial"/>
          <w:szCs w:val="28"/>
        </w:rPr>
      </w:pPr>
      <w:r w:rsidRPr="0006478C">
        <w:rPr>
          <w:rFonts w:eastAsia="Times New Roman" w:cs="Arial"/>
          <w:szCs w:val="28"/>
        </w:rPr>
        <w:t xml:space="preserve">SRC Policy Committee members absent: </w:t>
      </w:r>
      <w:r w:rsidR="006C5B5D" w:rsidRPr="0006478C">
        <w:rPr>
          <w:rFonts w:eastAsia="Times New Roman" w:cs="Arial"/>
          <w:szCs w:val="28"/>
        </w:rPr>
        <w:t>La Trena Robinson</w:t>
      </w:r>
    </w:p>
    <w:p w14:paraId="3CF25D2E" w14:textId="4BBBDD88" w:rsidR="006C5B5D" w:rsidRPr="0006478C" w:rsidRDefault="006C34F6" w:rsidP="006C5B5D">
      <w:pPr>
        <w:pStyle w:val="ListParagraph"/>
        <w:numPr>
          <w:ilvl w:val="0"/>
          <w:numId w:val="13"/>
        </w:numPr>
        <w:rPr>
          <w:rFonts w:eastAsia="Times New Roman" w:cs="Arial"/>
          <w:szCs w:val="28"/>
        </w:rPr>
      </w:pPr>
      <w:r w:rsidRPr="0006478C">
        <w:rPr>
          <w:rFonts w:eastAsia="Times New Roman" w:cs="Arial"/>
          <w:szCs w:val="28"/>
        </w:rPr>
        <w:t xml:space="preserve">SRC members in attendance as members of the public (by Zoom): </w:t>
      </w:r>
      <w:r w:rsidR="006C5B5D" w:rsidRPr="0006478C">
        <w:rPr>
          <w:rFonts w:eastAsia="Times New Roman" w:cs="Arial"/>
          <w:szCs w:val="28"/>
        </w:rPr>
        <w:t xml:space="preserve">Gregory Meza, Shannon Coe, Brittany Comegna </w:t>
      </w:r>
    </w:p>
    <w:p w14:paraId="4850A7CD" w14:textId="55FD06A8" w:rsidR="006C5B5D" w:rsidRPr="0006478C" w:rsidRDefault="006C34F6" w:rsidP="006C5B5D">
      <w:pPr>
        <w:pStyle w:val="ListParagraph"/>
        <w:numPr>
          <w:ilvl w:val="0"/>
          <w:numId w:val="13"/>
        </w:numPr>
        <w:rPr>
          <w:rFonts w:eastAsia="Times New Roman" w:cs="Arial"/>
          <w:szCs w:val="28"/>
        </w:rPr>
      </w:pPr>
      <w:r w:rsidRPr="0006478C">
        <w:rPr>
          <w:rFonts w:eastAsia="Times New Roman" w:cs="Arial"/>
          <w:szCs w:val="28"/>
        </w:rPr>
        <w:t>DOR staff in attendance: Kate Bjerke (present at DOR’s Central Office),</w:t>
      </w:r>
      <w:r w:rsidR="005D1BC0" w:rsidRPr="0006478C">
        <w:rPr>
          <w:rFonts w:eastAsia="Times New Roman" w:cs="Arial"/>
          <w:szCs w:val="28"/>
        </w:rPr>
        <w:t xml:space="preserve"> Lisa Cushman</w:t>
      </w:r>
      <w:r w:rsidR="001B233E" w:rsidRPr="0006478C">
        <w:rPr>
          <w:rFonts w:eastAsia="Times New Roman" w:cs="Arial"/>
          <w:szCs w:val="28"/>
        </w:rPr>
        <w:t xml:space="preserve"> (by Zoom), Cory Leming</w:t>
      </w:r>
      <w:r w:rsidR="00CC519D">
        <w:rPr>
          <w:rFonts w:eastAsia="Times New Roman" w:cs="Arial"/>
          <w:szCs w:val="28"/>
        </w:rPr>
        <w:t>s</w:t>
      </w:r>
      <w:r w:rsidR="001B233E" w:rsidRPr="0006478C">
        <w:rPr>
          <w:rFonts w:eastAsia="Times New Roman" w:cs="Arial"/>
          <w:szCs w:val="28"/>
        </w:rPr>
        <w:t xml:space="preserve"> (by Zoom), Peter Frangel (by Zoom)</w:t>
      </w:r>
      <w:r w:rsidR="000D5643" w:rsidRPr="0006478C">
        <w:rPr>
          <w:rFonts w:eastAsia="Times New Roman" w:cs="Arial"/>
          <w:szCs w:val="28"/>
        </w:rPr>
        <w:t>, Michele Kaplan (by Zoom),</w:t>
      </w:r>
      <w:r w:rsidR="00140196">
        <w:rPr>
          <w:rFonts w:eastAsia="Times New Roman" w:cs="Arial"/>
          <w:szCs w:val="28"/>
        </w:rPr>
        <w:t xml:space="preserve"> Nancy Wentling (by Zoom)</w:t>
      </w:r>
    </w:p>
    <w:p w14:paraId="0D91FDFA" w14:textId="6A25602E" w:rsidR="006C34F6" w:rsidRPr="005D3414" w:rsidRDefault="006C34F6" w:rsidP="005D3414">
      <w:pPr>
        <w:pStyle w:val="ListParagraph"/>
        <w:numPr>
          <w:ilvl w:val="0"/>
          <w:numId w:val="13"/>
        </w:numPr>
        <w:rPr>
          <w:szCs w:val="28"/>
        </w:rPr>
      </w:pPr>
      <w:r w:rsidRPr="0006478C">
        <w:rPr>
          <w:rFonts w:eastAsia="Times New Roman" w:cs="Arial"/>
          <w:szCs w:val="28"/>
        </w:rPr>
        <w:t>Members of the public in attendance (by Zoom):</w:t>
      </w:r>
      <w:r w:rsidRPr="0006478C">
        <w:rPr>
          <w:szCs w:val="28"/>
        </w:rPr>
        <w:t xml:space="preserve"> </w:t>
      </w:r>
      <w:r w:rsidR="006C5B5D" w:rsidRPr="0006478C">
        <w:rPr>
          <w:szCs w:val="28"/>
        </w:rPr>
        <w:t>Vanessa Ocana, Danny Marquez</w:t>
      </w:r>
      <w:r w:rsidR="000D5643" w:rsidRPr="0006478C">
        <w:rPr>
          <w:szCs w:val="28"/>
        </w:rPr>
        <w:t>, Christopher Waltrous, Sarah Issacs</w:t>
      </w:r>
      <w:r w:rsidR="005D3414">
        <w:rPr>
          <w:szCs w:val="28"/>
        </w:rPr>
        <w:t xml:space="preserve">, </w:t>
      </w:r>
      <w:r w:rsidR="005D3414" w:rsidRPr="005D3414">
        <w:rPr>
          <w:szCs w:val="28"/>
        </w:rPr>
        <w:t xml:space="preserve">Joseph Ramirez-Forcier </w:t>
      </w:r>
    </w:p>
    <w:p w14:paraId="718F274A" w14:textId="77777777" w:rsidR="00514606" w:rsidRPr="0006478C" w:rsidRDefault="00514606" w:rsidP="00162013">
      <w:pPr>
        <w:rPr>
          <w:rFonts w:cs="Arial"/>
          <w:szCs w:val="28"/>
        </w:rPr>
      </w:pPr>
    </w:p>
    <w:p w14:paraId="1BE34037" w14:textId="3C8F8831" w:rsidR="00514606" w:rsidRPr="0006478C" w:rsidRDefault="00514606" w:rsidP="00F75153">
      <w:pPr>
        <w:pStyle w:val="Heading1"/>
        <w:rPr>
          <w:szCs w:val="28"/>
        </w:rPr>
      </w:pPr>
      <w:r w:rsidRPr="0006478C">
        <w:rPr>
          <w:szCs w:val="28"/>
        </w:rPr>
        <w:t xml:space="preserve">Item 1: Welcome and Introductions </w:t>
      </w:r>
    </w:p>
    <w:p w14:paraId="78234948" w14:textId="65B3610F" w:rsidR="00514606" w:rsidRPr="0006478C" w:rsidRDefault="00643D0A" w:rsidP="00760C92">
      <w:pPr>
        <w:rPr>
          <w:rFonts w:cs="Arial"/>
          <w:szCs w:val="28"/>
        </w:rPr>
      </w:pPr>
      <w:r w:rsidRPr="0006478C">
        <w:rPr>
          <w:rFonts w:cs="Arial"/>
          <w:szCs w:val="28"/>
        </w:rPr>
        <w:t>Chanel Brisbane, SRC Policy Committee Chair</w:t>
      </w:r>
      <w:r w:rsidR="006C5B5D" w:rsidRPr="0006478C">
        <w:rPr>
          <w:rFonts w:cs="Arial"/>
          <w:szCs w:val="28"/>
        </w:rPr>
        <w:t>, welcomed attendees to the meeting. Kate Bjerke, SRC Executive Officer, reviewed the Bagley-Keene Open Meeting Act requirements.</w:t>
      </w:r>
    </w:p>
    <w:p w14:paraId="3E15435C" w14:textId="77777777" w:rsidR="00B20622" w:rsidRPr="0006478C" w:rsidRDefault="00B20622" w:rsidP="00760C92">
      <w:pPr>
        <w:rPr>
          <w:rFonts w:cs="Arial"/>
          <w:szCs w:val="28"/>
        </w:rPr>
      </w:pPr>
    </w:p>
    <w:p w14:paraId="7CBF3E0C" w14:textId="1FCF1954" w:rsidR="00514606" w:rsidRPr="0006478C" w:rsidRDefault="00514606" w:rsidP="00760C92">
      <w:pPr>
        <w:pStyle w:val="Heading1"/>
        <w:rPr>
          <w:rFonts w:cs="Arial"/>
          <w:szCs w:val="28"/>
        </w:rPr>
      </w:pPr>
      <w:r w:rsidRPr="0006478C">
        <w:rPr>
          <w:rFonts w:cs="Arial"/>
          <w:szCs w:val="28"/>
        </w:rPr>
        <w:t xml:space="preserve">Item 2: Public Comment </w:t>
      </w:r>
    </w:p>
    <w:p w14:paraId="79594B11" w14:textId="70E6E9C1" w:rsidR="006C5B5D" w:rsidRPr="0006478C" w:rsidRDefault="006C5B5D" w:rsidP="00920AB5">
      <w:pPr>
        <w:rPr>
          <w:rFonts w:cs="Arial"/>
          <w:szCs w:val="28"/>
        </w:rPr>
      </w:pPr>
      <w:r w:rsidRPr="0006478C">
        <w:rPr>
          <w:rFonts w:cs="Arial"/>
          <w:szCs w:val="28"/>
        </w:rPr>
        <w:t>Danny Marquez, representing the California Association of Social Rehabilitation Agencies (CASRA), emphasized the need for the Department to support more community-based programs in becoming vendorized. Specifically, he suggests that the DOR staff responsible for this process receive updated training to improve efficiency and effectiveness. Marquez encouraged the SRC Policy Committee to consider addressing this issue either during a regular SRC meeting or in ongoing policy development.</w:t>
      </w:r>
    </w:p>
    <w:p w14:paraId="276E9074" w14:textId="77777777" w:rsidR="0006478C" w:rsidRPr="0006478C" w:rsidRDefault="0006478C" w:rsidP="00920AB5">
      <w:pPr>
        <w:rPr>
          <w:rFonts w:cs="Arial"/>
          <w:szCs w:val="28"/>
        </w:rPr>
      </w:pPr>
    </w:p>
    <w:p w14:paraId="29068F95" w14:textId="3CB68B5D" w:rsidR="00246BF4" w:rsidRPr="0006478C" w:rsidRDefault="00514606" w:rsidP="00920AB5">
      <w:pPr>
        <w:pStyle w:val="Heading1"/>
        <w:rPr>
          <w:rFonts w:cs="Arial"/>
          <w:szCs w:val="28"/>
        </w:rPr>
      </w:pPr>
      <w:r w:rsidRPr="0006478C">
        <w:rPr>
          <w:rFonts w:cs="Arial"/>
          <w:szCs w:val="28"/>
        </w:rPr>
        <w:lastRenderedPageBreak/>
        <w:t xml:space="preserve">Item </w:t>
      </w:r>
      <w:r w:rsidR="004562A8" w:rsidRPr="0006478C">
        <w:rPr>
          <w:rFonts w:cs="Arial"/>
          <w:szCs w:val="28"/>
        </w:rPr>
        <w:t>3</w:t>
      </w:r>
      <w:r w:rsidRPr="0006478C">
        <w:rPr>
          <w:rFonts w:cs="Arial"/>
          <w:szCs w:val="28"/>
        </w:rPr>
        <w:t xml:space="preserve">: </w:t>
      </w:r>
      <w:r w:rsidR="00B20622" w:rsidRPr="0006478C">
        <w:rPr>
          <w:rFonts w:cs="Arial"/>
          <w:szCs w:val="28"/>
        </w:rPr>
        <w:t xml:space="preserve">Approval </w:t>
      </w:r>
      <w:r w:rsidR="00DD375B" w:rsidRPr="0006478C">
        <w:rPr>
          <w:rFonts w:cs="Arial"/>
          <w:szCs w:val="28"/>
        </w:rPr>
        <w:t xml:space="preserve">of the </w:t>
      </w:r>
      <w:r w:rsidR="00D92A53" w:rsidRPr="0006478C">
        <w:rPr>
          <w:rFonts w:cs="Arial"/>
          <w:szCs w:val="28"/>
        </w:rPr>
        <w:t>July 11</w:t>
      </w:r>
      <w:r w:rsidR="00432E37" w:rsidRPr="0006478C">
        <w:rPr>
          <w:rFonts w:cs="Arial"/>
          <w:szCs w:val="28"/>
        </w:rPr>
        <w:t>,</w:t>
      </w:r>
      <w:r w:rsidR="00E07877" w:rsidRPr="0006478C">
        <w:rPr>
          <w:rFonts w:cs="Arial"/>
          <w:szCs w:val="28"/>
        </w:rPr>
        <w:t xml:space="preserve"> 2024 </w:t>
      </w:r>
      <w:r w:rsidR="0066481D" w:rsidRPr="0006478C">
        <w:rPr>
          <w:rFonts w:cs="Arial"/>
          <w:szCs w:val="28"/>
        </w:rPr>
        <w:t xml:space="preserve">and </w:t>
      </w:r>
      <w:r w:rsidR="00BA316C" w:rsidRPr="0006478C">
        <w:rPr>
          <w:rFonts w:cs="Arial"/>
          <w:szCs w:val="28"/>
        </w:rPr>
        <w:t xml:space="preserve">August 8, 2024 Policy Committee Meeting Minutes </w:t>
      </w:r>
    </w:p>
    <w:p w14:paraId="019411B4" w14:textId="3B99E19A" w:rsidR="00586539" w:rsidRPr="0006478C" w:rsidRDefault="00586539" w:rsidP="00586539">
      <w:pPr>
        <w:rPr>
          <w:szCs w:val="28"/>
        </w:rPr>
      </w:pPr>
      <w:r w:rsidRPr="0006478C">
        <w:rPr>
          <w:szCs w:val="28"/>
        </w:rPr>
        <w:t xml:space="preserve">It was moved/seconded (Comstock/Guillen) to approve the July 11, 2024 and August 8, 2024 SRC Policy Committee meeting minutes as presented (Yes – Comstock, Guillen, Brisbane), (No – 0), (Absent – Robinson), (Abstain – 0).  </w:t>
      </w:r>
    </w:p>
    <w:p w14:paraId="52AB1FEB" w14:textId="77777777" w:rsidR="00AF582A" w:rsidRPr="0006478C" w:rsidRDefault="00AF582A" w:rsidP="00E07877">
      <w:pPr>
        <w:rPr>
          <w:rFonts w:cs="Arial"/>
          <w:szCs w:val="28"/>
        </w:rPr>
      </w:pPr>
    </w:p>
    <w:p w14:paraId="5270D93A" w14:textId="1970B294" w:rsidR="00634553" w:rsidRPr="0006478C" w:rsidRDefault="00E07877" w:rsidP="00402182">
      <w:pPr>
        <w:pStyle w:val="Heading1"/>
        <w:rPr>
          <w:rFonts w:cs="Arial"/>
          <w:bCs/>
          <w:szCs w:val="28"/>
        </w:rPr>
      </w:pPr>
      <w:r w:rsidRPr="0006478C">
        <w:rPr>
          <w:rFonts w:cs="Arial"/>
          <w:bCs/>
          <w:szCs w:val="28"/>
        </w:rPr>
        <w:t xml:space="preserve">Item </w:t>
      </w:r>
      <w:r w:rsidR="008E271A" w:rsidRPr="0006478C">
        <w:rPr>
          <w:rFonts w:cs="Arial"/>
          <w:bCs/>
          <w:szCs w:val="28"/>
        </w:rPr>
        <w:t>4</w:t>
      </w:r>
      <w:r w:rsidR="00AF582A" w:rsidRPr="0006478C">
        <w:rPr>
          <w:rFonts w:cs="Arial"/>
          <w:bCs/>
          <w:szCs w:val="28"/>
        </w:rPr>
        <w:t xml:space="preserve">: </w:t>
      </w:r>
      <w:r w:rsidR="00634553" w:rsidRPr="0006478C">
        <w:rPr>
          <w:rFonts w:cs="Arial"/>
          <w:bCs/>
          <w:szCs w:val="28"/>
        </w:rPr>
        <w:t>Supported Employment</w:t>
      </w:r>
      <w:r w:rsidR="007B36D7" w:rsidRPr="0006478C">
        <w:rPr>
          <w:rFonts w:cs="Arial"/>
          <w:bCs/>
          <w:szCs w:val="28"/>
        </w:rPr>
        <w:t xml:space="preserve"> Services </w:t>
      </w:r>
    </w:p>
    <w:p w14:paraId="65C3EDCE" w14:textId="1BF70220" w:rsidR="004673E7" w:rsidRPr="0006478C" w:rsidRDefault="00586539" w:rsidP="004673E7">
      <w:pPr>
        <w:rPr>
          <w:rFonts w:cs="Arial"/>
          <w:szCs w:val="28"/>
        </w:rPr>
      </w:pPr>
      <w:r w:rsidRPr="0006478C">
        <w:rPr>
          <w:rFonts w:cs="Arial"/>
          <w:szCs w:val="28"/>
        </w:rPr>
        <w:t xml:space="preserve">Chanel Brisbane, SRC Policy Committee Chair, </w:t>
      </w:r>
      <w:r w:rsidR="00E43B29">
        <w:rPr>
          <w:rFonts w:cs="Arial"/>
          <w:szCs w:val="28"/>
        </w:rPr>
        <w:t xml:space="preserve">provided the following background information: </w:t>
      </w:r>
    </w:p>
    <w:p w14:paraId="2BE5C667" w14:textId="4B73A0D0" w:rsidR="004673E7" w:rsidRPr="0006478C" w:rsidRDefault="004673E7" w:rsidP="00586539">
      <w:pPr>
        <w:pStyle w:val="ListParagraph"/>
        <w:numPr>
          <w:ilvl w:val="0"/>
          <w:numId w:val="10"/>
        </w:numPr>
        <w:rPr>
          <w:rFonts w:cs="Arial"/>
          <w:szCs w:val="28"/>
        </w:rPr>
      </w:pPr>
      <w:r w:rsidRPr="0006478C">
        <w:rPr>
          <w:rFonts w:cs="Arial"/>
          <w:szCs w:val="28"/>
        </w:rPr>
        <w:t>In 2021, Senator Maria Elena Durazo authored SB 639, which ends the use of subminimum wage</w:t>
      </w:r>
      <w:r w:rsidR="00E205F7" w:rsidRPr="0006478C">
        <w:rPr>
          <w:rFonts w:cs="Arial"/>
          <w:szCs w:val="28"/>
        </w:rPr>
        <w:t xml:space="preserve"> in California</w:t>
      </w:r>
      <w:r w:rsidRPr="0006478C">
        <w:rPr>
          <w:rFonts w:cs="Arial"/>
          <w:szCs w:val="28"/>
        </w:rPr>
        <w:t xml:space="preserve"> starting January 1, 2025. </w:t>
      </w:r>
    </w:p>
    <w:p w14:paraId="38D04B9A" w14:textId="3D7EA2D6" w:rsidR="004673E7" w:rsidRPr="0006478C" w:rsidRDefault="004673E7" w:rsidP="00586539">
      <w:pPr>
        <w:pStyle w:val="ListParagraph"/>
        <w:numPr>
          <w:ilvl w:val="0"/>
          <w:numId w:val="10"/>
        </w:numPr>
        <w:rPr>
          <w:rFonts w:cs="Arial"/>
          <w:szCs w:val="28"/>
        </w:rPr>
      </w:pPr>
      <w:r w:rsidRPr="0006478C">
        <w:rPr>
          <w:rFonts w:cs="Arial"/>
          <w:szCs w:val="28"/>
        </w:rPr>
        <w:t xml:space="preserve">Prior to SB 639, federal and state law allowed employers to pay people with disabilities less than minimum </w:t>
      </w:r>
      <w:r w:rsidR="00CC71B7" w:rsidRPr="0006478C">
        <w:rPr>
          <w:rFonts w:cs="Arial"/>
          <w:szCs w:val="28"/>
        </w:rPr>
        <w:t xml:space="preserve">wage </w:t>
      </w:r>
      <w:r w:rsidRPr="0006478C">
        <w:rPr>
          <w:rFonts w:cs="Arial"/>
          <w:szCs w:val="28"/>
        </w:rPr>
        <w:t xml:space="preserve">and subjected them to segregated work settings through the use of subminimum wage certificate programs. </w:t>
      </w:r>
    </w:p>
    <w:p w14:paraId="52C7EDE4" w14:textId="23A2762E" w:rsidR="004673E7" w:rsidRPr="0006478C" w:rsidRDefault="004673E7" w:rsidP="00586539">
      <w:pPr>
        <w:pStyle w:val="ListParagraph"/>
        <w:numPr>
          <w:ilvl w:val="0"/>
          <w:numId w:val="10"/>
        </w:numPr>
        <w:rPr>
          <w:rFonts w:cs="Arial"/>
          <w:szCs w:val="28"/>
        </w:rPr>
      </w:pPr>
      <w:r w:rsidRPr="0006478C">
        <w:rPr>
          <w:rFonts w:cs="Arial"/>
          <w:szCs w:val="28"/>
        </w:rPr>
        <w:t>SB 639 require</w:t>
      </w:r>
      <w:r w:rsidR="00E205F7" w:rsidRPr="0006478C">
        <w:rPr>
          <w:rFonts w:cs="Arial"/>
          <w:szCs w:val="28"/>
        </w:rPr>
        <w:t>d</w:t>
      </w:r>
      <w:r w:rsidRPr="0006478C">
        <w:rPr>
          <w:rFonts w:cs="Arial"/>
          <w:szCs w:val="28"/>
        </w:rPr>
        <w:t xml:space="preserve"> the development of a plan to phase out the use of these </w:t>
      </w:r>
      <w:r w:rsidR="000733A3" w:rsidRPr="0006478C">
        <w:rPr>
          <w:rFonts w:cs="Arial"/>
          <w:szCs w:val="28"/>
        </w:rPr>
        <w:t>certificate</w:t>
      </w:r>
      <w:r w:rsidRPr="0006478C">
        <w:rPr>
          <w:rFonts w:cs="Arial"/>
          <w:szCs w:val="28"/>
        </w:rPr>
        <w:t xml:space="preserve"> programs and </w:t>
      </w:r>
      <w:r w:rsidR="00E205F7" w:rsidRPr="0006478C">
        <w:rPr>
          <w:rFonts w:cs="Arial"/>
          <w:szCs w:val="28"/>
        </w:rPr>
        <w:t xml:space="preserve">to </w:t>
      </w:r>
      <w:r w:rsidRPr="0006478C">
        <w:rPr>
          <w:rFonts w:cs="Arial"/>
          <w:szCs w:val="28"/>
        </w:rPr>
        <w:t>increase access to competitive, integrated employment opportunities for individuals with disabilities.</w:t>
      </w:r>
    </w:p>
    <w:p w14:paraId="19D823FA" w14:textId="77777777" w:rsidR="00586539" w:rsidRPr="0006478C" w:rsidRDefault="00586539" w:rsidP="00586539">
      <w:pPr>
        <w:rPr>
          <w:rFonts w:cs="Arial"/>
          <w:color w:val="0000CC"/>
          <w:szCs w:val="28"/>
        </w:rPr>
      </w:pPr>
    </w:p>
    <w:p w14:paraId="255B1E92" w14:textId="46D6011F" w:rsidR="00E205F7" w:rsidRPr="0006478C" w:rsidRDefault="00586539" w:rsidP="00586539">
      <w:pPr>
        <w:rPr>
          <w:rFonts w:cs="Arial"/>
          <w:szCs w:val="28"/>
        </w:rPr>
      </w:pPr>
      <w:r w:rsidRPr="0006478C">
        <w:rPr>
          <w:rFonts w:cs="Arial"/>
          <w:szCs w:val="28"/>
        </w:rPr>
        <w:t xml:space="preserve">Brisbane </w:t>
      </w:r>
      <w:r w:rsidR="00E43B29">
        <w:rPr>
          <w:rFonts w:cs="Arial"/>
          <w:szCs w:val="28"/>
        </w:rPr>
        <w:t>explained</w:t>
      </w:r>
      <w:r w:rsidRPr="0006478C">
        <w:rPr>
          <w:rFonts w:cs="Arial"/>
          <w:szCs w:val="28"/>
        </w:rPr>
        <w:t xml:space="preserve"> that d</w:t>
      </w:r>
      <w:r w:rsidR="00E205F7" w:rsidRPr="0006478C">
        <w:rPr>
          <w:rFonts w:cs="Arial"/>
          <w:szCs w:val="28"/>
        </w:rPr>
        <w:t>uring the December 4 – 5, 2024 SRC quarterly meeting, DOR will share an update on the phase out of subminimum wage</w:t>
      </w:r>
      <w:r w:rsidRPr="0006478C">
        <w:rPr>
          <w:rFonts w:cs="Arial"/>
          <w:szCs w:val="28"/>
        </w:rPr>
        <w:t xml:space="preserve">, and in </w:t>
      </w:r>
      <w:r w:rsidR="00E205F7" w:rsidRPr="0006478C">
        <w:rPr>
          <w:rFonts w:cs="Arial"/>
          <w:szCs w:val="28"/>
        </w:rPr>
        <w:t xml:space="preserve">preparation for that presentation, Lisa Cushman, Analyst with DOR’s Policy and Performance Section, </w:t>
      </w:r>
      <w:r w:rsidR="00E43B29">
        <w:rPr>
          <w:rFonts w:cs="Arial"/>
          <w:szCs w:val="28"/>
        </w:rPr>
        <w:t>will present an</w:t>
      </w:r>
      <w:r w:rsidR="00E205F7" w:rsidRPr="0006478C">
        <w:rPr>
          <w:rFonts w:cs="Arial"/>
          <w:szCs w:val="28"/>
        </w:rPr>
        <w:t xml:space="preserve"> overview of supported employment services that assist individuals with the most significant disabilities with obtaining and maintaining employment in competitive, integrated settings.</w:t>
      </w:r>
      <w:r w:rsidR="005D1BC0" w:rsidRPr="0006478C">
        <w:rPr>
          <w:rFonts w:cs="Arial"/>
          <w:szCs w:val="28"/>
        </w:rPr>
        <w:t xml:space="preserve"> Information included: Title VI grant for funding supported employment, what are supported employment services, what is job coaching, how is progress evaluated, what is different in a plan for supported employment, and what are the special considerations for youth (reference </w:t>
      </w:r>
      <w:hyperlink w:anchor="_Appendix_A_–" w:history="1">
        <w:r w:rsidR="005D1BC0" w:rsidRPr="0006478C">
          <w:rPr>
            <w:rStyle w:val="Hyperlink"/>
            <w:rFonts w:cs="Arial"/>
            <w:szCs w:val="28"/>
          </w:rPr>
          <w:t>appendix A</w:t>
        </w:r>
      </w:hyperlink>
      <w:r w:rsidR="005D1BC0" w:rsidRPr="0006478C">
        <w:rPr>
          <w:rFonts w:cs="Arial"/>
          <w:szCs w:val="28"/>
        </w:rPr>
        <w:t xml:space="preserve"> for full presentation). </w:t>
      </w:r>
      <w:bookmarkStart w:id="0" w:name="_Hlk183435550"/>
      <w:r w:rsidR="001B233E" w:rsidRPr="0006478C">
        <w:rPr>
          <w:rFonts w:cs="Arial"/>
          <w:szCs w:val="28"/>
        </w:rPr>
        <w:t>Following the presentation, there was an interactive discussion between the SRC Policy Committee members and DOR representatives</w:t>
      </w:r>
      <w:r w:rsidR="000D5643" w:rsidRPr="0006478C">
        <w:rPr>
          <w:rFonts w:cs="Arial"/>
          <w:szCs w:val="28"/>
        </w:rPr>
        <w:t xml:space="preserve"> which</w:t>
      </w:r>
      <w:r w:rsidR="001B233E" w:rsidRPr="0006478C">
        <w:rPr>
          <w:rFonts w:cs="Arial"/>
          <w:szCs w:val="28"/>
        </w:rPr>
        <w:t xml:space="preserve"> included the following:  </w:t>
      </w:r>
      <w:bookmarkEnd w:id="0"/>
    </w:p>
    <w:p w14:paraId="67DD75AB" w14:textId="20A0A0CC" w:rsidR="001B233E" w:rsidRPr="0006478C" w:rsidRDefault="001B233E" w:rsidP="001B233E">
      <w:pPr>
        <w:pStyle w:val="ListParagraph"/>
        <w:numPr>
          <w:ilvl w:val="0"/>
          <w:numId w:val="22"/>
        </w:numPr>
        <w:rPr>
          <w:rFonts w:cs="Arial"/>
          <w:szCs w:val="28"/>
        </w:rPr>
      </w:pPr>
      <w:r w:rsidRPr="0006478C">
        <w:rPr>
          <w:rFonts w:cs="Arial"/>
          <w:szCs w:val="28"/>
        </w:rPr>
        <w:t xml:space="preserve">Confirmation that supported employment services are for individuals with the most significant disabilities. This determination is made by the </w:t>
      </w:r>
      <w:r w:rsidR="00E43B29">
        <w:rPr>
          <w:rFonts w:cs="Arial"/>
          <w:szCs w:val="28"/>
        </w:rPr>
        <w:t xml:space="preserve">VR </w:t>
      </w:r>
      <w:r w:rsidRPr="0006478C">
        <w:rPr>
          <w:rFonts w:cs="Arial"/>
          <w:szCs w:val="28"/>
        </w:rPr>
        <w:t>Counselor when determining eligibility.</w:t>
      </w:r>
    </w:p>
    <w:p w14:paraId="3BB2F7A4" w14:textId="6FB4E459" w:rsidR="001B233E" w:rsidRPr="0006478C" w:rsidRDefault="001B233E" w:rsidP="001B233E">
      <w:pPr>
        <w:pStyle w:val="ListParagraph"/>
        <w:numPr>
          <w:ilvl w:val="0"/>
          <w:numId w:val="22"/>
        </w:numPr>
        <w:rPr>
          <w:rFonts w:cs="Arial"/>
          <w:szCs w:val="28"/>
        </w:rPr>
      </w:pPr>
      <w:r w:rsidRPr="0006478C">
        <w:rPr>
          <w:rFonts w:cs="Arial"/>
          <w:szCs w:val="28"/>
        </w:rPr>
        <w:t xml:space="preserve">There is an option to extend supported employment services to </w:t>
      </w:r>
      <w:r w:rsidR="00E43B29" w:rsidRPr="0006478C">
        <w:rPr>
          <w:rFonts w:cs="Arial"/>
          <w:szCs w:val="28"/>
        </w:rPr>
        <w:t>twenty-four</w:t>
      </w:r>
      <w:r w:rsidRPr="0006478C">
        <w:rPr>
          <w:rFonts w:cs="Arial"/>
          <w:szCs w:val="28"/>
        </w:rPr>
        <w:t xml:space="preserve"> months if there are special circumstances. Consumers with intellectual or developmental </w:t>
      </w:r>
      <w:r w:rsidR="00E43B29">
        <w:rPr>
          <w:rFonts w:cs="Arial"/>
          <w:szCs w:val="28"/>
        </w:rPr>
        <w:t>disabilities</w:t>
      </w:r>
      <w:r w:rsidRPr="0006478C">
        <w:rPr>
          <w:rFonts w:cs="Arial"/>
          <w:szCs w:val="28"/>
        </w:rPr>
        <w:t xml:space="preserve"> may be connected to a regional center which could be a resource for extended services. Discussion about needing to identify an agency/source to provide these extended services. Discussion about utilization of job coaching.</w:t>
      </w:r>
    </w:p>
    <w:p w14:paraId="7E6992B6" w14:textId="270B1B7C" w:rsidR="001B233E" w:rsidRPr="0006478C" w:rsidRDefault="001B233E" w:rsidP="001B233E">
      <w:pPr>
        <w:pStyle w:val="ListParagraph"/>
        <w:numPr>
          <w:ilvl w:val="0"/>
          <w:numId w:val="22"/>
        </w:numPr>
        <w:rPr>
          <w:rFonts w:cs="Arial"/>
          <w:szCs w:val="28"/>
        </w:rPr>
      </w:pPr>
      <w:r w:rsidRPr="0006478C">
        <w:rPr>
          <w:rFonts w:cs="Arial"/>
          <w:szCs w:val="28"/>
        </w:rPr>
        <w:t xml:space="preserve">Can DOR </w:t>
      </w:r>
      <w:r w:rsidR="003D043C">
        <w:rPr>
          <w:rFonts w:cs="Arial"/>
          <w:szCs w:val="28"/>
        </w:rPr>
        <w:t xml:space="preserve">provide </w:t>
      </w:r>
      <w:r w:rsidRPr="0006478C">
        <w:rPr>
          <w:rFonts w:cs="Arial"/>
          <w:szCs w:val="28"/>
        </w:rPr>
        <w:t xml:space="preserve">supported employment services for individuals with </w:t>
      </w:r>
      <w:r w:rsidR="000D5643" w:rsidRPr="0006478C">
        <w:rPr>
          <w:rFonts w:cs="Arial"/>
          <w:szCs w:val="28"/>
        </w:rPr>
        <w:t>traumatic</w:t>
      </w:r>
      <w:r w:rsidRPr="0006478C">
        <w:rPr>
          <w:rFonts w:cs="Arial"/>
          <w:szCs w:val="28"/>
        </w:rPr>
        <w:t xml:space="preserve"> brain injuries or mental health disabilities? </w:t>
      </w:r>
    </w:p>
    <w:p w14:paraId="548ED9CA" w14:textId="77777777" w:rsidR="000D5643" w:rsidRPr="0006478C" w:rsidRDefault="000D5643" w:rsidP="001B233E">
      <w:pPr>
        <w:pStyle w:val="ListParagraph"/>
        <w:numPr>
          <w:ilvl w:val="0"/>
          <w:numId w:val="22"/>
        </w:numPr>
        <w:rPr>
          <w:rFonts w:cs="Arial"/>
          <w:szCs w:val="28"/>
        </w:rPr>
      </w:pPr>
      <w:r w:rsidRPr="0006478C">
        <w:rPr>
          <w:rFonts w:cs="Arial"/>
          <w:szCs w:val="28"/>
        </w:rPr>
        <w:lastRenderedPageBreak/>
        <w:t>Discussion about natural supports.</w:t>
      </w:r>
    </w:p>
    <w:p w14:paraId="2F01F340" w14:textId="6F8600C7" w:rsidR="000D5643" w:rsidRPr="0006478C" w:rsidRDefault="000D5643" w:rsidP="000D5643">
      <w:pPr>
        <w:ind w:left="360"/>
        <w:rPr>
          <w:rFonts w:cs="Arial"/>
          <w:szCs w:val="28"/>
        </w:rPr>
      </w:pPr>
    </w:p>
    <w:p w14:paraId="500C10FB" w14:textId="77777777" w:rsidR="000D5643" w:rsidRPr="0006478C" w:rsidRDefault="000D5643" w:rsidP="000D5643">
      <w:pPr>
        <w:rPr>
          <w:rFonts w:cs="Arial"/>
          <w:szCs w:val="28"/>
        </w:rPr>
      </w:pPr>
      <w:r w:rsidRPr="0006478C">
        <w:rPr>
          <w:rFonts w:cs="Arial"/>
          <w:szCs w:val="28"/>
        </w:rPr>
        <w:t xml:space="preserve">Public comments: </w:t>
      </w:r>
    </w:p>
    <w:p w14:paraId="0B04F085" w14:textId="550C4B35" w:rsidR="000D5643" w:rsidRPr="0006478C" w:rsidRDefault="000D5643" w:rsidP="000D5643">
      <w:pPr>
        <w:pStyle w:val="ListParagraph"/>
        <w:numPr>
          <w:ilvl w:val="0"/>
          <w:numId w:val="23"/>
        </w:numPr>
        <w:rPr>
          <w:rFonts w:cs="Arial"/>
          <w:szCs w:val="28"/>
        </w:rPr>
      </w:pPr>
      <w:r w:rsidRPr="0006478C">
        <w:rPr>
          <w:rFonts w:cs="Arial"/>
          <w:szCs w:val="28"/>
        </w:rPr>
        <w:t>Danny Marquez</w:t>
      </w:r>
      <w:r w:rsidR="005D3414">
        <w:rPr>
          <w:rFonts w:cs="Arial"/>
          <w:szCs w:val="28"/>
        </w:rPr>
        <w:t xml:space="preserve"> with</w:t>
      </w:r>
      <w:r w:rsidRPr="0006478C">
        <w:rPr>
          <w:rFonts w:cs="Arial"/>
          <w:szCs w:val="28"/>
        </w:rPr>
        <w:t xml:space="preserve"> </w:t>
      </w:r>
      <w:r w:rsidR="003D043C">
        <w:rPr>
          <w:rFonts w:cs="Arial"/>
          <w:szCs w:val="28"/>
        </w:rPr>
        <w:t xml:space="preserve">the </w:t>
      </w:r>
      <w:r w:rsidRPr="0006478C">
        <w:rPr>
          <w:rFonts w:cs="Arial"/>
          <w:szCs w:val="28"/>
        </w:rPr>
        <w:t xml:space="preserve">California Association of Social Rehabilitation Agencies </w:t>
      </w:r>
      <w:r w:rsidR="005D3414">
        <w:rPr>
          <w:rFonts w:cs="Arial"/>
          <w:szCs w:val="28"/>
        </w:rPr>
        <w:t xml:space="preserve">(CASRA) </w:t>
      </w:r>
      <w:r w:rsidRPr="0006478C">
        <w:rPr>
          <w:rFonts w:cs="Arial"/>
          <w:szCs w:val="28"/>
        </w:rPr>
        <w:t>inquired about the nexus between the Ticket to Work program and Phase 2 services and long-term supports.</w:t>
      </w:r>
    </w:p>
    <w:p w14:paraId="13C89A39" w14:textId="404174CD" w:rsidR="000D5643" w:rsidRPr="0006478C" w:rsidRDefault="000D5643" w:rsidP="000D5643">
      <w:pPr>
        <w:pStyle w:val="ListParagraph"/>
        <w:numPr>
          <w:ilvl w:val="0"/>
          <w:numId w:val="23"/>
        </w:numPr>
        <w:rPr>
          <w:rFonts w:cs="Arial"/>
          <w:szCs w:val="28"/>
        </w:rPr>
      </w:pPr>
      <w:r w:rsidRPr="0006478C">
        <w:rPr>
          <w:rFonts w:cs="Arial"/>
          <w:szCs w:val="28"/>
        </w:rPr>
        <w:t>Christopher Waltrous</w:t>
      </w:r>
      <w:r w:rsidR="005D3414">
        <w:rPr>
          <w:rFonts w:cs="Arial"/>
          <w:szCs w:val="28"/>
        </w:rPr>
        <w:t xml:space="preserve"> noted that</w:t>
      </w:r>
      <w:r w:rsidRPr="0006478C">
        <w:rPr>
          <w:rFonts w:cs="Arial"/>
          <w:szCs w:val="28"/>
        </w:rPr>
        <w:t xml:space="preserve"> Veterans Affairs provides supported employment for veterans enrolled in the VA healthcare system.</w:t>
      </w:r>
    </w:p>
    <w:p w14:paraId="00DD7C91" w14:textId="45EB9CDD" w:rsidR="000D5643" w:rsidRPr="0006478C" w:rsidRDefault="000D5643" w:rsidP="000D5643">
      <w:pPr>
        <w:pStyle w:val="ListParagraph"/>
        <w:numPr>
          <w:ilvl w:val="0"/>
          <w:numId w:val="23"/>
        </w:numPr>
        <w:rPr>
          <w:rFonts w:cs="Arial"/>
          <w:szCs w:val="28"/>
        </w:rPr>
      </w:pPr>
      <w:r w:rsidRPr="0006478C">
        <w:rPr>
          <w:rFonts w:cs="Arial"/>
          <w:szCs w:val="28"/>
        </w:rPr>
        <w:t xml:space="preserve">Sarah Issacs </w:t>
      </w:r>
      <w:r w:rsidR="005D3414">
        <w:rPr>
          <w:rFonts w:cs="Arial"/>
          <w:szCs w:val="28"/>
        </w:rPr>
        <w:t xml:space="preserve">with </w:t>
      </w:r>
      <w:r w:rsidRPr="0006478C">
        <w:rPr>
          <w:rFonts w:cs="Arial"/>
          <w:szCs w:val="28"/>
        </w:rPr>
        <w:t xml:space="preserve">Disability Rights California asked if there are services beyond job coaching that fall under the supported employment umbrella. </w:t>
      </w:r>
    </w:p>
    <w:p w14:paraId="5019DC07" w14:textId="77777777" w:rsidR="00CC6E52" w:rsidRPr="0006478C" w:rsidRDefault="00CC6E52" w:rsidP="00CC6E52">
      <w:pPr>
        <w:rPr>
          <w:rFonts w:cs="Arial"/>
          <w:szCs w:val="28"/>
        </w:rPr>
      </w:pPr>
    </w:p>
    <w:p w14:paraId="5BDD8356" w14:textId="7721C940" w:rsidR="00402182" w:rsidRPr="0006478C" w:rsidRDefault="006165C0" w:rsidP="00402182">
      <w:pPr>
        <w:pStyle w:val="Heading1"/>
        <w:rPr>
          <w:rFonts w:cs="Arial"/>
          <w:szCs w:val="28"/>
        </w:rPr>
      </w:pPr>
      <w:r w:rsidRPr="0006478C">
        <w:rPr>
          <w:rFonts w:cs="Arial"/>
          <w:szCs w:val="28"/>
        </w:rPr>
        <w:t xml:space="preserve">Item 5: </w:t>
      </w:r>
      <w:r w:rsidR="00F04C51" w:rsidRPr="0006478C">
        <w:rPr>
          <w:rFonts w:cs="Arial"/>
          <w:szCs w:val="28"/>
        </w:rPr>
        <w:t xml:space="preserve">Self-Employment </w:t>
      </w:r>
      <w:r w:rsidR="00DD4608" w:rsidRPr="0006478C">
        <w:rPr>
          <w:rFonts w:cs="Arial"/>
          <w:szCs w:val="28"/>
        </w:rPr>
        <w:t>for DOR Consumers</w:t>
      </w:r>
      <w:r w:rsidR="00402182" w:rsidRPr="0006478C">
        <w:rPr>
          <w:rFonts w:cs="Arial"/>
          <w:szCs w:val="28"/>
        </w:rPr>
        <w:t xml:space="preserve"> </w:t>
      </w:r>
    </w:p>
    <w:p w14:paraId="3015AFCE" w14:textId="7B15B8C2" w:rsidR="007B4EF5" w:rsidRPr="0006478C" w:rsidRDefault="000D5643" w:rsidP="00402182">
      <w:pPr>
        <w:rPr>
          <w:rFonts w:cs="Arial"/>
          <w:szCs w:val="28"/>
        </w:rPr>
      </w:pPr>
      <w:r w:rsidRPr="0006478C">
        <w:rPr>
          <w:rFonts w:cs="Arial"/>
          <w:szCs w:val="28"/>
        </w:rPr>
        <w:t xml:space="preserve">Chanel Brisbane, SRC Policy Committee Chair, explained that during the September 11, 2024 SRC quarterly meeting, the SRC received an overview of self-employment resources available for DOR consumers. The SRC agreed that </w:t>
      </w:r>
      <w:r w:rsidR="003D043C">
        <w:rPr>
          <w:rFonts w:cs="Arial"/>
          <w:szCs w:val="28"/>
        </w:rPr>
        <w:t>a follow up discussion was needed</w:t>
      </w:r>
      <w:r w:rsidRPr="0006478C">
        <w:rPr>
          <w:rFonts w:cs="Arial"/>
          <w:szCs w:val="28"/>
        </w:rPr>
        <w:t xml:space="preserve">. Brisbane welcomed </w:t>
      </w:r>
      <w:r w:rsidR="006165C0" w:rsidRPr="0006478C">
        <w:rPr>
          <w:rFonts w:cs="Arial"/>
          <w:szCs w:val="28"/>
        </w:rPr>
        <w:t xml:space="preserve">Cory Lemings, </w:t>
      </w:r>
      <w:r w:rsidR="007B4EF5" w:rsidRPr="0006478C">
        <w:rPr>
          <w:rFonts w:cs="Arial"/>
          <w:szCs w:val="28"/>
        </w:rPr>
        <w:t xml:space="preserve">DOR Lead Employment Coordinator, </w:t>
      </w:r>
      <w:r w:rsidRPr="0006478C">
        <w:rPr>
          <w:rFonts w:cs="Arial"/>
          <w:szCs w:val="28"/>
        </w:rPr>
        <w:t xml:space="preserve">to </w:t>
      </w:r>
      <w:r w:rsidR="006165C0" w:rsidRPr="0006478C">
        <w:rPr>
          <w:rFonts w:cs="Arial"/>
          <w:szCs w:val="28"/>
        </w:rPr>
        <w:t xml:space="preserve">discuss questions and topics related to self-employment </w:t>
      </w:r>
      <w:r w:rsidR="00CC6E52" w:rsidRPr="0006478C">
        <w:rPr>
          <w:rFonts w:cs="Arial"/>
          <w:szCs w:val="28"/>
        </w:rPr>
        <w:t xml:space="preserve">services </w:t>
      </w:r>
      <w:r w:rsidR="006165C0" w:rsidRPr="0006478C">
        <w:rPr>
          <w:rFonts w:cs="Arial"/>
          <w:szCs w:val="28"/>
        </w:rPr>
        <w:t xml:space="preserve">and resources. </w:t>
      </w:r>
      <w:r w:rsidR="00CC519D">
        <w:rPr>
          <w:rFonts w:cs="Arial"/>
          <w:szCs w:val="28"/>
        </w:rPr>
        <w:t>Lemings provided a recap of the information provided on September 11</w:t>
      </w:r>
      <w:r w:rsidR="00CC519D" w:rsidRPr="00CC519D">
        <w:rPr>
          <w:rFonts w:cs="Arial"/>
          <w:szCs w:val="28"/>
          <w:vertAlign w:val="superscript"/>
        </w:rPr>
        <w:t>th</w:t>
      </w:r>
      <w:r w:rsidR="00CC519D">
        <w:rPr>
          <w:rFonts w:cs="Arial"/>
          <w:szCs w:val="28"/>
        </w:rPr>
        <w:t xml:space="preserve">, reviewed self-employment data, available resources, regulations, and continual improvement (reference </w:t>
      </w:r>
      <w:hyperlink w:anchor="_Appendix_B_–" w:history="1">
        <w:r w:rsidR="00CC519D" w:rsidRPr="00CC519D">
          <w:rPr>
            <w:rStyle w:val="Hyperlink"/>
            <w:rFonts w:cs="Arial"/>
            <w:szCs w:val="28"/>
          </w:rPr>
          <w:t>appendix B</w:t>
        </w:r>
      </w:hyperlink>
      <w:r w:rsidR="00CC519D">
        <w:rPr>
          <w:rFonts w:cs="Arial"/>
          <w:szCs w:val="28"/>
        </w:rPr>
        <w:t xml:space="preserve"> for the full presentation). Questions from the SRC Policy Committee members included the following:</w:t>
      </w:r>
    </w:p>
    <w:p w14:paraId="445EB8C4" w14:textId="0B218676" w:rsidR="00CC519D" w:rsidRDefault="00CC519D" w:rsidP="00CC519D">
      <w:pPr>
        <w:pStyle w:val="ListParagraph"/>
        <w:numPr>
          <w:ilvl w:val="0"/>
          <w:numId w:val="28"/>
        </w:numPr>
        <w:rPr>
          <w:rFonts w:cs="Arial"/>
          <w:szCs w:val="28"/>
        </w:rPr>
      </w:pPr>
      <w:r w:rsidRPr="00CC519D">
        <w:rPr>
          <w:rFonts w:cs="Arial"/>
          <w:szCs w:val="28"/>
        </w:rPr>
        <w:t xml:space="preserve">Where are the self-employment subject matter experts located? Are they in every </w:t>
      </w:r>
      <w:r>
        <w:rPr>
          <w:rFonts w:cs="Arial"/>
          <w:szCs w:val="28"/>
        </w:rPr>
        <w:t>DOR D</w:t>
      </w:r>
      <w:r w:rsidRPr="00CC519D">
        <w:rPr>
          <w:rFonts w:cs="Arial"/>
          <w:szCs w:val="28"/>
        </w:rPr>
        <w:t>istrict?</w:t>
      </w:r>
      <w:r>
        <w:rPr>
          <w:rFonts w:cs="Arial"/>
          <w:szCs w:val="28"/>
        </w:rPr>
        <w:t xml:space="preserve"> (Yes)</w:t>
      </w:r>
    </w:p>
    <w:p w14:paraId="30F5CF37" w14:textId="0CBE3CB3" w:rsidR="00CC519D" w:rsidRDefault="00CC519D" w:rsidP="00CC519D">
      <w:pPr>
        <w:pStyle w:val="ListParagraph"/>
        <w:numPr>
          <w:ilvl w:val="0"/>
          <w:numId w:val="28"/>
        </w:numPr>
        <w:rPr>
          <w:rFonts w:cs="Arial"/>
          <w:szCs w:val="28"/>
        </w:rPr>
      </w:pPr>
      <w:r w:rsidRPr="00CC519D">
        <w:rPr>
          <w:rFonts w:cs="Arial"/>
          <w:szCs w:val="28"/>
        </w:rPr>
        <w:t>Why has the number of self-employment cases declined over the years, despite the pandemic potentially increasing self-employment as more people choose to work from home?</w:t>
      </w:r>
      <w:r>
        <w:rPr>
          <w:rFonts w:cs="Arial"/>
          <w:szCs w:val="28"/>
        </w:rPr>
        <w:t xml:space="preserve"> (Exact reason is unknown, additional information and analysis is needed)</w:t>
      </w:r>
      <w:r w:rsidR="005D3414">
        <w:rPr>
          <w:rFonts w:cs="Arial"/>
          <w:szCs w:val="28"/>
        </w:rPr>
        <w:t>.</w:t>
      </w:r>
    </w:p>
    <w:p w14:paraId="114A8B09" w14:textId="54B6D8F6" w:rsidR="005D3414" w:rsidRDefault="005D3414" w:rsidP="00CC519D">
      <w:pPr>
        <w:pStyle w:val="ListParagraph"/>
        <w:numPr>
          <w:ilvl w:val="0"/>
          <w:numId w:val="28"/>
        </w:numPr>
        <w:rPr>
          <w:rFonts w:cs="Arial"/>
          <w:szCs w:val="28"/>
        </w:rPr>
      </w:pPr>
      <w:r>
        <w:rPr>
          <w:rFonts w:cs="Arial"/>
          <w:szCs w:val="28"/>
        </w:rPr>
        <w:t>Is there</w:t>
      </w:r>
      <w:r w:rsidRPr="005D3414">
        <w:rPr>
          <w:rFonts w:cs="Arial"/>
          <w:szCs w:val="28"/>
        </w:rPr>
        <w:t xml:space="preserve"> potential for </w:t>
      </w:r>
      <w:r>
        <w:rPr>
          <w:rFonts w:cs="Arial"/>
          <w:szCs w:val="28"/>
        </w:rPr>
        <w:t>VR C</w:t>
      </w:r>
      <w:r w:rsidRPr="005D3414">
        <w:rPr>
          <w:rFonts w:cs="Arial"/>
          <w:szCs w:val="28"/>
        </w:rPr>
        <w:t>ounselors to specialize in self-employment, similar to sector-based programs where counselors specialize in specific fields</w:t>
      </w:r>
      <w:r>
        <w:rPr>
          <w:rFonts w:cs="Arial"/>
          <w:szCs w:val="28"/>
        </w:rPr>
        <w:t>?</w:t>
      </w:r>
    </w:p>
    <w:p w14:paraId="2FE86F6B" w14:textId="77777777" w:rsidR="005D3414" w:rsidRDefault="005D3414" w:rsidP="005D3414">
      <w:pPr>
        <w:rPr>
          <w:rFonts w:cs="Arial"/>
          <w:szCs w:val="28"/>
        </w:rPr>
      </w:pPr>
    </w:p>
    <w:p w14:paraId="30458F8C" w14:textId="0B5DE450" w:rsidR="005D3414" w:rsidRDefault="005D3414" w:rsidP="005D3414">
      <w:pPr>
        <w:rPr>
          <w:rFonts w:cs="Arial"/>
          <w:szCs w:val="28"/>
        </w:rPr>
      </w:pPr>
      <w:r>
        <w:rPr>
          <w:rFonts w:cs="Arial"/>
          <w:szCs w:val="28"/>
        </w:rPr>
        <w:t>Public comment</w:t>
      </w:r>
      <w:r w:rsidR="003D043C">
        <w:rPr>
          <w:rFonts w:cs="Arial"/>
          <w:szCs w:val="28"/>
        </w:rPr>
        <w:t>s</w:t>
      </w:r>
      <w:r>
        <w:rPr>
          <w:rFonts w:cs="Arial"/>
          <w:szCs w:val="28"/>
        </w:rPr>
        <w:t>:</w:t>
      </w:r>
    </w:p>
    <w:p w14:paraId="6C018E4E" w14:textId="3A79F980" w:rsidR="005D3414" w:rsidRDefault="005D3414" w:rsidP="005D3414">
      <w:pPr>
        <w:pStyle w:val="ListParagraph"/>
        <w:numPr>
          <w:ilvl w:val="0"/>
          <w:numId w:val="29"/>
        </w:numPr>
        <w:rPr>
          <w:rFonts w:cs="Arial"/>
          <w:szCs w:val="28"/>
        </w:rPr>
      </w:pPr>
      <w:r w:rsidRPr="005D3414">
        <w:rPr>
          <w:rFonts w:cs="Arial"/>
          <w:szCs w:val="28"/>
        </w:rPr>
        <w:t>Danny Marquez</w:t>
      </w:r>
      <w:r>
        <w:rPr>
          <w:rFonts w:cs="Arial"/>
          <w:szCs w:val="28"/>
        </w:rPr>
        <w:t xml:space="preserve"> with CASRA</w:t>
      </w:r>
      <w:r w:rsidRPr="005D3414">
        <w:rPr>
          <w:rFonts w:cs="Arial"/>
          <w:szCs w:val="28"/>
        </w:rPr>
        <w:t xml:space="preserve"> asked if information available on which VR Counselors are handling the most self-employment cases, given the limited number of such cases over the last three to four years. Marquez is curious if data exists to identify which</w:t>
      </w:r>
      <w:r w:rsidR="003D043C">
        <w:rPr>
          <w:rFonts w:cs="Arial"/>
          <w:szCs w:val="28"/>
        </w:rPr>
        <w:t xml:space="preserve"> VR</w:t>
      </w:r>
      <w:r w:rsidRPr="005D3414">
        <w:rPr>
          <w:rFonts w:cs="Arial"/>
          <w:szCs w:val="28"/>
        </w:rPr>
        <w:t xml:space="preserve"> </w:t>
      </w:r>
      <w:r w:rsidR="003D043C">
        <w:rPr>
          <w:rFonts w:cs="Arial"/>
          <w:szCs w:val="28"/>
        </w:rPr>
        <w:t>Co</w:t>
      </w:r>
      <w:r w:rsidRPr="005D3414">
        <w:rPr>
          <w:rFonts w:cs="Arial"/>
          <w:szCs w:val="28"/>
        </w:rPr>
        <w:t>unselors are most active in this area.</w:t>
      </w:r>
    </w:p>
    <w:p w14:paraId="7032E7F3" w14:textId="5750DB01" w:rsidR="005D3414" w:rsidRDefault="005D3414" w:rsidP="005D3414">
      <w:pPr>
        <w:pStyle w:val="ListParagraph"/>
        <w:numPr>
          <w:ilvl w:val="0"/>
          <w:numId w:val="29"/>
        </w:numPr>
        <w:rPr>
          <w:rFonts w:cs="Arial"/>
          <w:szCs w:val="28"/>
        </w:rPr>
      </w:pPr>
      <w:r w:rsidRPr="005D3414">
        <w:rPr>
          <w:rFonts w:cs="Arial"/>
          <w:szCs w:val="28"/>
        </w:rPr>
        <w:t xml:space="preserve">Joseph Ramirez-Forcier </w:t>
      </w:r>
      <w:r>
        <w:rPr>
          <w:rFonts w:cs="Arial"/>
          <w:szCs w:val="28"/>
        </w:rPr>
        <w:t xml:space="preserve">with PRC noted that he’s observed a </w:t>
      </w:r>
      <w:r w:rsidRPr="005D3414">
        <w:rPr>
          <w:rFonts w:cs="Arial"/>
          <w:szCs w:val="28"/>
        </w:rPr>
        <w:t>bias towards competitive employment</w:t>
      </w:r>
      <w:r w:rsidR="003D043C">
        <w:rPr>
          <w:rFonts w:cs="Arial"/>
          <w:szCs w:val="28"/>
        </w:rPr>
        <w:t xml:space="preserve"> (instead of self-employment)</w:t>
      </w:r>
      <w:r w:rsidRPr="005D3414">
        <w:rPr>
          <w:rFonts w:cs="Arial"/>
          <w:szCs w:val="28"/>
        </w:rPr>
        <w:t xml:space="preserve"> in the application process</w:t>
      </w:r>
      <w:r>
        <w:rPr>
          <w:rFonts w:cs="Arial"/>
          <w:szCs w:val="28"/>
        </w:rPr>
        <w:t xml:space="preserve">. </w:t>
      </w:r>
      <w:r w:rsidRPr="005D3414">
        <w:rPr>
          <w:rFonts w:cs="Arial"/>
          <w:szCs w:val="28"/>
        </w:rPr>
        <w:t>Advocacy is required for self-employment as a career goal</w:t>
      </w:r>
      <w:r>
        <w:rPr>
          <w:rFonts w:cs="Arial"/>
          <w:szCs w:val="28"/>
        </w:rPr>
        <w:t>.</w:t>
      </w:r>
      <w:r w:rsidR="003D043C">
        <w:rPr>
          <w:rFonts w:cs="Arial"/>
          <w:szCs w:val="28"/>
        </w:rPr>
        <w:t xml:space="preserve"> </w:t>
      </w:r>
      <w:r w:rsidRPr="005D3414">
        <w:rPr>
          <w:rFonts w:cs="Arial"/>
          <w:szCs w:val="28"/>
        </w:rPr>
        <w:t xml:space="preserve">Ramirez-Forcier emphasized the importance of </w:t>
      </w:r>
      <w:r>
        <w:rPr>
          <w:rFonts w:cs="Arial"/>
          <w:szCs w:val="28"/>
        </w:rPr>
        <w:t xml:space="preserve">community </w:t>
      </w:r>
      <w:r w:rsidRPr="005D3414">
        <w:rPr>
          <w:rFonts w:cs="Arial"/>
          <w:szCs w:val="28"/>
        </w:rPr>
        <w:t>partnerships</w:t>
      </w:r>
      <w:r>
        <w:rPr>
          <w:rFonts w:cs="Arial"/>
          <w:szCs w:val="28"/>
        </w:rPr>
        <w:t xml:space="preserve"> to help consumers pursuing</w:t>
      </w:r>
      <w:r w:rsidRPr="005D3414">
        <w:rPr>
          <w:rFonts w:cs="Arial"/>
          <w:szCs w:val="28"/>
        </w:rPr>
        <w:t xml:space="preserve"> self-employment. </w:t>
      </w:r>
    </w:p>
    <w:p w14:paraId="1C1E1A09" w14:textId="50A32E47" w:rsidR="00C60190" w:rsidRDefault="00C60190" w:rsidP="005D3414">
      <w:pPr>
        <w:pStyle w:val="ListParagraph"/>
        <w:numPr>
          <w:ilvl w:val="0"/>
          <w:numId w:val="29"/>
        </w:numPr>
        <w:rPr>
          <w:rFonts w:cs="Arial"/>
          <w:szCs w:val="28"/>
        </w:rPr>
      </w:pPr>
      <w:r>
        <w:rPr>
          <w:rFonts w:cs="Arial"/>
          <w:szCs w:val="28"/>
        </w:rPr>
        <w:lastRenderedPageBreak/>
        <w:t>Christopher Waltrous noted that veterans are twice as likely to be small business owners.</w:t>
      </w:r>
    </w:p>
    <w:p w14:paraId="0DB4B878" w14:textId="1AEABB35" w:rsidR="00C60190" w:rsidRPr="005D3414" w:rsidRDefault="00C60190" w:rsidP="005D3414">
      <w:pPr>
        <w:pStyle w:val="ListParagraph"/>
        <w:numPr>
          <w:ilvl w:val="0"/>
          <w:numId w:val="29"/>
        </w:numPr>
        <w:rPr>
          <w:rFonts w:cs="Arial"/>
          <w:szCs w:val="28"/>
        </w:rPr>
      </w:pPr>
      <w:r>
        <w:rPr>
          <w:rFonts w:cs="Arial"/>
          <w:szCs w:val="28"/>
        </w:rPr>
        <w:t xml:space="preserve">Sarah Isaacs with </w:t>
      </w:r>
      <w:r w:rsidR="00140196">
        <w:rPr>
          <w:rFonts w:cs="Arial"/>
          <w:szCs w:val="28"/>
        </w:rPr>
        <w:t>Disability</w:t>
      </w:r>
      <w:r>
        <w:rPr>
          <w:rFonts w:cs="Arial"/>
          <w:szCs w:val="28"/>
        </w:rPr>
        <w:t xml:space="preserve"> Rights California </w:t>
      </w:r>
      <w:r w:rsidR="00140196">
        <w:rPr>
          <w:rFonts w:cs="Arial"/>
          <w:szCs w:val="28"/>
        </w:rPr>
        <w:t xml:space="preserve">spoke about regulations and policies that need to be updated related to self-employment. Reference </w:t>
      </w:r>
      <w:hyperlink w:anchor="_Appendix_C_–" w:history="1">
        <w:r w:rsidR="00140196" w:rsidRPr="00140196">
          <w:rPr>
            <w:rStyle w:val="Hyperlink"/>
            <w:rFonts w:cs="Arial"/>
            <w:szCs w:val="28"/>
          </w:rPr>
          <w:t>appendix C</w:t>
        </w:r>
      </w:hyperlink>
      <w:r w:rsidR="00140196">
        <w:rPr>
          <w:rFonts w:cs="Arial"/>
          <w:szCs w:val="28"/>
        </w:rPr>
        <w:t xml:space="preserve"> for written public comment that was shared by Issacs.</w:t>
      </w:r>
    </w:p>
    <w:p w14:paraId="3461963E" w14:textId="631F6DB3" w:rsidR="00E07877" w:rsidRPr="0006478C" w:rsidRDefault="00E07877" w:rsidP="00E07877">
      <w:pPr>
        <w:rPr>
          <w:rFonts w:cs="Arial"/>
          <w:szCs w:val="28"/>
        </w:rPr>
      </w:pPr>
    </w:p>
    <w:p w14:paraId="4D556404" w14:textId="3A1C9E25" w:rsidR="00E76474" w:rsidRPr="0006478C" w:rsidRDefault="007D180A" w:rsidP="00CF19DD">
      <w:pPr>
        <w:pStyle w:val="Heading1"/>
        <w:rPr>
          <w:rFonts w:cs="Arial"/>
          <w:szCs w:val="28"/>
        </w:rPr>
      </w:pPr>
      <w:r w:rsidRPr="0006478C">
        <w:rPr>
          <w:rFonts w:cs="Arial"/>
          <w:szCs w:val="28"/>
        </w:rPr>
        <w:t xml:space="preserve">Item </w:t>
      </w:r>
      <w:r w:rsidR="006D3AFA" w:rsidRPr="0006478C">
        <w:rPr>
          <w:rFonts w:cs="Arial"/>
          <w:szCs w:val="28"/>
        </w:rPr>
        <w:t>6</w:t>
      </w:r>
      <w:r w:rsidRPr="0006478C">
        <w:rPr>
          <w:rFonts w:cs="Arial"/>
          <w:szCs w:val="28"/>
        </w:rPr>
        <w:t>:</w:t>
      </w:r>
      <w:r w:rsidR="0000511C" w:rsidRPr="0006478C">
        <w:rPr>
          <w:rFonts w:cs="Arial"/>
          <w:szCs w:val="28"/>
        </w:rPr>
        <w:t xml:space="preserve"> </w:t>
      </w:r>
      <w:r w:rsidR="00CF19DD" w:rsidRPr="0006478C">
        <w:rPr>
          <w:rFonts w:cs="Arial"/>
          <w:szCs w:val="28"/>
        </w:rPr>
        <w:t xml:space="preserve">Debrief and Recommendation Development </w:t>
      </w:r>
    </w:p>
    <w:p w14:paraId="2B157DDC" w14:textId="4CFF5039" w:rsidR="00140196" w:rsidRDefault="00E76474" w:rsidP="00E76474">
      <w:pPr>
        <w:rPr>
          <w:rFonts w:cs="Arial"/>
          <w:szCs w:val="28"/>
        </w:rPr>
      </w:pPr>
      <w:r w:rsidRPr="0006478C">
        <w:rPr>
          <w:rFonts w:cs="Arial"/>
          <w:szCs w:val="28"/>
        </w:rPr>
        <w:t xml:space="preserve">SRC members </w:t>
      </w:r>
      <w:r w:rsidR="003D043C">
        <w:rPr>
          <w:rFonts w:cs="Arial"/>
          <w:szCs w:val="28"/>
        </w:rPr>
        <w:t>debriefed from the meeting discussions. Highlights included:</w:t>
      </w:r>
      <w:r w:rsidRPr="0006478C">
        <w:rPr>
          <w:rFonts w:cs="Arial"/>
          <w:szCs w:val="28"/>
        </w:rPr>
        <w:t xml:space="preserve"> </w:t>
      </w:r>
    </w:p>
    <w:p w14:paraId="162D4FBE" w14:textId="77777777" w:rsidR="00140196" w:rsidRDefault="00140196" w:rsidP="00140196">
      <w:pPr>
        <w:pStyle w:val="ListParagraph"/>
        <w:numPr>
          <w:ilvl w:val="0"/>
          <w:numId w:val="31"/>
        </w:numPr>
        <w:rPr>
          <w:rFonts w:cs="Arial"/>
          <w:szCs w:val="28"/>
        </w:rPr>
      </w:pPr>
      <w:r>
        <w:rPr>
          <w:rFonts w:cs="Arial"/>
          <w:szCs w:val="28"/>
        </w:rPr>
        <w:t xml:space="preserve">Regarding self-employment: </w:t>
      </w:r>
    </w:p>
    <w:p w14:paraId="6143C4A2" w14:textId="40001F25" w:rsidR="00140196" w:rsidRDefault="003D043C" w:rsidP="00140196">
      <w:pPr>
        <w:pStyle w:val="ListParagraph"/>
        <w:numPr>
          <w:ilvl w:val="1"/>
          <w:numId w:val="31"/>
        </w:numPr>
        <w:rPr>
          <w:rFonts w:cs="Arial"/>
          <w:szCs w:val="28"/>
        </w:rPr>
      </w:pPr>
      <w:r>
        <w:rPr>
          <w:rFonts w:cs="Arial"/>
          <w:szCs w:val="28"/>
        </w:rPr>
        <w:t>E</w:t>
      </w:r>
      <w:r w:rsidR="00140196">
        <w:rPr>
          <w:rFonts w:cs="Arial"/>
          <w:szCs w:val="28"/>
        </w:rPr>
        <w:t xml:space="preserve">nsure the appropriate DOR staff receive the information from Sarah Issacs regarding self-employment and have the SRC follow up. </w:t>
      </w:r>
    </w:p>
    <w:p w14:paraId="1463D131" w14:textId="627B46B6" w:rsidR="009B6B06" w:rsidRDefault="009B6B06" w:rsidP="00140196">
      <w:pPr>
        <w:pStyle w:val="ListParagraph"/>
        <w:numPr>
          <w:ilvl w:val="1"/>
          <w:numId w:val="31"/>
        </w:numPr>
        <w:rPr>
          <w:rFonts w:cs="Arial"/>
          <w:szCs w:val="28"/>
        </w:rPr>
      </w:pPr>
      <w:r>
        <w:rPr>
          <w:rFonts w:cs="Arial"/>
          <w:szCs w:val="28"/>
        </w:rPr>
        <w:t xml:space="preserve">There is a need for the Rehabilitation Administration Manual </w:t>
      </w:r>
      <w:r w:rsidR="0002635A">
        <w:rPr>
          <w:rFonts w:cs="Arial"/>
          <w:szCs w:val="28"/>
        </w:rPr>
        <w:t>to provide accurate</w:t>
      </w:r>
      <w:r w:rsidR="003D043C">
        <w:rPr>
          <w:rFonts w:cs="Arial"/>
          <w:szCs w:val="28"/>
        </w:rPr>
        <w:t xml:space="preserve"> and updated</w:t>
      </w:r>
      <w:r w:rsidR="0002635A">
        <w:rPr>
          <w:rFonts w:cs="Arial"/>
          <w:szCs w:val="28"/>
        </w:rPr>
        <w:t xml:space="preserve"> information on self-employment</w:t>
      </w:r>
      <w:r w:rsidR="003D043C">
        <w:rPr>
          <w:rFonts w:cs="Arial"/>
          <w:szCs w:val="28"/>
        </w:rPr>
        <w:t>.</w:t>
      </w:r>
      <w:r>
        <w:rPr>
          <w:rFonts w:cs="Arial"/>
          <w:szCs w:val="28"/>
        </w:rPr>
        <w:t xml:space="preserve"> </w:t>
      </w:r>
    </w:p>
    <w:p w14:paraId="7469A247" w14:textId="2E549560" w:rsidR="00140196" w:rsidRDefault="00140196" w:rsidP="00140196">
      <w:pPr>
        <w:pStyle w:val="ListParagraph"/>
        <w:numPr>
          <w:ilvl w:val="1"/>
          <w:numId w:val="31"/>
        </w:numPr>
        <w:rPr>
          <w:rFonts w:cs="Arial"/>
          <w:szCs w:val="28"/>
        </w:rPr>
      </w:pPr>
      <w:r w:rsidRPr="00140196">
        <w:rPr>
          <w:rFonts w:cs="Arial"/>
          <w:szCs w:val="28"/>
        </w:rPr>
        <w:t>Ensure DOR staff are receiving training on self-employment.</w:t>
      </w:r>
    </w:p>
    <w:p w14:paraId="4CAC5CFC" w14:textId="0F5239EF" w:rsidR="00140196" w:rsidRDefault="009B6B06" w:rsidP="006A1B1A">
      <w:pPr>
        <w:pStyle w:val="ListParagraph"/>
        <w:numPr>
          <w:ilvl w:val="1"/>
          <w:numId w:val="31"/>
        </w:numPr>
        <w:rPr>
          <w:rFonts w:cs="Arial"/>
          <w:szCs w:val="28"/>
        </w:rPr>
      </w:pPr>
      <w:r w:rsidRPr="009B6B06">
        <w:rPr>
          <w:rFonts w:cs="Arial"/>
          <w:szCs w:val="28"/>
        </w:rPr>
        <w:t>Agreement that the term “self-employment” is fine in the context of DOR and VR Services</w:t>
      </w:r>
      <w:r>
        <w:rPr>
          <w:rFonts w:cs="Arial"/>
          <w:szCs w:val="28"/>
        </w:rPr>
        <w:t xml:space="preserve"> as it is the term that is used within regulations</w:t>
      </w:r>
      <w:r w:rsidRPr="009B6B06">
        <w:rPr>
          <w:rFonts w:cs="Arial"/>
          <w:szCs w:val="28"/>
        </w:rPr>
        <w:t xml:space="preserve"> (there had been a suggestion to</w:t>
      </w:r>
      <w:r>
        <w:rPr>
          <w:rFonts w:cs="Arial"/>
          <w:szCs w:val="28"/>
        </w:rPr>
        <w:t xml:space="preserve"> instead</w:t>
      </w:r>
      <w:r w:rsidRPr="009B6B06">
        <w:rPr>
          <w:rFonts w:cs="Arial"/>
          <w:szCs w:val="28"/>
        </w:rPr>
        <w:t xml:space="preserve"> utilize the term</w:t>
      </w:r>
      <w:r w:rsidR="003368EC">
        <w:rPr>
          <w:rFonts w:cs="Arial"/>
          <w:szCs w:val="28"/>
        </w:rPr>
        <w:t xml:space="preserve"> “entrepreneur”). </w:t>
      </w:r>
      <w:r w:rsidRPr="009B6B06">
        <w:rPr>
          <w:rFonts w:cs="Arial"/>
          <w:szCs w:val="28"/>
        </w:rPr>
        <w:t xml:space="preserve"> </w:t>
      </w:r>
    </w:p>
    <w:p w14:paraId="0CA48F16" w14:textId="714A5E1B" w:rsidR="009B6B06" w:rsidRPr="009B6B06" w:rsidRDefault="003D043C" w:rsidP="006A1B1A">
      <w:pPr>
        <w:pStyle w:val="ListParagraph"/>
        <w:numPr>
          <w:ilvl w:val="1"/>
          <w:numId w:val="31"/>
        </w:numPr>
        <w:rPr>
          <w:rFonts w:cs="Arial"/>
          <w:szCs w:val="28"/>
        </w:rPr>
      </w:pPr>
      <w:r>
        <w:rPr>
          <w:rFonts w:cs="Arial"/>
          <w:szCs w:val="28"/>
        </w:rPr>
        <w:t>There is c</w:t>
      </w:r>
      <w:r w:rsidR="009B6B06">
        <w:rPr>
          <w:rFonts w:cs="Arial"/>
          <w:szCs w:val="28"/>
        </w:rPr>
        <w:t xml:space="preserve">ontinued interest in exploring the </w:t>
      </w:r>
      <w:r w:rsidR="003368EC">
        <w:rPr>
          <w:rFonts w:cs="Arial"/>
          <w:szCs w:val="28"/>
        </w:rPr>
        <w:t xml:space="preserve">possible recommendation of creating a </w:t>
      </w:r>
      <w:r w:rsidR="009B6B06">
        <w:rPr>
          <w:rFonts w:cs="Arial"/>
          <w:szCs w:val="28"/>
        </w:rPr>
        <w:t>team of VR Counselors who specialize in self-employment</w:t>
      </w:r>
      <w:r w:rsidR="0002635A">
        <w:rPr>
          <w:rFonts w:cs="Arial"/>
          <w:szCs w:val="28"/>
        </w:rPr>
        <w:t>.</w:t>
      </w:r>
    </w:p>
    <w:p w14:paraId="1B526F1E" w14:textId="530DC425" w:rsidR="00514606" w:rsidRPr="0006478C" w:rsidRDefault="00514606" w:rsidP="00745D07">
      <w:pPr>
        <w:rPr>
          <w:rFonts w:cs="Arial"/>
          <w:szCs w:val="28"/>
        </w:rPr>
      </w:pPr>
    </w:p>
    <w:p w14:paraId="4C976E93" w14:textId="188E17AB" w:rsidR="00EE6B4C" w:rsidRPr="0006478C" w:rsidRDefault="00514606" w:rsidP="007D56D9">
      <w:pPr>
        <w:pStyle w:val="Heading1"/>
        <w:rPr>
          <w:rFonts w:cs="Arial"/>
          <w:szCs w:val="28"/>
        </w:rPr>
      </w:pPr>
      <w:r w:rsidRPr="0006478C">
        <w:rPr>
          <w:rFonts w:cs="Arial"/>
          <w:szCs w:val="28"/>
        </w:rPr>
        <w:t xml:space="preserve">Item </w:t>
      </w:r>
      <w:r w:rsidR="006D3AFA" w:rsidRPr="0006478C">
        <w:rPr>
          <w:rFonts w:cs="Arial"/>
          <w:szCs w:val="28"/>
        </w:rPr>
        <w:t>7</w:t>
      </w:r>
      <w:r w:rsidRPr="0006478C">
        <w:rPr>
          <w:rFonts w:cs="Arial"/>
          <w:szCs w:val="28"/>
        </w:rPr>
        <w:t>: Adjourn</w:t>
      </w:r>
      <w:r w:rsidR="0002635A">
        <w:rPr>
          <w:rFonts w:cs="Arial"/>
          <w:szCs w:val="28"/>
        </w:rPr>
        <w:t xml:space="preserve"> </w:t>
      </w:r>
      <w:r w:rsidR="00745D07" w:rsidRPr="0006478C">
        <w:rPr>
          <w:rFonts w:cs="Arial"/>
          <w:szCs w:val="28"/>
        </w:rPr>
        <w:t xml:space="preserve"> </w:t>
      </w:r>
    </w:p>
    <w:p w14:paraId="148BC411" w14:textId="7F61E09D" w:rsidR="003B3135" w:rsidRPr="0006478C" w:rsidRDefault="0002635A" w:rsidP="00920AB5">
      <w:pPr>
        <w:shd w:val="clear" w:color="auto" w:fill="FFFFFF"/>
        <w:rPr>
          <w:rFonts w:cs="Arial"/>
          <w:color w:val="212121"/>
          <w:szCs w:val="28"/>
        </w:rPr>
      </w:pPr>
      <w:r>
        <w:rPr>
          <w:rFonts w:cs="Arial"/>
          <w:color w:val="212121"/>
          <w:szCs w:val="28"/>
        </w:rPr>
        <w:t>The meeting was adjourned at 12:00 p.m.</w:t>
      </w:r>
    </w:p>
    <w:p w14:paraId="0FB7A082" w14:textId="12954E68" w:rsidR="005D1BC0" w:rsidRPr="0006478C" w:rsidRDefault="005D1BC0">
      <w:pPr>
        <w:spacing w:after="160" w:line="259" w:lineRule="auto"/>
        <w:rPr>
          <w:rFonts w:cs="Arial"/>
          <w:color w:val="212121"/>
          <w:szCs w:val="28"/>
        </w:rPr>
      </w:pPr>
      <w:r w:rsidRPr="0006478C">
        <w:rPr>
          <w:rFonts w:cs="Arial"/>
          <w:color w:val="212121"/>
          <w:szCs w:val="28"/>
        </w:rPr>
        <w:br w:type="page"/>
      </w:r>
    </w:p>
    <w:p w14:paraId="04EDA195" w14:textId="65E3F9C8" w:rsidR="005D1BC0" w:rsidRPr="0006478C" w:rsidRDefault="005D1BC0" w:rsidP="001B233E">
      <w:pPr>
        <w:pStyle w:val="Heading1"/>
        <w:rPr>
          <w:szCs w:val="28"/>
        </w:rPr>
      </w:pPr>
      <w:bookmarkStart w:id="1" w:name="_Appendix_A_–"/>
      <w:bookmarkEnd w:id="1"/>
      <w:r w:rsidRPr="0006478C">
        <w:rPr>
          <w:szCs w:val="28"/>
        </w:rPr>
        <w:lastRenderedPageBreak/>
        <w:t>Appendix A – Supported Employment Presentation</w:t>
      </w:r>
    </w:p>
    <w:p w14:paraId="6F67CE5C" w14:textId="77777777" w:rsidR="005D1BC0" w:rsidRPr="0006478C" w:rsidRDefault="005D1BC0" w:rsidP="00920AB5">
      <w:pPr>
        <w:shd w:val="clear" w:color="auto" w:fill="FFFFFF"/>
        <w:rPr>
          <w:rFonts w:cs="Arial"/>
          <w:color w:val="212121"/>
          <w:szCs w:val="28"/>
        </w:rPr>
      </w:pPr>
    </w:p>
    <w:p w14:paraId="52103E90" w14:textId="77777777" w:rsidR="005D1BC0" w:rsidRPr="0006478C" w:rsidRDefault="005D1BC0" w:rsidP="005D1BC0">
      <w:pPr>
        <w:pStyle w:val="Heading2"/>
        <w:rPr>
          <w:rFonts w:cs="Arial"/>
          <w:b/>
          <w:bCs/>
          <w:szCs w:val="28"/>
        </w:rPr>
      </w:pPr>
      <w:r w:rsidRPr="0006478C">
        <w:rPr>
          <w:rFonts w:cs="Arial"/>
          <w:b/>
          <w:bCs/>
          <w:szCs w:val="28"/>
        </w:rPr>
        <w:t>Slide 1:  Supported Employment: An Overview</w:t>
      </w:r>
    </w:p>
    <w:p w14:paraId="543D0B27" w14:textId="77777777" w:rsidR="005D1BC0" w:rsidRPr="0006478C" w:rsidRDefault="005D1BC0" w:rsidP="005D1BC0">
      <w:pPr>
        <w:rPr>
          <w:szCs w:val="28"/>
        </w:rPr>
      </w:pPr>
    </w:p>
    <w:p w14:paraId="44E1C623" w14:textId="77777777" w:rsidR="005D1BC0" w:rsidRPr="0006478C" w:rsidRDefault="005D1BC0" w:rsidP="005D1BC0">
      <w:pPr>
        <w:ind w:right="720"/>
        <w:rPr>
          <w:rFonts w:cs="Arial"/>
          <w:szCs w:val="28"/>
        </w:rPr>
      </w:pPr>
      <w:r w:rsidRPr="0006478C">
        <w:rPr>
          <w:rFonts w:cs="Arial"/>
          <w:szCs w:val="28"/>
        </w:rPr>
        <w:t>[Image:  DOR Logo with banner reading “60 years 1963-2023”]</w:t>
      </w:r>
    </w:p>
    <w:p w14:paraId="247B06EE" w14:textId="77777777" w:rsidR="005D1BC0" w:rsidRPr="0006478C" w:rsidRDefault="005D1BC0" w:rsidP="005D1BC0">
      <w:pPr>
        <w:ind w:left="720" w:right="720"/>
        <w:rPr>
          <w:rFonts w:cs="Arial"/>
          <w:szCs w:val="28"/>
        </w:rPr>
      </w:pPr>
    </w:p>
    <w:p w14:paraId="1EC5A69D" w14:textId="439CDF1A" w:rsidR="005D1BC0" w:rsidRPr="0006478C" w:rsidRDefault="005D1BC0" w:rsidP="005D1BC0">
      <w:pPr>
        <w:pStyle w:val="Heading2"/>
        <w:rPr>
          <w:rFonts w:cs="Arial"/>
          <w:b/>
          <w:bCs/>
          <w:szCs w:val="28"/>
        </w:rPr>
      </w:pPr>
      <w:r w:rsidRPr="0006478C">
        <w:rPr>
          <w:rFonts w:cs="Arial"/>
          <w:b/>
          <w:bCs/>
          <w:szCs w:val="28"/>
        </w:rPr>
        <w:t>Slide 2:  Title VI Grant Funding for Supported Employment</w:t>
      </w:r>
    </w:p>
    <w:p w14:paraId="493ADD63" w14:textId="6FE90C4B" w:rsidR="005D1BC0" w:rsidRPr="0006478C" w:rsidRDefault="005D1BC0" w:rsidP="005D1BC0">
      <w:pPr>
        <w:pStyle w:val="ListParagraph"/>
        <w:numPr>
          <w:ilvl w:val="0"/>
          <w:numId w:val="14"/>
        </w:numPr>
        <w:rPr>
          <w:rFonts w:cs="Arial"/>
          <w:szCs w:val="28"/>
        </w:rPr>
      </w:pPr>
      <w:r w:rsidRPr="0006478C">
        <w:rPr>
          <w:rFonts w:cs="Arial"/>
          <w:szCs w:val="28"/>
          <w:highlight w:val="white"/>
        </w:rPr>
        <w:t>Authorized by the Rehabilitation Act of 1973, as amended by WIOA.</w:t>
      </w:r>
    </w:p>
    <w:p w14:paraId="724BFF78" w14:textId="4A38134C" w:rsidR="005D1BC0" w:rsidRPr="0006478C" w:rsidRDefault="005D1BC0" w:rsidP="005D1BC0">
      <w:pPr>
        <w:pStyle w:val="ListParagraph"/>
        <w:numPr>
          <w:ilvl w:val="0"/>
          <w:numId w:val="14"/>
        </w:numPr>
        <w:rPr>
          <w:rFonts w:cs="Arial"/>
          <w:szCs w:val="28"/>
        </w:rPr>
      </w:pPr>
      <w:r w:rsidRPr="0006478C">
        <w:rPr>
          <w:rFonts w:cs="Arial"/>
          <w:szCs w:val="28"/>
          <w:highlight w:val="white"/>
        </w:rPr>
        <w:t>To assist in developing collaborative programs to support individuals with most significant disabilities, including youth with most significant disabilities</w:t>
      </w:r>
      <w:r w:rsidRPr="0006478C">
        <w:rPr>
          <w:rFonts w:cs="Arial"/>
          <w:szCs w:val="28"/>
        </w:rPr>
        <w:t>.</w:t>
      </w:r>
    </w:p>
    <w:p w14:paraId="68949CFF" w14:textId="77777777" w:rsidR="005D1BC0" w:rsidRPr="0006478C" w:rsidRDefault="005D1BC0" w:rsidP="005D1BC0">
      <w:pPr>
        <w:pStyle w:val="ListParagraph"/>
        <w:numPr>
          <w:ilvl w:val="0"/>
          <w:numId w:val="14"/>
        </w:numPr>
        <w:rPr>
          <w:rFonts w:cs="Arial"/>
          <w:szCs w:val="28"/>
        </w:rPr>
      </w:pPr>
      <w:r w:rsidRPr="0006478C">
        <w:rPr>
          <w:rFonts w:cs="Arial"/>
          <w:szCs w:val="28"/>
          <w:highlight w:val="white"/>
        </w:rPr>
        <w:t>To provide supported employment services after an individual gets a job, for up to 24 months, and to supplement other VR services necessary to achieve competitive integrated employment.</w:t>
      </w:r>
    </w:p>
    <w:p w14:paraId="2857CCF6" w14:textId="64493262" w:rsidR="005D1BC0" w:rsidRPr="0006478C" w:rsidRDefault="005D1BC0" w:rsidP="005D1BC0">
      <w:pPr>
        <w:ind w:left="360"/>
        <w:rPr>
          <w:szCs w:val="28"/>
        </w:rPr>
      </w:pPr>
    </w:p>
    <w:p w14:paraId="4B5EC98A" w14:textId="54134B9C" w:rsidR="005D1BC0" w:rsidRPr="0006478C" w:rsidRDefault="005D1BC0" w:rsidP="005D1BC0">
      <w:pPr>
        <w:pStyle w:val="Heading2"/>
        <w:rPr>
          <w:rFonts w:cs="Arial"/>
          <w:b/>
          <w:bCs/>
          <w:szCs w:val="28"/>
        </w:rPr>
      </w:pPr>
      <w:r w:rsidRPr="0006478C">
        <w:rPr>
          <w:rFonts w:cs="Arial"/>
          <w:b/>
          <w:bCs/>
          <w:szCs w:val="28"/>
        </w:rPr>
        <w:t>Slide 3:  What is Supported Employment?</w:t>
      </w:r>
    </w:p>
    <w:p w14:paraId="0E669A9D" w14:textId="03488F05" w:rsidR="005D1BC0" w:rsidRPr="0006478C" w:rsidRDefault="005D1BC0" w:rsidP="005D1BC0">
      <w:pPr>
        <w:pStyle w:val="ListParagraph"/>
        <w:numPr>
          <w:ilvl w:val="0"/>
          <w:numId w:val="15"/>
        </w:numPr>
        <w:rPr>
          <w:rFonts w:cs="Arial"/>
          <w:szCs w:val="28"/>
        </w:rPr>
      </w:pPr>
      <w:r w:rsidRPr="0006478C">
        <w:rPr>
          <w:rFonts w:cs="Arial"/>
          <w:szCs w:val="28"/>
          <w:highlight w:val="white"/>
        </w:rPr>
        <w:t>Supported employment means competitive integrated employment.</w:t>
      </w:r>
    </w:p>
    <w:p w14:paraId="11462698" w14:textId="11A36326" w:rsidR="005D1BC0" w:rsidRPr="0006478C" w:rsidRDefault="005D1BC0" w:rsidP="005D1BC0">
      <w:pPr>
        <w:pStyle w:val="ListParagraph"/>
        <w:numPr>
          <w:ilvl w:val="0"/>
          <w:numId w:val="15"/>
        </w:numPr>
        <w:rPr>
          <w:rFonts w:cs="Arial"/>
          <w:szCs w:val="28"/>
        </w:rPr>
      </w:pPr>
      <w:r w:rsidRPr="0006478C">
        <w:rPr>
          <w:rFonts w:cs="Arial"/>
          <w:szCs w:val="28"/>
          <w:highlight w:val="white"/>
        </w:rPr>
        <w:t>Employment is individualized and customized consistent with an individual’s unique strengths, abilities, interests, and informed choice.</w:t>
      </w:r>
    </w:p>
    <w:p w14:paraId="4B43597A" w14:textId="77777777" w:rsidR="005D1BC0" w:rsidRPr="0006478C" w:rsidRDefault="005D1BC0" w:rsidP="005D1BC0">
      <w:pPr>
        <w:pStyle w:val="ListParagraph"/>
        <w:numPr>
          <w:ilvl w:val="0"/>
          <w:numId w:val="15"/>
        </w:numPr>
        <w:rPr>
          <w:rFonts w:cs="Arial"/>
          <w:szCs w:val="28"/>
        </w:rPr>
      </w:pPr>
      <w:r w:rsidRPr="0006478C">
        <w:rPr>
          <w:rFonts w:cs="Arial"/>
          <w:szCs w:val="28"/>
          <w:highlight w:val="white"/>
        </w:rPr>
        <w:t>For individuals who have not historically been successful in achieving competitive integrated employment because of significance of disability and subsequent need for more intensive supported employment services.</w:t>
      </w:r>
    </w:p>
    <w:p w14:paraId="71CC895D" w14:textId="77777777" w:rsidR="005D1BC0" w:rsidRPr="0006478C" w:rsidRDefault="005D1BC0" w:rsidP="005D1BC0">
      <w:pPr>
        <w:pStyle w:val="ListParagraph"/>
        <w:rPr>
          <w:rFonts w:cs="Arial"/>
          <w:szCs w:val="28"/>
        </w:rPr>
      </w:pPr>
    </w:p>
    <w:p w14:paraId="4EBEB224" w14:textId="441F625A" w:rsidR="005D1BC0" w:rsidRPr="0006478C" w:rsidRDefault="005D1BC0" w:rsidP="005D1BC0">
      <w:pPr>
        <w:pStyle w:val="Heading2"/>
        <w:rPr>
          <w:rFonts w:cs="Arial"/>
          <w:b/>
          <w:bCs/>
          <w:szCs w:val="28"/>
        </w:rPr>
      </w:pPr>
      <w:r w:rsidRPr="0006478C">
        <w:rPr>
          <w:rFonts w:cs="Arial"/>
          <w:b/>
          <w:bCs/>
          <w:szCs w:val="28"/>
        </w:rPr>
        <w:t>Slide 4:  What is a Supported Employment Service?</w:t>
      </w:r>
    </w:p>
    <w:p w14:paraId="04C4E493" w14:textId="030CF45C" w:rsidR="005D1BC0" w:rsidRPr="0006478C" w:rsidRDefault="005D1BC0" w:rsidP="005D1BC0">
      <w:pPr>
        <w:pStyle w:val="ListParagraph"/>
        <w:numPr>
          <w:ilvl w:val="0"/>
          <w:numId w:val="16"/>
        </w:numPr>
        <w:rPr>
          <w:rFonts w:cs="Arial"/>
          <w:szCs w:val="28"/>
        </w:rPr>
      </w:pPr>
      <w:r w:rsidRPr="0006478C">
        <w:rPr>
          <w:rFonts w:cs="Arial"/>
          <w:szCs w:val="28"/>
          <w:highlight w:val="white"/>
        </w:rPr>
        <w:t>Ongoing services from time of placement until transition to extended services.</w:t>
      </w:r>
    </w:p>
    <w:p w14:paraId="1081988C" w14:textId="77777777" w:rsidR="005D1BC0" w:rsidRPr="0006478C" w:rsidRDefault="005D1BC0" w:rsidP="005D1BC0">
      <w:pPr>
        <w:pStyle w:val="ListParagraph"/>
        <w:numPr>
          <w:ilvl w:val="0"/>
          <w:numId w:val="16"/>
        </w:numPr>
        <w:rPr>
          <w:rFonts w:cs="Arial"/>
          <w:szCs w:val="28"/>
        </w:rPr>
      </w:pPr>
      <w:r w:rsidRPr="0006478C">
        <w:rPr>
          <w:rFonts w:cs="Arial"/>
          <w:szCs w:val="28"/>
          <w:highlight w:val="white"/>
        </w:rPr>
        <w:t>For a period not to exceed 24 months, unless special circumstances.</w:t>
      </w:r>
    </w:p>
    <w:p w14:paraId="56C5EEBA" w14:textId="230722D9" w:rsidR="005D1BC0" w:rsidRPr="0006478C" w:rsidRDefault="005D1BC0" w:rsidP="005D1BC0">
      <w:pPr>
        <w:pStyle w:val="ListParagraph"/>
        <w:numPr>
          <w:ilvl w:val="0"/>
          <w:numId w:val="16"/>
        </w:numPr>
        <w:rPr>
          <w:rFonts w:cs="Arial"/>
          <w:szCs w:val="28"/>
        </w:rPr>
      </w:pPr>
      <w:r w:rsidRPr="0006478C">
        <w:rPr>
          <w:rFonts w:cs="Arial"/>
          <w:szCs w:val="28"/>
          <w:highlight w:val="white"/>
        </w:rPr>
        <w:t>May include natural supports.</w:t>
      </w:r>
    </w:p>
    <w:p w14:paraId="593C3826" w14:textId="3F99C0E3" w:rsidR="005D1BC0" w:rsidRPr="0006478C" w:rsidRDefault="005D1BC0" w:rsidP="005D1BC0">
      <w:pPr>
        <w:pStyle w:val="ListParagraph"/>
        <w:numPr>
          <w:ilvl w:val="0"/>
          <w:numId w:val="16"/>
        </w:numPr>
        <w:rPr>
          <w:rFonts w:cs="Arial"/>
          <w:szCs w:val="28"/>
        </w:rPr>
      </w:pPr>
      <w:r w:rsidRPr="0006478C">
        <w:rPr>
          <w:rFonts w:cs="Arial"/>
          <w:szCs w:val="28"/>
          <w:highlight w:val="white"/>
        </w:rPr>
        <w:t>Job coaching is a foundational ongoing support service.</w:t>
      </w:r>
      <w:r w:rsidRPr="0006478C">
        <w:rPr>
          <w:szCs w:val="28"/>
        </w:rPr>
        <w:br/>
      </w:r>
    </w:p>
    <w:p w14:paraId="764301FD" w14:textId="08898FB2" w:rsidR="005D1BC0" w:rsidRPr="0006478C" w:rsidRDefault="005D1BC0" w:rsidP="005D1BC0">
      <w:pPr>
        <w:pStyle w:val="Heading2"/>
        <w:rPr>
          <w:rFonts w:cs="Arial"/>
          <w:b/>
          <w:bCs/>
          <w:szCs w:val="28"/>
        </w:rPr>
      </w:pPr>
      <w:r w:rsidRPr="0006478C">
        <w:rPr>
          <w:rFonts w:cs="Arial"/>
          <w:b/>
          <w:bCs/>
          <w:szCs w:val="28"/>
        </w:rPr>
        <w:t xml:space="preserve">Slide 5:  What is Job Coaching? </w:t>
      </w:r>
    </w:p>
    <w:p w14:paraId="03B0453E" w14:textId="205A613B" w:rsidR="005D1BC0" w:rsidRPr="0006478C" w:rsidRDefault="005D1BC0" w:rsidP="005D1BC0">
      <w:pPr>
        <w:pStyle w:val="ListParagraph"/>
        <w:numPr>
          <w:ilvl w:val="0"/>
          <w:numId w:val="17"/>
        </w:numPr>
        <w:rPr>
          <w:rFonts w:cs="Arial"/>
          <w:szCs w:val="28"/>
        </w:rPr>
      </w:pPr>
      <w:r w:rsidRPr="0006478C">
        <w:rPr>
          <w:rFonts w:cs="Arial"/>
          <w:szCs w:val="28"/>
          <w:highlight w:val="white"/>
        </w:rPr>
        <w:t>On-the-job support to help individuals adjust to the workplace, learn job tasks, and build confidence.</w:t>
      </w:r>
    </w:p>
    <w:p w14:paraId="1C5D1898" w14:textId="458A3B43" w:rsidR="005D1BC0" w:rsidRPr="0006478C" w:rsidRDefault="005D1BC0" w:rsidP="005D1BC0">
      <w:pPr>
        <w:pStyle w:val="ListParagraph"/>
        <w:numPr>
          <w:ilvl w:val="0"/>
          <w:numId w:val="17"/>
        </w:numPr>
        <w:rPr>
          <w:rFonts w:cs="Arial"/>
          <w:szCs w:val="28"/>
        </w:rPr>
      </w:pPr>
      <w:r w:rsidRPr="0006478C">
        <w:rPr>
          <w:rFonts w:cs="Arial"/>
          <w:szCs w:val="28"/>
          <w:highlight w:val="white"/>
        </w:rPr>
        <w:t>Gradually reduced until the individual can perform most, if not all, the job duties without assistance.</w:t>
      </w:r>
    </w:p>
    <w:p w14:paraId="3A85341E" w14:textId="631048FD" w:rsidR="005D1BC0" w:rsidRPr="0006478C" w:rsidRDefault="005D1BC0" w:rsidP="005D1BC0">
      <w:pPr>
        <w:pStyle w:val="ListParagraph"/>
        <w:numPr>
          <w:ilvl w:val="0"/>
          <w:numId w:val="17"/>
        </w:numPr>
        <w:rPr>
          <w:szCs w:val="28"/>
        </w:rPr>
      </w:pPr>
      <w:r w:rsidRPr="0006478C">
        <w:rPr>
          <w:rFonts w:cs="Arial"/>
          <w:szCs w:val="28"/>
        </w:rPr>
        <w:t>Goal is to help the individual be successful in the job</w:t>
      </w:r>
      <w:r w:rsidRPr="0006478C">
        <w:rPr>
          <w:rFonts w:cs="Arial"/>
          <w:szCs w:val="28"/>
        </w:rPr>
        <w:br/>
      </w:r>
    </w:p>
    <w:p w14:paraId="232D45E1" w14:textId="77777777" w:rsidR="005D1BC0" w:rsidRPr="0006478C" w:rsidRDefault="005D1BC0" w:rsidP="005D1BC0">
      <w:pPr>
        <w:pStyle w:val="Heading2"/>
        <w:rPr>
          <w:rFonts w:cs="Arial"/>
          <w:b/>
          <w:bCs/>
          <w:szCs w:val="28"/>
        </w:rPr>
      </w:pPr>
      <w:r w:rsidRPr="0006478C">
        <w:rPr>
          <w:rFonts w:cs="Arial"/>
          <w:b/>
          <w:bCs/>
          <w:szCs w:val="28"/>
        </w:rPr>
        <w:t>Slide 6:  How is Progress Evaluated?</w:t>
      </w:r>
    </w:p>
    <w:p w14:paraId="69C23CED" w14:textId="32167893" w:rsidR="005D1BC0" w:rsidRPr="0006478C" w:rsidRDefault="005D1BC0" w:rsidP="001B233E">
      <w:pPr>
        <w:pStyle w:val="ListParagraph"/>
        <w:numPr>
          <w:ilvl w:val="0"/>
          <w:numId w:val="18"/>
        </w:numPr>
        <w:rPr>
          <w:rFonts w:cs="Arial"/>
          <w:szCs w:val="28"/>
        </w:rPr>
      </w:pPr>
      <w:r w:rsidRPr="0006478C">
        <w:rPr>
          <w:rFonts w:cs="Arial"/>
          <w:szCs w:val="28"/>
          <w:highlight w:val="white"/>
        </w:rPr>
        <w:t>Collaboration between the counselor, consumer, and service provider.</w:t>
      </w:r>
    </w:p>
    <w:p w14:paraId="5BA84C07" w14:textId="1359143F" w:rsidR="005D1BC0" w:rsidRPr="0006478C" w:rsidRDefault="005D1BC0" w:rsidP="005D1BC0">
      <w:pPr>
        <w:pStyle w:val="ListParagraph"/>
        <w:numPr>
          <w:ilvl w:val="0"/>
          <w:numId w:val="18"/>
        </w:numPr>
        <w:rPr>
          <w:rFonts w:cs="Arial"/>
          <w:szCs w:val="28"/>
        </w:rPr>
      </w:pPr>
      <w:r w:rsidRPr="0006478C">
        <w:rPr>
          <w:rFonts w:cs="Arial"/>
          <w:szCs w:val="28"/>
          <w:highlight w:val="white"/>
        </w:rPr>
        <w:t>Demonstration of work skills, efficiency, and productivity</w:t>
      </w:r>
    </w:p>
    <w:p w14:paraId="62799304" w14:textId="77777777" w:rsidR="005D1BC0" w:rsidRPr="0006478C" w:rsidRDefault="005D1BC0" w:rsidP="005D1BC0">
      <w:pPr>
        <w:pStyle w:val="ListParagraph"/>
        <w:numPr>
          <w:ilvl w:val="0"/>
          <w:numId w:val="18"/>
        </w:numPr>
        <w:rPr>
          <w:rFonts w:cs="Arial"/>
          <w:szCs w:val="28"/>
        </w:rPr>
      </w:pPr>
      <w:r w:rsidRPr="0006478C">
        <w:rPr>
          <w:rFonts w:cs="Arial"/>
          <w:szCs w:val="28"/>
          <w:highlight w:val="white"/>
        </w:rPr>
        <w:t>Mastery of soft skills:</w:t>
      </w:r>
    </w:p>
    <w:p w14:paraId="6D09DE90" w14:textId="77777777" w:rsidR="005D1BC0" w:rsidRPr="0006478C" w:rsidRDefault="005D1BC0" w:rsidP="005D1BC0">
      <w:pPr>
        <w:pStyle w:val="ListParagraph"/>
        <w:numPr>
          <w:ilvl w:val="1"/>
          <w:numId w:val="18"/>
        </w:numPr>
        <w:rPr>
          <w:rFonts w:cs="Arial"/>
          <w:szCs w:val="28"/>
        </w:rPr>
      </w:pPr>
      <w:r w:rsidRPr="0006478C">
        <w:rPr>
          <w:rFonts w:cs="Arial"/>
          <w:szCs w:val="28"/>
          <w:highlight w:val="white"/>
        </w:rPr>
        <w:lastRenderedPageBreak/>
        <w:t>Independence</w:t>
      </w:r>
    </w:p>
    <w:p w14:paraId="2EAC198C" w14:textId="77777777" w:rsidR="005D1BC0" w:rsidRPr="0006478C" w:rsidRDefault="005D1BC0" w:rsidP="005D1BC0">
      <w:pPr>
        <w:pStyle w:val="ListParagraph"/>
        <w:numPr>
          <w:ilvl w:val="1"/>
          <w:numId w:val="18"/>
        </w:numPr>
        <w:rPr>
          <w:rFonts w:cs="Arial"/>
          <w:szCs w:val="28"/>
        </w:rPr>
      </w:pPr>
      <w:r w:rsidRPr="0006478C">
        <w:rPr>
          <w:rFonts w:cs="Arial"/>
          <w:szCs w:val="28"/>
          <w:highlight w:val="white"/>
        </w:rPr>
        <w:t>Self-advocacy</w:t>
      </w:r>
    </w:p>
    <w:p w14:paraId="1B5CE49B" w14:textId="77777777" w:rsidR="005D1BC0" w:rsidRPr="0006478C" w:rsidRDefault="005D1BC0" w:rsidP="005D1BC0">
      <w:pPr>
        <w:pStyle w:val="ListParagraph"/>
        <w:numPr>
          <w:ilvl w:val="1"/>
          <w:numId w:val="18"/>
        </w:numPr>
        <w:rPr>
          <w:rFonts w:cs="Arial"/>
          <w:szCs w:val="28"/>
        </w:rPr>
      </w:pPr>
      <w:r w:rsidRPr="0006478C">
        <w:rPr>
          <w:rFonts w:cs="Arial"/>
          <w:szCs w:val="28"/>
          <w:highlight w:val="white"/>
        </w:rPr>
        <w:t>Social and interpersonal skills</w:t>
      </w:r>
    </w:p>
    <w:p w14:paraId="55BAD27E" w14:textId="77777777" w:rsidR="005D1BC0" w:rsidRPr="0006478C" w:rsidRDefault="005D1BC0" w:rsidP="005D1BC0">
      <w:pPr>
        <w:pStyle w:val="ListParagraph"/>
        <w:numPr>
          <w:ilvl w:val="1"/>
          <w:numId w:val="18"/>
        </w:numPr>
        <w:rPr>
          <w:rFonts w:cs="Arial"/>
          <w:szCs w:val="28"/>
        </w:rPr>
      </w:pPr>
      <w:r w:rsidRPr="0006478C">
        <w:rPr>
          <w:rFonts w:cs="Arial"/>
          <w:szCs w:val="28"/>
          <w:highlight w:val="white"/>
        </w:rPr>
        <w:t>Work ethic</w:t>
      </w:r>
    </w:p>
    <w:p w14:paraId="7B2A10D9" w14:textId="77777777" w:rsidR="005D1BC0" w:rsidRPr="0006478C" w:rsidRDefault="005D1BC0" w:rsidP="005D1BC0">
      <w:pPr>
        <w:pStyle w:val="ListParagraph"/>
        <w:numPr>
          <w:ilvl w:val="1"/>
          <w:numId w:val="18"/>
        </w:numPr>
        <w:rPr>
          <w:rFonts w:cs="Arial"/>
          <w:szCs w:val="28"/>
        </w:rPr>
      </w:pPr>
      <w:r w:rsidRPr="0006478C">
        <w:rPr>
          <w:rFonts w:cs="Arial"/>
          <w:szCs w:val="28"/>
          <w:highlight w:val="white"/>
        </w:rPr>
        <w:t>Time management</w:t>
      </w:r>
    </w:p>
    <w:p w14:paraId="17D55650" w14:textId="77777777" w:rsidR="005D1BC0" w:rsidRPr="0006478C" w:rsidRDefault="005D1BC0" w:rsidP="005D1BC0">
      <w:pPr>
        <w:pStyle w:val="ListParagraph"/>
        <w:numPr>
          <w:ilvl w:val="1"/>
          <w:numId w:val="18"/>
        </w:numPr>
        <w:rPr>
          <w:rFonts w:cs="Arial"/>
          <w:szCs w:val="28"/>
        </w:rPr>
      </w:pPr>
      <w:r w:rsidRPr="0006478C">
        <w:rPr>
          <w:rFonts w:cs="Arial"/>
          <w:szCs w:val="28"/>
          <w:highlight w:val="white"/>
        </w:rPr>
        <w:t>Use of public transportation</w:t>
      </w:r>
    </w:p>
    <w:p w14:paraId="6E5CE9BE" w14:textId="77777777" w:rsidR="005D1BC0" w:rsidRPr="0006478C" w:rsidRDefault="005D1BC0" w:rsidP="005D1BC0">
      <w:pPr>
        <w:pStyle w:val="ListParagraph"/>
        <w:rPr>
          <w:szCs w:val="28"/>
        </w:rPr>
      </w:pPr>
    </w:p>
    <w:p w14:paraId="7D7FFE14" w14:textId="77777777" w:rsidR="005D1BC0" w:rsidRPr="0006478C" w:rsidRDefault="005D1BC0" w:rsidP="005D1BC0">
      <w:pPr>
        <w:pStyle w:val="Heading2"/>
        <w:rPr>
          <w:rFonts w:cs="Arial"/>
          <w:b/>
          <w:bCs/>
          <w:szCs w:val="28"/>
          <w:highlight w:val="white"/>
        </w:rPr>
      </w:pPr>
      <w:r w:rsidRPr="0006478C">
        <w:rPr>
          <w:rFonts w:cs="Arial"/>
          <w:b/>
          <w:bCs/>
          <w:szCs w:val="28"/>
        </w:rPr>
        <w:t>Slide 7:  What is Different in a Plan for Supported Employment?</w:t>
      </w:r>
    </w:p>
    <w:p w14:paraId="59096722" w14:textId="0490156D" w:rsidR="005D1BC0" w:rsidRPr="0006478C" w:rsidRDefault="005D1BC0" w:rsidP="001B233E">
      <w:pPr>
        <w:pStyle w:val="ListParagraph"/>
        <w:numPr>
          <w:ilvl w:val="0"/>
          <w:numId w:val="19"/>
        </w:numPr>
        <w:rPr>
          <w:rFonts w:cs="Arial"/>
          <w:szCs w:val="28"/>
        </w:rPr>
      </w:pPr>
      <w:r w:rsidRPr="0006478C">
        <w:rPr>
          <w:rFonts w:cs="Arial"/>
          <w:szCs w:val="28"/>
          <w:highlight w:val="white"/>
        </w:rPr>
        <w:t>Includes all requirements of a traditional Individualized Plan for Employment.</w:t>
      </w:r>
    </w:p>
    <w:p w14:paraId="58C66F66" w14:textId="77777777" w:rsidR="005D1BC0" w:rsidRPr="0006478C" w:rsidRDefault="005D1BC0" w:rsidP="005D1BC0">
      <w:pPr>
        <w:pStyle w:val="ListParagraph"/>
        <w:numPr>
          <w:ilvl w:val="0"/>
          <w:numId w:val="20"/>
        </w:numPr>
        <w:rPr>
          <w:rFonts w:cs="Arial"/>
          <w:szCs w:val="28"/>
        </w:rPr>
      </w:pPr>
      <w:r w:rsidRPr="0006478C">
        <w:rPr>
          <w:rFonts w:cs="Arial"/>
          <w:szCs w:val="28"/>
          <w:highlight w:val="white"/>
        </w:rPr>
        <w:t>Adds Extended Services</w:t>
      </w:r>
    </w:p>
    <w:p w14:paraId="25C668C8" w14:textId="4DCF9081" w:rsidR="005D1BC0" w:rsidRPr="0006478C" w:rsidRDefault="005D1BC0" w:rsidP="001B233E">
      <w:pPr>
        <w:pStyle w:val="ListParagraph"/>
        <w:numPr>
          <w:ilvl w:val="0"/>
          <w:numId w:val="21"/>
        </w:numPr>
        <w:rPr>
          <w:rFonts w:cs="Arial"/>
          <w:szCs w:val="28"/>
        </w:rPr>
      </w:pPr>
      <w:r w:rsidRPr="0006478C">
        <w:rPr>
          <w:rFonts w:cs="Arial"/>
          <w:szCs w:val="28"/>
          <w:highlight w:val="white"/>
        </w:rPr>
        <w:t>Extended Services Agreement: written agreement between DOR and another entity that documents commitment to provide or cover the cost of providing Extended Services when the individual transitions from DOR.</w:t>
      </w:r>
    </w:p>
    <w:p w14:paraId="47AE76D4" w14:textId="77777777" w:rsidR="005D1BC0" w:rsidRPr="0006478C" w:rsidRDefault="005D1BC0" w:rsidP="005D1BC0">
      <w:pPr>
        <w:pStyle w:val="ListParagraph"/>
        <w:numPr>
          <w:ilvl w:val="0"/>
          <w:numId w:val="21"/>
        </w:numPr>
        <w:rPr>
          <w:rFonts w:cs="Arial"/>
          <w:szCs w:val="28"/>
        </w:rPr>
      </w:pPr>
      <w:r w:rsidRPr="0006478C">
        <w:rPr>
          <w:rFonts w:cs="Arial"/>
          <w:szCs w:val="28"/>
          <w:highlight w:val="white"/>
        </w:rPr>
        <w:t>If source is unclear, may state that there is a reasonable expectation that a source of Extended Services will become available.</w:t>
      </w:r>
    </w:p>
    <w:p w14:paraId="0B11895F" w14:textId="77777777" w:rsidR="005D1BC0" w:rsidRPr="0006478C" w:rsidRDefault="005D1BC0" w:rsidP="005D1BC0">
      <w:pPr>
        <w:rPr>
          <w:szCs w:val="28"/>
        </w:rPr>
      </w:pPr>
    </w:p>
    <w:p w14:paraId="3ACFB9A2" w14:textId="2EE77483" w:rsidR="005D1BC0" w:rsidRPr="0006478C" w:rsidRDefault="005D1BC0" w:rsidP="005D1BC0">
      <w:pPr>
        <w:pStyle w:val="Heading2"/>
        <w:rPr>
          <w:rFonts w:cs="Arial"/>
          <w:b/>
          <w:bCs/>
          <w:szCs w:val="28"/>
        </w:rPr>
      </w:pPr>
      <w:r w:rsidRPr="0006478C">
        <w:rPr>
          <w:rFonts w:cs="Arial"/>
          <w:b/>
          <w:bCs/>
          <w:szCs w:val="28"/>
        </w:rPr>
        <w:t xml:space="preserve">Slide 8:  What are the Special Considerations for Youth? </w:t>
      </w:r>
    </w:p>
    <w:p w14:paraId="4E115790" w14:textId="006DA2A8" w:rsidR="005D1BC0" w:rsidRPr="0006478C" w:rsidRDefault="005D1BC0" w:rsidP="005D1BC0">
      <w:pPr>
        <w:pStyle w:val="ListParagraph"/>
        <w:numPr>
          <w:ilvl w:val="0"/>
          <w:numId w:val="20"/>
        </w:numPr>
        <w:rPr>
          <w:rFonts w:cs="Arial"/>
          <w:szCs w:val="28"/>
        </w:rPr>
      </w:pPr>
      <w:r w:rsidRPr="0006478C">
        <w:rPr>
          <w:rFonts w:cs="Arial"/>
          <w:szCs w:val="28"/>
          <w:highlight w:val="white"/>
        </w:rPr>
        <w:t>A youth with a most significant disability, under the age of 25, who requires intensive job coaching.</w:t>
      </w:r>
    </w:p>
    <w:p w14:paraId="0A5915BE" w14:textId="0905AB13" w:rsidR="005D1BC0" w:rsidRPr="0006478C" w:rsidRDefault="005D1BC0" w:rsidP="005D1BC0">
      <w:pPr>
        <w:pStyle w:val="ListParagraph"/>
        <w:numPr>
          <w:ilvl w:val="0"/>
          <w:numId w:val="20"/>
        </w:numPr>
        <w:rPr>
          <w:rFonts w:cs="Arial"/>
          <w:szCs w:val="28"/>
        </w:rPr>
      </w:pPr>
      <w:r w:rsidRPr="0006478C">
        <w:rPr>
          <w:rFonts w:cs="Arial"/>
          <w:szCs w:val="28"/>
          <w:highlight w:val="white"/>
        </w:rPr>
        <w:t>May receive extended services, including job coaching, beyond 24 months, for up to 4 years until the youth turns 24 or until they qualify for another source of Extended Services.</w:t>
      </w:r>
    </w:p>
    <w:p w14:paraId="224A836E" w14:textId="74FAFBBB" w:rsidR="005D1BC0" w:rsidRPr="0006478C" w:rsidRDefault="005D1BC0" w:rsidP="005D1BC0">
      <w:pPr>
        <w:pStyle w:val="ListParagraph"/>
        <w:numPr>
          <w:ilvl w:val="0"/>
          <w:numId w:val="20"/>
        </w:numPr>
        <w:rPr>
          <w:rFonts w:cs="Arial"/>
          <w:szCs w:val="28"/>
        </w:rPr>
      </w:pPr>
      <w:r w:rsidRPr="0006478C">
        <w:rPr>
          <w:rFonts w:cs="Arial"/>
          <w:szCs w:val="28"/>
          <w:highlight w:val="white"/>
        </w:rPr>
        <w:t>Intent to support the ability to maintain employment.</w:t>
      </w:r>
    </w:p>
    <w:p w14:paraId="784F9C10" w14:textId="77777777" w:rsidR="001B233E" w:rsidRPr="0006478C" w:rsidRDefault="001B233E" w:rsidP="001B233E">
      <w:pPr>
        <w:pStyle w:val="ListParagraph"/>
        <w:rPr>
          <w:rFonts w:cs="Arial"/>
          <w:szCs w:val="28"/>
        </w:rPr>
      </w:pPr>
    </w:p>
    <w:p w14:paraId="1FA0CE88" w14:textId="4EAD9908" w:rsidR="005D1BC0" w:rsidRPr="0006478C" w:rsidRDefault="005D1BC0" w:rsidP="005D1BC0">
      <w:pPr>
        <w:pStyle w:val="Heading2"/>
        <w:rPr>
          <w:rFonts w:cs="Arial"/>
          <w:b/>
          <w:bCs/>
          <w:szCs w:val="28"/>
        </w:rPr>
      </w:pPr>
      <w:r w:rsidRPr="0006478C">
        <w:rPr>
          <w:rFonts w:cs="Arial"/>
          <w:b/>
          <w:bCs/>
          <w:szCs w:val="28"/>
        </w:rPr>
        <w:t>Slide 9:  Success Story:  Jane’s Path to Employment</w:t>
      </w:r>
    </w:p>
    <w:p w14:paraId="771FFA64" w14:textId="77777777" w:rsidR="005D1BC0" w:rsidRPr="0006478C" w:rsidRDefault="005D1BC0" w:rsidP="001B233E">
      <w:pPr>
        <w:ind w:right="720"/>
        <w:rPr>
          <w:rFonts w:cs="Arial"/>
          <w:szCs w:val="28"/>
        </w:rPr>
      </w:pPr>
      <w:r w:rsidRPr="0006478C">
        <w:rPr>
          <w:rFonts w:cs="Arial"/>
          <w:szCs w:val="28"/>
        </w:rPr>
        <w:t xml:space="preserve">[Image:  A young woman with long brown hair standing behind a necklace and accessory display in a retail store. She is wearing a blue jacket over a purple polo with a Claire’s logo and smiling.  Behind her is an older woman giving a thumbs-up sign and smiling in the direction of the young woman] </w:t>
      </w:r>
      <w:r w:rsidRPr="0006478C">
        <w:rPr>
          <w:rFonts w:cs="Arial"/>
          <w:szCs w:val="28"/>
        </w:rPr>
        <w:br/>
      </w:r>
    </w:p>
    <w:p w14:paraId="20D5B701" w14:textId="77777777" w:rsidR="005D1BC0" w:rsidRPr="0006478C" w:rsidRDefault="005D1BC0" w:rsidP="005D1BC0">
      <w:pPr>
        <w:pStyle w:val="Heading2"/>
        <w:rPr>
          <w:rFonts w:cs="Arial"/>
          <w:b/>
          <w:bCs/>
          <w:szCs w:val="28"/>
        </w:rPr>
      </w:pPr>
      <w:r w:rsidRPr="0006478C">
        <w:rPr>
          <w:rFonts w:cs="Arial"/>
          <w:b/>
          <w:bCs/>
          <w:szCs w:val="28"/>
        </w:rPr>
        <w:t>Slide 10:  Q &amp; A</w:t>
      </w:r>
    </w:p>
    <w:p w14:paraId="744B1BDB" w14:textId="77777777" w:rsidR="005D1BC0" w:rsidRPr="0006478C" w:rsidRDefault="005D1BC0" w:rsidP="001B233E">
      <w:pPr>
        <w:ind w:right="720"/>
        <w:rPr>
          <w:rFonts w:cs="Arial"/>
          <w:szCs w:val="28"/>
        </w:rPr>
      </w:pPr>
      <w:r w:rsidRPr="0006478C">
        <w:rPr>
          <w:rFonts w:cs="Arial"/>
          <w:szCs w:val="28"/>
        </w:rPr>
        <w:t>[Image:  “Q &amp; A” characters shown as three-dimensional blue objects. Shadows are visible below, as is a faint reflection on a white background]</w:t>
      </w:r>
    </w:p>
    <w:p w14:paraId="39F39E64" w14:textId="77777777" w:rsidR="005D1BC0" w:rsidRDefault="005D1BC0" w:rsidP="00920AB5">
      <w:pPr>
        <w:shd w:val="clear" w:color="auto" w:fill="FFFFFF"/>
        <w:rPr>
          <w:rFonts w:cs="Arial"/>
          <w:color w:val="212121"/>
          <w:szCs w:val="28"/>
        </w:rPr>
      </w:pPr>
    </w:p>
    <w:p w14:paraId="77ACC670" w14:textId="3A459DCA" w:rsidR="00CC519D" w:rsidRDefault="00CC519D">
      <w:pPr>
        <w:spacing w:after="160" w:line="259" w:lineRule="auto"/>
        <w:rPr>
          <w:rFonts w:cs="Arial"/>
          <w:color w:val="212121"/>
          <w:szCs w:val="28"/>
        </w:rPr>
      </w:pPr>
      <w:r>
        <w:rPr>
          <w:rFonts w:cs="Arial"/>
          <w:color w:val="212121"/>
          <w:szCs w:val="28"/>
        </w:rPr>
        <w:br w:type="page"/>
      </w:r>
    </w:p>
    <w:p w14:paraId="1BC325D4" w14:textId="02F9A1AE" w:rsidR="00CC519D" w:rsidRDefault="00CC519D" w:rsidP="00CC519D">
      <w:pPr>
        <w:pStyle w:val="Heading1"/>
      </w:pPr>
      <w:bookmarkStart w:id="2" w:name="_Appendix_B_–"/>
      <w:bookmarkEnd w:id="2"/>
      <w:r>
        <w:lastRenderedPageBreak/>
        <w:t>Appendix B – Self Employment Presentation</w:t>
      </w:r>
    </w:p>
    <w:p w14:paraId="7786AAC0" w14:textId="77777777" w:rsidR="00CC519D" w:rsidRDefault="00CC519D" w:rsidP="00920AB5">
      <w:pPr>
        <w:shd w:val="clear" w:color="auto" w:fill="FFFFFF"/>
        <w:rPr>
          <w:rFonts w:cs="Arial"/>
          <w:color w:val="212121"/>
          <w:szCs w:val="28"/>
        </w:rPr>
      </w:pPr>
    </w:p>
    <w:p w14:paraId="603CD5E3" w14:textId="77777777" w:rsidR="00CC519D" w:rsidRDefault="00CC519D" w:rsidP="00CC519D">
      <w:pPr>
        <w:pStyle w:val="Heading2"/>
      </w:pPr>
      <w:r w:rsidRPr="00135954">
        <w:t>Slide 1: Self Employment for DOR Consumers: Follow Up Information</w:t>
      </w:r>
    </w:p>
    <w:p w14:paraId="7CD64467" w14:textId="0DDFDD63" w:rsidR="00CC519D" w:rsidRDefault="00CC519D" w:rsidP="00CC519D">
      <w:pPr>
        <w:rPr>
          <w:i/>
          <w:iCs/>
        </w:rPr>
      </w:pPr>
      <w:r w:rsidRPr="00135954">
        <w:t xml:space="preserve">October 17, 2024 </w:t>
      </w:r>
      <w:r w:rsidRPr="00135954">
        <w:br/>
      </w:r>
      <w:r w:rsidRPr="00135954">
        <w:rPr>
          <w:i/>
          <w:iCs/>
        </w:rPr>
        <w:t>SRC Policy Committee Meeting</w:t>
      </w:r>
    </w:p>
    <w:p w14:paraId="430B0DE4" w14:textId="77777777" w:rsidR="00CC519D" w:rsidRDefault="00CC519D" w:rsidP="00CC519D"/>
    <w:p w14:paraId="1A20C204" w14:textId="31339962" w:rsidR="00CC519D" w:rsidRPr="00135954" w:rsidRDefault="00CC519D" w:rsidP="00CC519D">
      <w:pPr>
        <w:pStyle w:val="Heading2"/>
      </w:pPr>
      <w:r w:rsidRPr="00135954">
        <w:t>Slide 2: Recap</w:t>
      </w:r>
    </w:p>
    <w:p w14:paraId="75BFD34A" w14:textId="77777777" w:rsidR="00CC519D" w:rsidRPr="00135954" w:rsidRDefault="00CC519D" w:rsidP="00CC519D">
      <w:r w:rsidRPr="00135954">
        <w:t>The SRC received an overview presentation on Self-Employment (SE) during the September 11, 2024 Quarterly Meeting. Information included:</w:t>
      </w:r>
    </w:p>
    <w:p w14:paraId="5B19B4CB" w14:textId="77777777" w:rsidR="00CC519D" w:rsidRPr="00135954" w:rsidRDefault="00CC519D" w:rsidP="00CC519D">
      <w:pPr>
        <w:numPr>
          <w:ilvl w:val="0"/>
          <w:numId w:val="24"/>
        </w:numPr>
      </w:pPr>
      <w:r w:rsidRPr="00135954">
        <w:t>Definition of SE, what DOR can and cannot provide, and informed choice</w:t>
      </w:r>
    </w:p>
    <w:p w14:paraId="0439B3C8" w14:textId="77777777" w:rsidR="00CC519D" w:rsidRPr="00135954" w:rsidRDefault="00CC519D" w:rsidP="00CC519D">
      <w:pPr>
        <w:numPr>
          <w:ilvl w:val="0"/>
          <w:numId w:val="24"/>
        </w:numPr>
      </w:pPr>
      <w:r w:rsidRPr="00135954">
        <w:t>Roles and responsibilities of the Rehabilitation Counselor, Consumer, Subject Matter Experts, and Small Business Consultants</w:t>
      </w:r>
    </w:p>
    <w:p w14:paraId="34B29F94" w14:textId="77777777" w:rsidR="00CC519D" w:rsidRPr="00135954" w:rsidRDefault="00CC519D" w:rsidP="00CC519D">
      <w:pPr>
        <w:numPr>
          <w:ilvl w:val="0"/>
          <w:numId w:val="24"/>
        </w:numPr>
      </w:pPr>
      <w:r w:rsidRPr="00135954">
        <w:t xml:space="preserve">Developing the Individualized Plan for Employment and determining when a SE setting is appropriate. </w:t>
      </w:r>
    </w:p>
    <w:p w14:paraId="43A0B2C7" w14:textId="77777777" w:rsidR="00CC519D" w:rsidRPr="00135954" w:rsidRDefault="00CC519D" w:rsidP="00CC519D">
      <w:pPr>
        <w:numPr>
          <w:ilvl w:val="0"/>
          <w:numId w:val="24"/>
        </w:numPr>
      </w:pPr>
      <w:r w:rsidRPr="00135954">
        <w:t>Assessing the SE employment setting and the proposed small business</w:t>
      </w:r>
    </w:p>
    <w:p w14:paraId="06F7571C" w14:textId="77777777" w:rsidR="00CC519D" w:rsidRPr="00135954" w:rsidRDefault="00CC519D" w:rsidP="00CC519D">
      <w:pPr>
        <w:numPr>
          <w:ilvl w:val="0"/>
          <w:numId w:val="24"/>
        </w:numPr>
      </w:pPr>
      <w:r w:rsidRPr="00135954">
        <w:t>Scope of services provided for the SE setting</w:t>
      </w:r>
    </w:p>
    <w:p w14:paraId="59D58657" w14:textId="77777777" w:rsidR="00CC519D" w:rsidRDefault="00CC519D" w:rsidP="00CC519D">
      <w:pPr>
        <w:numPr>
          <w:ilvl w:val="0"/>
          <w:numId w:val="24"/>
        </w:numPr>
      </w:pPr>
      <w:r w:rsidRPr="00135954">
        <w:t>Monitoring the operations of the small business</w:t>
      </w:r>
    </w:p>
    <w:p w14:paraId="6F8FA825" w14:textId="77777777" w:rsidR="00CC519D" w:rsidRDefault="00CC519D" w:rsidP="00CC519D"/>
    <w:p w14:paraId="75328CE6" w14:textId="77777777" w:rsidR="00CC519D" w:rsidRPr="00135954" w:rsidRDefault="00CC519D" w:rsidP="00CC519D">
      <w:pPr>
        <w:pStyle w:val="Heading2"/>
      </w:pPr>
      <w:r w:rsidRPr="00135954">
        <w:t>Slide 3: Follow Up</w:t>
      </w:r>
    </w:p>
    <w:p w14:paraId="2F543E54" w14:textId="77777777" w:rsidR="00CC519D" w:rsidRPr="00135954" w:rsidRDefault="00CC519D" w:rsidP="00CC519D">
      <w:r w:rsidRPr="00135954">
        <w:t>The purpose of today’s presentation is to provide follow up information in response to questions from the September 11</w:t>
      </w:r>
      <w:r w:rsidRPr="00135954">
        <w:rPr>
          <w:vertAlign w:val="superscript"/>
        </w:rPr>
        <w:t>th</w:t>
      </w:r>
      <w:r w:rsidRPr="00135954">
        <w:t xml:space="preserve"> meeting. </w:t>
      </w:r>
    </w:p>
    <w:p w14:paraId="4DE7F036" w14:textId="77777777" w:rsidR="00CC519D" w:rsidRPr="00135954" w:rsidRDefault="00CC519D" w:rsidP="00CC519D">
      <w:pPr>
        <w:numPr>
          <w:ilvl w:val="0"/>
          <w:numId w:val="25"/>
        </w:numPr>
      </w:pPr>
      <w:r w:rsidRPr="00135954">
        <w:t>Data</w:t>
      </w:r>
    </w:p>
    <w:p w14:paraId="55F71D56" w14:textId="77777777" w:rsidR="00CC519D" w:rsidRPr="00135954" w:rsidRDefault="00CC519D" w:rsidP="00CC519D">
      <w:pPr>
        <w:numPr>
          <w:ilvl w:val="0"/>
          <w:numId w:val="25"/>
        </w:numPr>
      </w:pPr>
      <w:r w:rsidRPr="00135954">
        <w:t>Resources</w:t>
      </w:r>
    </w:p>
    <w:p w14:paraId="042D3E4B" w14:textId="77777777" w:rsidR="00CC519D" w:rsidRPr="00135954" w:rsidRDefault="00CC519D" w:rsidP="00CC519D">
      <w:pPr>
        <w:numPr>
          <w:ilvl w:val="0"/>
          <w:numId w:val="25"/>
        </w:numPr>
      </w:pPr>
      <w:r w:rsidRPr="00135954">
        <w:t>Regulations</w:t>
      </w:r>
    </w:p>
    <w:p w14:paraId="56BB72C0" w14:textId="77777777" w:rsidR="00CC519D" w:rsidRPr="00135954" w:rsidRDefault="00CC519D" w:rsidP="00CC519D"/>
    <w:p w14:paraId="702E0FBB" w14:textId="77777777" w:rsidR="00CC519D" w:rsidRPr="00135954" w:rsidRDefault="00CC519D" w:rsidP="00CC519D">
      <w:pPr>
        <w:pStyle w:val="Heading2"/>
      </w:pPr>
      <w:r w:rsidRPr="00135954">
        <w:t>Slide 4: Self-Employment Data Snapshot</w:t>
      </w:r>
    </w:p>
    <w:p w14:paraId="321E6CEC" w14:textId="77777777" w:rsidR="00CC519D" w:rsidRDefault="00CC519D" w:rsidP="00CC519D">
      <w:r w:rsidRPr="00135954">
        <w:t xml:space="preserve">242 DOR consumers currently have self-employment identified as their IPE goal. Out of these 242 consumers, 63 are veterans. </w:t>
      </w:r>
    </w:p>
    <w:p w14:paraId="54457A77" w14:textId="77777777" w:rsidR="00CC519D" w:rsidRPr="00135954" w:rsidRDefault="00CC519D" w:rsidP="00CC519D"/>
    <w:tbl>
      <w:tblPr>
        <w:tblStyle w:val="TableGrid"/>
        <w:tblW w:w="6408" w:type="dxa"/>
        <w:tblInd w:w="607" w:type="dxa"/>
        <w:tblLook w:val="0420" w:firstRow="1" w:lastRow="0" w:firstColumn="0" w:lastColumn="0" w:noHBand="0" w:noVBand="1"/>
      </w:tblPr>
      <w:tblGrid>
        <w:gridCol w:w="2088"/>
        <w:gridCol w:w="4320"/>
      </w:tblGrid>
      <w:tr w:rsidR="00CC519D" w:rsidRPr="00135954" w14:paraId="13692821" w14:textId="77777777" w:rsidTr="0030368A">
        <w:trPr>
          <w:trHeight w:val="100"/>
          <w:tblHeader/>
        </w:trPr>
        <w:tc>
          <w:tcPr>
            <w:tcW w:w="2088" w:type="dxa"/>
            <w:hideMark/>
          </w:tcPr>
          <w:p w14:paraId="0878142E" w14:textId="77777777" w:rsidR="00CC519D" w:rsidRPr="00135954" w:rsidRDefault="00CC519D" w:rsidP="0030368A">
            <w:r w:rsidRPr="00135954">
              <w:rPr>
                <w:b/>
                <w:bCs/>
              </w:rPr>
              <w:t>Year</w:t>
            </w:r>
          </w:p>
        </w:tc>
        <w:tc>
          <w:tcPr>
            <w:tcW w:w="4320" w:type="dxa"/>
            <w:hideMark/>
          </w:tcPr>
          <w:p w14:paraId="01AAE03D" w14:textId="77777777" w:rsidR="00CC519D" w:rsidRPr="00135954" w:rsidRDefault="00CC519D" w:rsidP="0030368A">
            <w:r w:rsidRPr="00135954">
              <w:rPr>
                <w:b/>
                <w:bCs/>
              </w:rPr>
              <w:t>Number of Successful Self-Employment Case Closures</w:t>
            </w:r>
          </w:p>
        </w:tc>
      </w:tr>
      <w:tr w:rsidR="00CC519D" w:rsidRPr="00135954" w14:paraId="42C9481C" w14:textId="77777777" w:rsidTr="0030368A">
        <w:trPr>
          <w:trHeight w:val="100"/>
        </w:trPr>
        <w:tc>
          <w:tcPr>
            <w:tcW w:w="2088" w:type="dxa"/>
            <w:hideMark/>
          </w:tcPr>
          <w:p w14:paraId="443534A9" w14:textId="77777777" w:rsidR="00CC519D" w:rsidRPr="00135954" w:rsidRDefault="00CC519D" w:rsidP="0030368A">
            <w:r w:rsidRPr="00135954">
              <w:t>2019</w:t>
            </w:r>
          </w:p>
        </w:tc>
        <w:tc>
          <w:tcPr>
            <w:tcW w:w="4320" w:type="dxa"/>
            <w:hideMark/>
          </w:tcPr>
          <w:p w14:paraId="48320A7D" w14:textId="77777777" w:rsidR="00CC519D" w:rsidRPr="00135954" w:rsidRDefault="00CC519D" w:rsidP="0030368A">
            <w:r w:rsidRPr="00135954">
              <w:t>88</w:t>
            </w:r>
          </w:p>
        </w:tc>
      </w:tr>
      <w:tr w:rsidR="00CC519D" w:rsidRPr="00135954" w14:paraId="4717CD79" w14:textId="77777777" w:rsidTr="0030368A">
        <w:trPr>
          <w:trHeight w:val="100"/>
        </w:trPr>
        <w:tc>
          <w:tcPr>
            <w:tcW w:w="2088" w:type="dxa"/>
            <w:hideMark/>
          </w:tcPr>
          <w:p w14:paraId="3EE026D3" w14:textId="77777777" w:rsidR="00CC519D" w:rsidRPr="00135954" w:rsidRDefault="00CC519D" w:rsidP="0030368A">
            <w:r w:rsidRPr="00135954">
              <w:t>2020</w:t>
            </w:r>
          </w:p>
        </w:tc>
        <w:tc>
          <w:tcPr>
            <w:tcW w:w="4320" w:type="dxa"/>
            <w:hideMark/>
          </w:tcPr>
          <w:p w14:paraId="383E3F86" w14:textId="77777777" w:rsidR="00CC519D" w:rsidRPr="00135954" w:rsidRDefault="00CC519D" w:rsidP="0030368A">
            <w:r w:rsidRPr="00135954">
              <w:t>47</w:t>
            </w:r>
          </w:p>
        </w:tc>
      </w:tr>
      <w:tr w:rsidR="00CC519D" w:rsidRPr="00135954" w14:paraId="0FDA5054" w14:textId="77777777" w:rsidTr="0030368A">
        <w:trPr>
          <w:trHeight w:val="100"/>
        </w:trPr>
        <w:tc>
          <w:tcPr>
            <w:tcW w:w="2088" w:type="dxa"/>
            <w:hideMark/>
          </w:tcPr>
          <w:p w14:paraId="773273F8" w14:textId="77777777" w:rsidR="00CC519D" w:rsidRPr="00135954" w:rsidRDefault="00CC519D" w:rsidP="0030368A">
            <w:r w:rsidRPr="00135954">
              <w:t>2021</w:t>
            </w:r>
          </w:p>
        </w:tc>
        <w:tc>
          <w:tcPr>
            <w:tcW w:w="4320" w:type="dxa"/>
            <w:hideMark/>
          </w:tcPr>
          <w:p w14:paraId="6597E934" w14:textId="77777777" w:rsidR="00CC519D" w:rsidRPr="00135954" w:rsidRDefault="00CC519D" w:rsidP="0030368A">
            <w:r w:rsidRPr="00135954">
              <w:t>29</w:t>
            </w:r>
          </w:p>
        </w:tc>
      </w:tr>
      <w:tr w:rsidR="00CC519D" w:rsidRPr="00135954" w14:paraId="5A675618" w14:textId="77777777" w:rsidTr="0030368A">
        <w:trPr>
          <w:trHeight w:val="100"/>
        </w:trPr>
        <w:tc>
          <w:tcPr>
            <w:tcW w:w="2088" w:type="dxa"/>
            <w:hideMark/>
          </w:tcPr>
          <w:p w14:paraId="4548513A" w14:textId="77777777" w:rsidR="00CC519D" w:rsidRPr="00135954" w:rsidRDefault="00CC519D" w:rsidP="0030368A">
            <w:r w:rsidRPr="00135954">
              <w:t>2022</w:t>
            </w:r>
          </w:p>
        </w:tc>
        <w:tc>
          <w:tcPr>
            <w:tcW w:w="4320" w:type="dxa"/>
            <w:hideMark/>
          </w:tcPr>
          <w:p w14:paraId="0260E615" w14:textId="77777777" w:rsidR="00CC519D" w:rsidRPr="00135954" w:rsidRDefault="00CC519D" w:rsidP="0030368A">
            <w:r w:rsidRPr="00135954">
              <w:t>31</w:t>
            </w:r>
          </w:p>
        </w:tc>
      </w:tr>
      <w:tr w:rsidR="00CC519D" w:rsidRPr="00135954" w14:paraId="38C7B166" w14:textId="77777777" w:rsidTr="0030368A">
        <w:trPr>
          <w:trHeight w:val="100"/>
        </w:trPr>
        <w:tc>
          <w:tcPr>
            <w:tcW w:w="2088" w:type="dxa"/>
            <w:hideMark/>
          </w:tcPr>
          <w:p w14:paraId="495EC5D7" w14:textId="77777777" w:rsidR="00CC519D" w:rsidRPr="00135954" w:rsidRDefault="00CC519D" w:rsidP="0030368A">
            <w:r w:rsidRPr="00135954">
              <w:t>2023</w:t>
            </w:r>
          </w:p>
        </w:tc>
        <w:tc>
          <w:tcPr>
            <w:tcW w:w="4320" w:type="dxa"/>
            <w:hideMark/>
          </w:tcPr>
          <w:p w14:paraId="53D8A1E5" w14:textId="77777777" w:rsidR="00CC519D" w:rsidRPr="00135954" w:rsidRDefault="00CC519D" w:rsidP="0030368A">
            <w:r w:rsidRPr="00135954">
              <w:t>36</w:t>
            </w:r>
          </w:p>
        </w:tc>
      </w:tr>
    </w:tbl>
    <w:p w14:paraId="5FED5C69" w14:textId="77777777" w:rsidR="00CC519D" w:rsidRDefault="00CC519D" w:rsidP="00CC519D"/>
    <w:p w14:paraId="2FFF177D" w14:textId="77777777" w:rsidR="00CC519D" w:rsidRDefault="00CC519D" w:rsidP="00CC519D">
      <w:pPr>
        <w:rPr>
          <w:rFonts w:cs="Calibri"/>
          <w:b/>
          <w:bCs/>
        </w:rPr>
      </w:pPr>
      <w:r>
        <w:rPr>
          <w:b/>
          <w:bCs/>
        </w:rPr>
        <w:br w:type="page"/>
      </w:r>
    </w:p>
    <w:p w14:paraId="6834ED1A" w14:textId="77777777" w:rsidR="00CC519D" w:rsidRPr="006359DE" w:rsidRDefault="00CC519D" w:rsidP="00CC519D">
      <w:pPr>
        <w:pStyle w:val="Heading2"/>
      </w:pPr>
      <w:r w:rsidRPr="006359DE">
        <w:lastRenderedPageBreak/>
        <w:t>Slide 5: Available Resources</w:t>
      </w:r>
    </w:p>
    <w:p w14:paraId="5178DE5A" w14:textId="77777777" w:rsidR="00CC519D" w:rsidRPr="006359DE" w:rsidRDefault="00CC519D" w:rsidP="00CC519D">
      <w:pPr>
        <w:numPr>
          <w:ilvl w:val="0"/>
          <w:numId w:val="26"/>
        </w:numPr>
      </w:pPr>
      <w:r w:rsidRPr="006359DE">
        <w:t xml:space="preserve">DOR website: Self-Employment webpage </w:t>
      </w:r>
      <w:hyperlink r:id="rId8" w:history="1">
        <w:r w:rsidRPr="006359DE">
          <w:rPr>
            <w:rStyle w:val="Hyperlink"/>
          </w:rPr>
          <w:t>https://www.dor.ca.gov/Home/SelfEmploymentProgram</w:t>
        </w:r>
      </w:hyperlink>
      <w:r w:rsidRPr="006359DE">
        <w:t xml:space="preserve"> </w:t>
      </w:r>
    </w:p>
    <w:p w14:paraId="24F70FB8" w14:textId="77777777" w:rsidR="00CC519D" w:rsidRPr="006359DE" w:rsidRDefault="00CC519D" w:rsidP="00CC519D">
      <w:pPr>
        <w:numPr>
          <w:ilvl w:val="2"/>
          <w:numId w:val="26"/>
        </w:numPr>
      </w:pPr>
      <w:r w:rsidRPr="006359DE">
        <w:t xml:space="preserve"> Business Summary Template</w:t>
      </w:r>
    </w:p>
    <w:p w14:paraId="3522C456" w14:textId="77777777" w:rsidR="00CC519D" w:rsidRPr="006359DE" w:rsidRDefault="00CC519D" w:rsidP="00CC519D">
      <w:pPr>
        <w:numPr>
          <w:ilvl w:val="2"/>
          <w:numId w:val="26"/>
        </w:numPr>
      </w:pPr>
      <w:r w:rsidRPr="006359DE">
        <w:t xml:space="preserve"> Business Plan Template</w:t>
      </w:r>
    </w:p>
    <w:p w14:paraId="11D2DD74" w14:textId="77777777" w:rsidR="00CC519D" w:rsidRPr="006359DE" w:rsidRDefault="00CC519D" w:rsidP="00CC519D">
      <w:pPr>
        <w:numPr>
          <w:ilvl w:val="2"/>
          <w:numId w:val="26"/>
        </w:numPr>
      </w:pPr>
      <w:r w:rsidRPr="006359DE">
        <w:t xml:space="preserve"> You’re In Charge</w:t>
      </w:r>
    </w:p>
    <w:p w14:paraId="6186662F" w14:textId="77777777" w:rsidR="00CC519D" w:rsidRPr="006359DE" w:rsidRDefault="00CC519D" w:rsidP="00CC519D">
      <w:pPr>
        <w:numPr>
          <w:ilvl w:val="2"/>
          <w:numId w:val="26"/>
        </w:numPr>
      </w:pPr>
      <w:r w:rsidRPr="006359DE">
        <w:t xml:space="preserve"> Small Business Administration</w:t>
      </w:r>
    </w:p>
    <w:p w14:paraId="7C0AF801" w14:textId="77777777" w:rsidR="00CC519D" w:rsidRPr="006359DE" w:rsidRDefault="00CC519D" w:rsidP="00CC519D">
      <w:pPr>
        <w:numPr>
          <w:ilvl w:val="2"/>
          <w:numId w:val="26"/>
        </w:numPr>
      </w:pPr>
      <w:r w:rsidRPr="006359DE">
        <w:t xml:space="preserve"> California Small Business Development Center (SBDC)</w:t>
      </w:r>
    </w:p>
    <w:p w14:paraId="4BD943E3" w14:textId="77777777" w:rsidR="00CC519D" w:rsidRPr="006359DE" w:rsidRDefault="00CC519D" w:rsidP="00CC519D">
      <w:pPr>
        <w:numPr>
          <w:ilvl w:val="2"/>
          <w:numId w:val="26"/>
        </w:numPr>
      </w:pPr>
      <w:r w:rsidRPr="006359DE">
        <w:t xml:space="preserve"> SCORE</w:t>
      </w:r>
    </w:p>
    <w:p w14:paraId="690E2950" w14:textId="77777777" w:rsidR="00CC519D" w:rsidRPr="006359DE" w:rsidRDefault="00CC519D" w:rsidP="00CC519D">
      <w:pPr>
        <w:numPr>
          <w:ilvl w:val="2"/>
          <w:numId w:val="26"/>
        </w:numPr>
      </w:pPr>
      <w:r w:rsidRPr="006359DE">
        <w:t xml:space="preserve"> Disability IN</w:t>
      </w:r>
    </w:p>
    <w:p w14:paraId="5F53D7B3" w14:textId="77777777" w:rsidR="00CC519D" w:rsidRPr="006359DE" w:rsidRDefault="00CC519D" w:rsidP="00CC519D">
      <w:pPr>
        <w:numPr>
          <w:ilvl w:val="0"/>
          <w:numId w:val="26"/>
        </w:numPr>
      </w:pPr>
      <w:r w:rsidRPr="006359DE">
        <w:t>DOR Self-Employment Subject Matter Experts</w:t>
      </w:r>
    </w:p>
    <w:p w14:paraId="2E86CE9C" w14:textId="77777777" w:rsidR="00CC519D" w:rsidRPr="006359DE" w:rsidRDefault="00CC519D" w:rsidP="00CC519D">
      <w:pPr>
        <w:rPr>
          <w:b/>
          <w:bCs/>
        </w:rPr>
      </w:pPr>
    </w:p>
    <w:p w14:paraId="04B115AF" w14:textId="77777777" w:rsidR="00CC519D" w:rsidRPr="006359DE" w:rsidRDefault="00CC519D" w:rsidP="00CC519D">
      <w:pPr>
        <w:pStyle w:val="Heading2"/>
      </w:pPr>
      <w:r w:rsidRPr="006359DE">
        <w:t>Slide 6: Regulations</w:t>
      </w:r>
    </w:p>
    <w:p w14:paraId="18999A57" w14:textId="77777777" w:rsidR="00CC519D" w:rsidRPr="006359DE" w:rsidRDefault="00CC519D" w:rsidP="00CC519D">
      <w:r w:rsidRPr="006359DE">
        <w:t>Question received during September 11</w:t>
      </w:r>
      <w:r w:rsidRPr="006359DE">
        <w:rPr>
          <w:vertAlign w:val="superscript"/>
        </w:rPr>
        <w:t>th</w:t>
      </w:r>
      <w:r w:rsidRPr="006359DE">
        <w:t xml:space="preserve"> SRC meeting: </w:t>
      </w:r>
    </w:p>
    <w:p w14:paraId="57C2C52F" w14:textId="77777777" w:rsidR="00CC519D" w:rsidRPr="006359DE" w:rsidRDefault="00CC519D" w:rsidP="00CC519D">
      <w:r w:rsidRPr="006359DE">
        <w:rPr>
          <w:i/>
          <w:iCs/>
        </w:rPr>
        <w:t>How is a “setting” defined in our current virtual working landscape. Are remote setting eligible? If someone has a home business can a portion of their rent be charged or "reasonable" work cost?</w:t>
      </w:r>
    </w:p>
    <w:p w14:paraId="66138426" w14:textId="77777777" w:rsidR="00CC519D" w:rsidRPr="006359DE" w:rsidRDefault="00CC519D" w:rsidP="00CC519D">
      <w:r w:rsidRPr="006359DE">
        <w:t xml:space="preserve">The DOR does not pay rent on space except in cases of first and last. </w:t>
      </w:r>
    </w:p>
    <w:p w14:paraId="15C18B1C" w14:textId="77777777" w:rsidR="00CC519D" w:rsidRPr="006359DE" w:rsidRDefault="00CC519D" w:rsidP="00CC519D">
      <w:pPr>
        <w:numPr>
          <w:ilvl w:val="0"/>
          <w:numId w:val="27"/>
        </w:numPr>
      </w:pPr>
      <w:r w:rsidRPr="006359DE">
        <w:t>Cal. Code Regs. tit. 9 § 7137 (“(b) The one-time, initial costs of establishing the small business are limited to such costs that are consistent with Section 7149 of these regulations, are appropriate and necessary to assist the individual to achieve employment in a self-employment setting, and are consistent with the usual and customary initial costs typically required for establishing similar small businesses, including:”)</w:t>
      </w:r>
    </w:p>
    <w:p w14:paraId="3D027AD4" w14:textId="77777777" w:rsidR="00CC519D" w:rsidRPr="006359DE" w:rsidRDefault="00CC519D" w:rsidP="00CC519D">
      <w:pPr>
        <w:rPr>
          <w:b/>
          <w:bCs/>
        </w:rPr>
      </w:pPr>
    </w:p>
    <w:p w14:paraId="232EDFB3" w14:textId="77777777" w:rsidR="00CC519D" w:rsidRPr="006359DE" w:rsidRDefault="00CC519D" w:rsidP="00CC519D">
      <w:pPr>
        <w:pStyle w:val="Heading2"/>
      </w:pPr>
      <w:r w:rsidRPr="006359DE">
        <w:t>Slide 7: Continual Improvement</w:t>
      </w:r>
    </w:p>
    <w:p w14:paraId="584890D8" w14:textId="77777777" w:rsidR="00CC519D" w:rsidRPr="006359DE" w:rsidRDefault="00CC519D" w:rsidP="00CC519D">
      <w:r w:rsidRPr="006359DE">
        <w:t>To further support DOR staff and consumers in developing self-employment plans, DOR has tasked the Subject Matter Experts have developed several subcommittees dedicated to supporting specific areas of self-employment.</w:t>
      </w:r>
    </w:p>
    <w:p w14:paraId="72E99EDC" w14:textId="77777777" w:rsidR="00CC519D" w:rsidRPr="006359DE" w:rsidRDefault="00CC519D" w:rsidP="00CC519D">
      <w:pPr>
        <w:ind w:left="720"/>
      </w:pPr>
      <w:r w:rsidRPr="006359DE">
        <w:t>1. Improve Accessibility of Resources</w:t>
      </w:r>
    </w:p>
    <w:p w14:paraId="07804973" w14:textId="77777777" w:rsidR="00CC519D" w:rsidRPr="006359DE" w:rsidRDefault="00CC519D" w:rsidP="00CC519D">
      <w:pPr>
        <w:ind w:left="720"/>
      </w:pPr>
      <w:r w:rsidRPr="006359DE">
        <w:t>2. Addressing Main Barriers</w:t>
      </w:r>
    </w:p>
    <w:p w14:paraId="5F8E6710" w14:textId="77777777" w:rsidR="00CC519D" w:rsidRPr="006359DE" w:rsidRDefault="00CC519D" w:rsidP="00CC519D">
      <w:pPr>
        <w:ind w:left="720"/>
      </w:pPr>
      <w:r w:rsidRPr="006359DE">
        <w:t>3. Developing Specific Skills and Training Programs</w:t>
      </w:r>
    </w:p>
    <w:p w14:paraId="7514CA0B" w14:textId="77777777" w:rsidR="00CC519D" w:rsidRPr="006359DE" w:rsidRDefault="00CC519D" w:rsidP="00CC519D">
      <w:pPr>
        <w:ind w:left="720"/>
      </w:pPr>
      <w:r w:rsidRPr="006359DE">
        <w:t>4. Simplifying Regulatory Processes</w:t>
      </w:r>
    </w:p>
    <w:p w14:paraId="39980427" w14:textId="77777777" w:rsidR="00CC519D" w:rsidRDefault="00CC519D" w:rsidP="00CC519D">
      <w:pPr>
        <w:ind w:left="720"/>
      </w:pPr>
      <w:r w:rsidRPr="006359DE">
        <w:t>5. Implementing Best Practices</w:t>
      </w:r>
    </w:p>
    <w:p w14:paraId="17E42543" w14:textId="77777777" w:rsidR="00CC519D" w:rsidRPr="006359DE" w:rsidRDefault="00CC519D" w:rsidP="00CC519D"/>
    <w:p w14:paraId="26762DB2" w14:textId="77777777" w:rsidR="00CC519D" w:rsidRDefault="00CC519D" w:rsidP="00CC519D">
      <w:r w:rsidRPr="006359DE">
        <w:t>DOR Developing Specific Skills and Training for Self-Employment Subcommittee</w:t>
      </w:r>
    </w:p>
    <w:p w14:paraId="1EC3BB8A" w14:textId="30F88A99" w:rsidR="00CC519D" w:rsidRPr="006359DE" w:rsidRDefault="00CC519D" w:rsidP="00CC519D">
      <w:r w:rsidRPr="00140196">
        <w:t>Staff Self-Employment Survey in Development</w:t>
      </w:r>
      <w:r w:rsidRPr="006359DE">
        <w:t xml:space="preserve"> to gather input from DOR staff on ways to improve services for their consumers seeking self-employment.</w:t>
      </w:r>
    </w:p>
    <w:p w14:paraId="468BD0CE" w14:textId="77777777" w:rsidR="00CC519D" w:rsidRDefault="00CC519D" w:rsidP="00920AB5">
      <w:pPr>
        <w:shd w:val="clear" w:color="auto" w:fill="FFFFFF"/>
        <w:rPr>
          <w:rFonts w:cs="Arial"/>
          <w:color w:val="212121"/>
          <w:szCs w:val="28"/>
        </w:rPr>
      </w:pPr>
    </w:p>
    <w:p w14:paraId="0FCF6125" w14:textId="21CE734D" w:rsidR="00140196" w:rsidRDefault="00140196">
      <w:pPr>
        <w:spacing w:after="160" w:line="259" w:lineRule="auto"/>
        <w:rPr>
          <w:rFonts w:cs="Arial"/>
          <w:color w:val="212121"/>
          <w:szCs w:val="28"/>
        </w:rPr>
      </w:pPr>
      <w:r>
        <w:rPr>
          <w:rFonts w:cs="Arial"/>
          <w:color w:val="212121"/>
          <w:szCs w:val="28"/>
        </w:rPr>
        <w:br w:type="page"/>
      </w:r>
    </w:p>
    <w:p w14:paraId="082A26EB" w14:textId="4388C25E" w:rsidR="00140196" w:rsidRDefault="00140196" w:rsidP="00140196">
      <w:pPr>
        <w:pStyle w:val="Heading1"/>
      </w:pPr>
      <w:bookmarkStart w:id="3" w:name="_Appendix_C_–"/>
      <w:bookmarkEnd w:id="3"/>
      <w:r>
        <w:lastRenderedPageBreak/>
        <w:t>Appendix C – Public Comment Submitted by Sarah Issacs</w:t>
      </w:r>
    </w:p>
    <w:p w14:paraId="3DB2EEE0" w14:textId="77777777" w:rsidR="00140196" w:rsidRDefault="00140196" w:rsidP="00920AB5">
      <w:pPr>
        <w:shd w:val="clear" w:color="auto" w:fill="FFFFFF"/>
        <w:rPr>
          <w:rFonts w:cs="Arial"/>
          <w:color w:val="212121"/>
          <w:szCs w:val="28"/>
        </w:rPr>
      </w:pPr>
    </w:p>
    <w:p w14:paraId="79F3100A" w14:textId="5E081E22" w:rsidR="00140196" w:rsidRPr="00140196" w:rsidRDefault="00140196" w:rsidP="00920AB5">
      <w:pPr>
        <w:shd w:val="clear" w:color="auto" w:fill="FFFFFF"/>
        <w:rPr>
          <w:rFonts w:cs="Arial"/>
          <w:b/>
          <w:bCs/>
          <w:color w:val="212121"/>
          <w:szCs w:val="28"/>
        </w:rPr>
      </w:pPr>
      <w:r w:rsidRPr="00140196">
        <w:rPr>
          <w:rFonts w:cs="Arial"/>
          <w:b/>
          <w:bCs/>
          <w:color w:val="212121"/>
          <w:szCs w:val="28"/>
        </w:rPr>
        <w:t>October 16, 2024</w:t>
      </w:r>
    </w:p>
    <w:p w14:paraId="51E1E0C1" w14:textId="77777777" w:rsidR="00140196" w:rsidRDefault="00140196" w:rsidP="00920AB5">
      <w:pPr>
        <w:shd w:val="clear" w:color="auto" w:fill="FFFFFF"/>
        <w:rPr>
          <w:rFonts w:cs="Arial"/>
          <w:color w:val="212121"/>
          <w:szCs w:val="28"/>
        </w:rPr>
      </w:pPr>
    </w:p>
    <w:p w14:paraId="16AA85E7" w14:textId="77777777" w:rsidR="00140196" w:rsidRPr="00140196" w:rsidRDefault="00140196" w:rsidP="00140196">
      <w:pPr>
        <w:pStyle w:val="Heading2"/>
        <w:rPr>
          <w:b/>
          <w:bCs/>
          <w:u w:val="none"/>
        </w:rPr>
      </w:pPr>
      <w:r w:rsidRPr="00140196">
        <w:rPr>
          <w:b/>
          <w:bCs/>
          <w:u w:val="none"/>
        </w:rPr>
        <w:t>REHABILITATION ACT REQUIREMENTS IN CALIFORNIA</w:t>
      </w:r>
    </w:p>
    <w:p w14:paraId="26DFB37B" w14:textId="77777777" w:rsidR="00140196" w:rsidRDefault="00140196" w:rsidP="00140196">
      <w:pPr>
        <w:rPr>
          <w:szCs w:val="26"/>
        </w:rPr>
      </w:pPr>
      <w:r>
        <w:rPr>
          <w:szCs w:val="26"/>
        </w:rPr>
        <w:t xml:space="preserve">The California Code of Regulations (CCR) was updated last year to comply with portions of the federal Rehabilitation Act. Some of the changes apply to self-employment. Most notably, </w:t>
      </w:r>
      <w:r>
        <w:rPr>
          <w:rStyle w:val="FootnoteReference"/>
          <w:szCs w:val="26"/>
        </w:rPr>
        <w:footnoteReference w:id="1"/>
      </w:r>
      <w:r>
        <w:rPr>
          <w:szCs w:val="26"/>
        </w:rPr>
        <w:t>*</w:t>
      </w:r>
      <w:r w:rsidRPr="00DC4CBA">
        <w:rPr>
          <w:b/>
          <w:bCs/>
          <w:szCs w:val="26"/>
        </w:rPr>
        <w:t>a self-employment start-up business is no longer required to provide income at or above minimum wage within the first 12 months</w:t>
      </w:r>
      <w:r>
        <w:rPr>
          <w:b/>
          <w:bCs/>
          <w:szCs w:val="26"/>
        </w:rPr>
        <w:t>*</w:t>
      </w:r>
      <w:r w:rsidRPr="006839F7">
        <w:rPr>
          <w:szCs w:val="26"/>
        </w:rPr>
        <w:t xml:space="preserve"> to be considered successful.</w:t>
      </w:r>
      <w:r>
        <w:rPr>
          <w:szCs w:val="26"/>
        </w:rPr>
        <w:t xml:space="preserve"> Additionally, Department of Rehabilitation (DOR) individuals can receive support to advance in their careers, rather than being restricted to receiving assistance for entry-level employment. Also, they can receive job retention services for self-employment. </w:t>
      </w:r>
    </w:p>
    <w:p w14:paraId="6EF530E0" w14:textId="77777777" w:rsidR="00140196" w:rsidRDefault="00140196" w:rsidP="00140196">
      <w:pPr>
        <w:rPr>
          <w:szCs w:val="26"/>
        </w:rPr>
      </w:pPr>
      <w:r>
        <w:rPr>
          <w:szCs w:val="26"/>
        </w:rPr>
        <w:t>However, there are still other Rehabilitation Act requirements that apply in California but are not yet reflected in the CCR or DOR’s Rehabilitation Administration Manual (RAM). These prohibit arbitrary limits on the cost, duration or source of services. In the meantime, it is essential that DOR applicants, clients, and staff are made aware of their rights and responsibilities by other means.</w:t>
      </w:r>
    </w:p>
    <w:p w14:paraId="4F60EE3F" w14:textId="77777777" w:rsidR="00140196" w:rsidRDefault="00140196" w:rsidP="00140196">
      <w:pPr>
        <w:rPr>
          <w:szCs w:val="26"/>
        </w:rPr>
      </w:pPr>
    </w:p>
    <w:p w14:paraId="54A0BDE1" w14:textId="77777777" w:rsidR="00140196" w:rsidRPr="00140196" w:rsidRDefault="00140196" w:rsidP="00140196">
      <w:pPr>
        <w:pStyle w:val="Heading2"/>
        <w:rPr>
          <w:b/>
          <w:bCs/>
          <w:u w:val="none"/>
        </w:rPr>
      </w:pPr>
      <w:r w:rsidRPr="00140196">
        <w:rPr>
          <w:b/>
          <w:bCs/>
          <w:u w:val="none"/>
        </w:rPr>
        <w:t>Key Changes in Self-Employment Regulations</w:t>
      </w:r>
    </w:p>
    <w:p w14:paraId="35A13628" w14:textId="77777777" w:rsidR="00140196" w:rsidRPr="00C168CF" w:rsidRDefault="00140196" w:rsidP="00140196">
      <w:pPr>
        <w:pStyle w:val="Heading2"/>
      </w:pPr>
      <w:r w:rsidRPr="00C168CF">
        <w:t>How Small Business Income is Analyzed</w:t>
      </w:r>
    </w:p>
    <w:p w14:paraId="04A77912" w14:textId="77777777" w:rsidR="00140196" w:rsidRPr="0018135E" w:rsidRDefault="00140196" w:rsidP="00140196">
      <w:r w:rsidRPr="0018135E">
        <w:t xml:space="preserve">Before February 2023, in analyzing whether a self-employment setting would be appropriate, DOR could consider whether the business was likely to: </w:t>
      </w:r>
      <w:r>
        <w:t>*</w:t>
      </w:r>
      <w:r w:rsidRPr="0018135E">
        <w:rPr>
          <w:b/>
          <w:bCs/>
        </w:rPr>
        <w:t>“Provide income for the individual at or above minimum wage</w:t>
      </w:r>
      <w:r>
        <w:rPr>
          <w:b/>
          <w:bCs/>
        </w:rPr>
        <w:t>*</w:t>
      </w:r>
      <w:r w:rsidRPr="0018135E">
        <w:t>, but not less than the customary wage and benefit level received by individuals engaged in the same or similar self-employment…”</w:t>
      </w:r>
    </w:p>
    <w:p w14:paraId="27DC6788" w14:textId="77777777" w:rsidR="00140196" w:rsidRPr="0018135E" w:rsidRDefault="00140196" w:rsidP="00140196">
      <w:r>
        <w:rPr>
          <w:b/>
          <w:bCs/>
        </w:rPr>
        <w:t>*</w:t>
      </w:r>
      <w:r w:rsidRPr="0018135E">
        <w:rPr>
          <w:b/>
          <w:bCs/>
        </w:rPr>
        <w:t>This is no longer the standard.</w:t>
      </w:r>
      <w:r>
        <w:rPr>
          <w:b/>
          <w:bCs/>
        </w:rPr>
        <w:t>*</w:t>
      </w:r>
      <w:r w:rsidRPr="0018135E">
        <w:t xml:space="preserve">  The new </w:t>
      </w:r>
      <w:r>
        <w:t xml:space="preserve">language in </w:t>
      </w:r>
      <w:hyperlink r:id="rId9" w:history="1">
        <w:r w:rsidRPr="0018135E">
          <w:rPr>
            <w:rStyle w:val="Hyperlink"/>
          </w:rPr>
          <w:t xml:space="preserve">9 CCR § </w:t>
        </w:r>
        <w:r>
          <w:rPr>
            <w:rStyle w:val="Hyperlink"/>
          </w:rPr>
          <w:t>was</w:t>
        </w:r>
        <w:r w:rsidRPr="0018135E">
          <w:rPr>
            <w:rStyle w:val="Hyperlink"/>
          </w:rPr>
          <w:t>7136.6</w:t>
        </w:r>
      </w:hyperlink>
      <w:r>
        <w:t xml:space="preserve"> </w:t>
      </w:r>
      <w:r w:rsidRPr="0018135E">
        <w:t>omit</w:t>
      </w:r>
      <w:r>
        <w:t>s</w:t>
      </w:r>
      <w:r w:rsidRPr="0018135E">
        <w:t xml:space="preserve"> the minimum wage requirement</w:t>
      </w:r>
      <w:r w:rsidRPr="0018135E">
        <w:rPr>
          <w:b/>
          <w:bCs/>
        </w:rPr>
        <w:t xml:space="preserve">, </w:t>
      </w:r>
      <w:r w:rsidRPr="0018135E">
        <w:t>consistent with the federal law. The current language now states</w:t>
      </w:r>
      <w:r>
        <w:t xml:space="preserve">, </w:t>
      </w:r>
      <w:r w:rsidRPr="0018135E">
        <w:t>in relevant part:</w:t>
      </w:r>
    </w:p>
    <w:p w14:paraId="4D7C8487" w14:textId="77777777" w:rsidR="00140196" w:rsidRPr="0018135E" w:rsidRDefault="00140196" w:rsidP="00140196">
      <w:pPr>
        <w:ind w:left="720" w:right="720"/>
        <w:jc w:val="both"/>
      </w:pPr>
      <w:r w:rsidRPr="0018135E">
        <w:t>(b) A proposed self-employment setting is appropriate when:</w:t>
      </w:r>
    </w:p>
    <w:p w14:paraId="3CF50AC1" w14:textId="77777777" w:rsidR="00140196" w:rsidRPr="0018135E" w:rsidRDefault="00140196" w:rsidP="00140196">
      <w:pPr>
        <w:ind w:left="720" w:right="720"/>
        <w:jc w:val="both"/>
      </w:pPr>
      <w:r w:rsidRPr="0018135E">
        <w:t>(2) The proposed small business in which the individual will be self-employed is reasonably likely to produce sufficient income, within a reasonable period after the individual begins operating the business, not to exceed 12 months, to:</w:t>
      </w:r>
    </w:p>
    <w:p w14:paraId="1FAA748B" w14:textId="77777777" w:rsidR="00140196" w:rsidRPr="0018135E" w:rsidRDefault="00140196" w:rsidP="00140196">
      <w:pPr>
        <w:ind w:left="720" w:right="720"/>
        <w:jc w:val="both"/>
      </w:pPr>
      <w:r w:rsidRPr="0018135E">
        <w:t>(A) Pay the necessary ongoing operating expenses of the small business, as specified in Section 7136.8 of these regulations; and</w:t>
      </w:r>
    </w:p>
    <w:p w14:paraId="6945B795" w14:textId="77777777" w:rsidR="00140196" w:rsidRDefault="00140196" w:rsidP="00140196">
      <w:pPr>
        <w:ind w:left="720" w:right="720"/>
        <w:jc w:val="both"/>
      </w:pPr>
      <w:r w:rsidRPr="0018135E">
        <w:t>(B)</w:t>
      </w:r>
      <w:r w:rsidRPr="0018135E">
        <w:rPr>
          <w:b/>
          <w:bCs/>
        </w:rPr>
        <w:t xml:space="preserve"> </w:t>
      </w:r>
      <w:r>
        <w:rPr>
          <w:b/>
          <w:bCs/>
        </w:rPr>
        <w:t>*</w:t>
      </w:r>
      <w:r w:rsidRPr="0018135E">
        <w:rPr>
          <w:b/>
          <w:bCs/>
        </w:rPr>
        <w:t xml:space="preserve">Yields an income that is comparable to the income received by other individuals who are not individuals with disabilities and who </w:t>
      </w:r>
      <w:r w:rsidRPr="0018135E">
        <w:rPr>
          <w:b/>
          <w:bCs/>
        </w:rPr>
        <w:lastRenderedPageBreak/>
        <w:t>are self-employed in similar occupations or on similar tasks and who have similar training, experience, and skills.</w:t>
      </w:r>
      <w:r>
        <w:rPr>
          <w:b/>
          <w:bCs/>
        </w:rPr>
        <w:t xml:space="preserve">* </w:t>
      </w:r>
    </w:p>
    <w:p w14:paraId="32A0CD16" w14:textId="77777777" w:rsidR="00140196" w:rsidRPr="0018135E" w:rsidRDefault="00140196" w:rsidP="00140196">
      <w:r>
        <w:rPr>
          <w:rFonts w:cs="Arial"/>
        </w:rPr>
        <w:t>This change occurred because federal legislators recognized that new businesses often do not produce a substantial profit margin within the first year. They</w:t>
      </w:r>
      <w:r>
        <w:t xml:space="preserve"> updated regulations to help ensure that</w:t>
      </w:r>
      <w:r>
        <w:rPr>
          <w:rFonts w:cs="Arial"/>
        </w:rPr>
        <w:t xml:space="preserve"> entrepreneurs with disabilities are not held to a higher and often unattainable standard than their counterparts without disabilities.</w:t>
      </w:r>
    </w:p>
    <w:p w14:paraId="5DE8856E" w14:textId="77777777" w:rsidR="00140196" w:rsidRPr="0018135E" w:rsidRDefault="00140196" w:rsidP="00140196">
      <w:pPr>
        <w:pStyle w:val="Heading2"/>
      </w:pPr>
      <w:r w:rsidRPr="0018135E">
        <w:t xml:space="preserve">Job retention assistance </w:t>
      </w:r>
      <w:r>
        <w:t>is</w:t>
      </w:r>
      <w:r w:rsidRPr="0018135E">
        <w:t xml:space="preserve"> available for self-employed individuals</w:t>
      </w:r>
    </w:p>
    <w:p w14:paraId="3C53AEE5" w14:textId="77777777" w:rsidR="00140196" w:rsidRDefault="00140196" w:rsidP="00140196">
      <w:r w:rsidRPr="0018135E">
        <w:t xml:space="preserve">As a result of the Workforce Innovation and Opportunity Act (WIOA), </w:t>
      </w:r>
      <w:hyperlink r:id="rId10" w:history="1">
        <w:r w:rsidRPr="0018135E">
          <w:rPr>
            <w:rStyle w:val="Hyperlink"/>
          </w:rPr>
          <w:t>9 CCR 7137(a)</w:t>
        </w:r>
      </w:hyperlink>
      <w:r w:rsidRPr="0018135E">
        <w:t xml:space="preserve"> was</w:t>
      </w:r>
      <w:r>
        <w:t xml:space="preserve"> also</w:t>
      </w:r>
      <w:r w:rsidRPr="0018135E">
        <w:t xml:space="preserve"> updated to make clear that DOR can provide services “to assist the individual in preparing for</w:t>
      </w:r>
      <w:r w:rsidRPr="0018135E">
        <w:rPr>
          <w:b/>
          <w:bCs/>
        </w:rPr>
        <w:t xml:space="preserve"> </w:t>
      </w:r>
      <w:r>
        <w:rPr>
          <w:b/>
          <w:bCs/>
        </w:rPr>
        <w:t>*</w:t>
      </w:r>
      <w:r w:rsidRPr="0018135E">
        <w:rPr>
          <w:b/>
          <w:bCs/>
        </w:rPr>
        <w:t>entering, advancing in, or retaining</w:t>
      </w:r>
      <w:r>
        <w:rPr>
          <w:b/>
          <w:bCs/>
        </w:rPr>
        <w:t>*</w:t>
      </w:r>
      <w:r w:rsidRPr="0018135E">
        <w:t xml:space="preserve"> work in a self-employment setting, and certain initial one-time costs to establish the proposed small business.”</w:t>
      </w:r>
    </w:p>
    <w:p w14:paraId="6FB790D8" w14:textId="77777777" w:rsidR="00140196" w:rsidRPr="0018135E" w:rsidRDefault="00140196" w:rsidP="00140196"/>
    <w:p w14:paraId="71694A2D" w14:textId="77777777" w:rsidR="00140196" w:rsidRDefault="00140196" w:rsidP="00140196">
      <w:r w:rsidRPr="0018135E">
        <w:t>The addition of the phrase, “entering, advancing in, or retaining</w:t>
      </w:r>
      <w:r w:rsidRPr="0018135E">
        <w:rPr>
          <w:b/>
          <w:bCs/>
        </w:rPr>
        <w:t xml:space="preserve"> </w:t>
      </w:r>
      <w:r w:rsidRPr="0018135E">
        <w:t>work</w:t>
      </w:r>
      <w:r>
        <w:t>”</w:t>
      </w:r>
      <w:r w:rsidRPr="0018135E">
        <w:t xml:space="preserve"> is extremely important because previously, DOR could only assist with “entry level employment.” That meant if somebody wanted to switch careers, they first had to demonstrate that they had a </w:t>
      </w:r>
      <w:r>
        <w:t>disability</w:t>
      </w:r>
      <w:r w:rsidRPr="0018135E">
        <w:t>-related reason why they could no longer continue the employment they were in. However, the WIOA recognizes that people with disabilities should be supported to work to their fullest potential, consistent with their</w:t>
      </w:r>
      <w:r>
        <w:t xml:space="preserve"> knowledge, skills, abilities, interests and</w:t>
      </w:r>
      <w:r w:rsidRPr="0018135E">
        <w:t xml:space="preserve"> informed choice. That means that now somebody who is already employed can get help from DOR to either advance in their current employment; switch to</w:t>
      </w:r>
      <w:r>
        <w:t xml:space="preserve"> another </w:t>
      </w:r>
      <w:r w:rsidRPr="0018135E">
        <w:t xml:space="preserve">career; or keep the job they </w:t>
      </w:r>
      <w:r>
        <w:t xml:space="preserve">are in and </w:t>
      </w:r>
      <w:r w:rsidRPr="0018135E">
        <w:t>may be at risk of losing. In the context of self-employment</w:t>
      </w:r>
      <w:r>
        <w:t xml:space="preserve">, this means that if somebody is already employed but wants to start their own business, DOR could assist them with that. Similarly, if somebody is self-employed and wants help with job retention to keep their business, DOR can help with that as well. </w:t>
      </w:r>
    </w:p>
    <w:p w14:paraId="474F76AE" w14:textId="77777777" w:rsidR="00140196" w:rsidRPr="0018135E" w:rsidRDefault="00140196" w:rsidP="00140196"/>
    <w:p w14:paraId="6F4F8905" w14:textId="77777777" w:rsidR="00140196" w:rsidRPr="00140196" w:rsidRDefault="00140196" w:rsidP="00140196">
      <w:pPr>
        <w:pStyle w:val="Heading2"/>
        <w:rPr>
          <w:b/>
          <w:bCs/>
        </w:rPr>
      </w:pPr>
      <w:r w:rsidRPr="00140196">
        <w:rPr>
          <w:b/>
          <w:bCs/>
        </w:rPr>
        <w:t xml:space="preserve">Other Key Requirements </w:t>
      </w:r>
    </w:p>
    <w:p w14:paraId="59487B94" w14:textId="77777777" w:rsidR="00140196" w:rsidRDefault="00140196" w:rsidP="00140196">
      <w:pPr>
        <w:rPr>
          <w:rFonts w:cs="Arial"/>
          <w:color w:val="333333"/>
          <w:szCs w:val="28"/>
          <w:shd w:val="clear" w:color="auto" w:fill="FFFFFF"/>
        </w:rPr>
      </w:pPr>
      <w:r>
        <w:rPr>
          <w:rFonts w:cs="Arial"/>
          <w:color w:val="333333"/>
          <w:szCs w:val="28"/>
          <w:shd w:val="clear" w:color="auto" w:fill="FFFFFF"/>
        </w:rPr>
        <w:t xml:space="preserve">There are other key requirements in the Rehabilitation Act that relate to all DOR services, including self-employment, but are not yet reflected in the CCR or the RAM. These criteria are extremely important for DOR staff to know when determining what services to provide. </w:t>
      </w:r>
    </w:p>
    <w:p w14:paraId="4CB9B2DC" w14:textId="77777777" w:rsidR="00140196" w:rsidRDefault="00140196" w:rsidP="00140196">
      <w:pPr>
        <w:rPr>
          <w:rFonts w:cs="Arial"/>
          <w:color w:val="333333"/>
          <w:szCs w:val="28"/>
          <w:shd w:val="clear" w:color="auto" w:fill="FFFFFF"/>
        </w:rPr>
      </w:pPr>
      <w:r>
        <w:rPr>
          <w:rFonts w:cs="Arial"/>
          <w:color w:val="333333"/>
          <w:szCs w:val="28"/>
          <w:shd w:val="clear" w:color="auto" w:fill="FFFFFF"/>
        </w:rPr>
        <w:t xml:space="preserve">Some of these missing points are contained in </w:t>
      </w:r>
      <w:hyperlink r:id="rId11" w:history="1">
        <w:r w:rsidRPr="00EF0E8B">
          <w:rPr>
            <w:rStyle w:val="Hyperlink"/>
            <w:rFonts w:cs="Arial"/>
            <w:szCs w:val="28"/>
            <w:shd w:val="clear" w:color="auto" w:fill="FFFFFF"/>
          </w:rPr>
          <w:t>34 CFR § 361.50</w:t>
        </w:r>
      </w:hyperlink>
      <w:r>
        <w:rPr>
          <w:rFonts w:cs="Arial"/>
          <w:color w:val="333333"/>
          <w:szCs w:val="28"/>
          <w:shd w:val="clear" w:color="auto" w:fill="FFFFFF"/>
        </w:rPr>
        <w:t xml:space="preserve">. That section establishes that States must create written policies regarding the nature and scope of vocational rehabilitation (VR) services based on the individualized needs of each client. However, the policies must comply with the following: </w:t>
      </w:r>
    </w:p>
    <w:p w14:paraId="0B0F7073" w14:textId="77777777" w:rsidR="00140196" w:rsidRPr="009215B9" w:rsidRDefault="00140196" w:rsidP="00140196">
      <w:pPr>
        <w:rPr>
          <w:rFonts w:cs="Arial"/>
          <w:color w:val="333333"/>
          <w:szCs w:val="28"/>
          <w:shd w:val="clear" w:color="auto" w:fill="FFFFFF"/>
        </w:rPr>
      </w:pPr>
      <w:r>
        <w:rPr>
          <w:rFonts w:cs="Arial"/>
          <w:b/>
          <w:bCs/>
          <w:color w:val="333333"/>
          <w:szCs w:val="28"/>
          <w:u w:val="single"/>
          <w:shd w:val="clear" w:color="auto" w:fill="FFFFFF"/>
        </w:rPr>
        <w:t>No a</w:t>
      </w:r>
      <w:r w:rsidRPr="00307DE3">
        <w:rPr>
          <w:rFonts w:cs="Arial"/>
          <w:b/>
          <w:bCs/>
          <w:color w:val="333333"/>
          <w:szCs w:val="28"/>
          <w:u w:val="single"/>
          <w:shd w:val="clear" w:color="auto" w:fill="FFFFFF"/>
        </w:rPr>
        <w:t>rbitrary limits</w:t>
      </w:r>
      <w:r>
        <w:rPr>
          <w:rFonts w:cs="Arial"/>
          <w:color w:val="333333"/>
          <w:szCs w:val="28"/>
          <w:shd w:val="clear" w:color="auto" w:fill="FFFFFF"/>
        </w:rPr>
        <w:t>: States cannot establish arbitrary limits on the nature and scope of vocational rehabilitation services.</w:t>
      </w:r>
    </w:p>
    <w:p w14:paraId="6A59AD0A" w14:textId="77777777" w:rsidR="00140196" w:rsidRPr="009215B9" w:rsidRDefault="00140196" w:rsidP="00140196">
      <w:pPr>
        <w:rPr>
          <w:rFonts w:cs="Arial"/>
          <w:color w:val="333333"/>
          <w:szCs w:val="28"/>
          <w:u w:val="single"/>
          <w:shd w:val="clear" w:color="auto" w:fill="FFFFFF"/>
        </w:rPr>
      </w:pPr>
      <w:r>
        <w:rPr>
          <w:rFonts w:cs="Arial"/>
          <w:b/>
          <w:bCs/>
          <w:color w:val="333333"/>
          <w:szCs w:val="28"/>
          <w:u w:val="single"/>
          <w:shd w:val="clear" w:color="auto" w:fill="FFFFFF"/>
        </w:rPr>
        <w:t>No o</w:t>
      </w:r>
      <w:r w:rsidRPr="00307DE3">
        <w:rPr>
          <w:rFonts w:cs="Arial"/>
          <w:b/>
          <w:bCs/>
          <w:color w:val="333333"/>
          <w:szCs w:val="28"/>
          <w:u w:val="single"/>
          <w:shd w:val="clear" w:color="auto" w:fill="FFFFFF"/>
        </w:rPr>
        <w:t>ut of state service</w:t>
      </w:r>
      <w:r>
        <w:rPr>
          <w:rFonts w:cs="Arial"/>
          <w:b/>
          <w:bCs/>
          <w:color w:val="333333"/>
          <w:szCs w:val="28"/>
          <w:u w:val="single"/>
          <w:shd w:val="clear" w:color="auto" w:fill="FFFFFF"/>
        </w:rPr>
        <w:t xml:space="preserve"> exclusion</w:t>
      </w:r>
      <w:r>
        <w:rPr>
          <w:rFonts w:cs="Arial"/>
          <w:color w:val="333333"/>
          <w:szCs w:val="28"/>
          <w:shd w:val="clear" w:color="auto" w:fill="FFFFFF"/>
        </w:rPr>
        <w:t xml:space="preserve">: </w:t>
      </w:r>
      <w:r w:rsidRPr="009215B9">
        <w:rPr>
          <w:rFonts w:cs="Arial"/>
          <w:color w:val="333333"/>
          <w:szCs w:val="28"/>
          <w:shd w:val="clear" w:color="auto" w:fill="FFFFFF"/>
        </w:rPr>
        <w:t xml:space="preserve">States can establish a preference for in-state services but cannot prohibit out-of-state services. </w:t>
      </w:r>
    </w:p>
    <w:p w14:paraId="0D503A7E" w14:textId="77777777" w:rsidR="00140196" w:rsidRPr="00307DE3" w:rsidRDefault="00140196" w:rsidP="00140196">
      <w:pPr>
        <w:shd w:val="clear" w:color="auto" w:fill="FFFFFF"/>
        <w:spacing w:after="150"/>
        <w:ind w:right="540"/>
      </w:pPr>
      <w:r>
        <w:rPr>
          <w:b/>
          <w:bCs/>
          <w:u w:val="single"/>
        </w:rPr>
        <w:lastRenderedPageBreak/>
        <w:t>Flexible r</w:t>
      </w:r>
      <w:r w:rsidRPr="00307DE3">
        <w:rPr>
          <w:b/>
          <w:bCs/>
          <w:u w:val="single"/>
        </w:rPr>
        <w:t>ates</w:t>
      </w:r>
      <w:r w:rsidRPr="00307DE3">
        <w:rPr>
          <w:b/>
          <w:bCs/>
        </w:rPr>
        <w:t>:</w:t>
      </w:r>
      <w:r>
        <w:t xml:space="preserve"> S</w:t>
      </w:r>
      <w:r w:rsidRPr="009215B9">
        <w:t xml:space="preserve">tates can establish a </w:t>
      </w:r>
      <w:r>
        <w:t xml:space="preserve">reasonable </w:t>
      </w:r>
      <w:r w:rsidRPr="009215B9">
        <w:t>fee schedule</w:t>
      </w:r>
      <w:r>
        <w:t xml:space="preserve"> for s</w:t>
      </w:r>
      <w:r w:rsidRPr="00307DE3">
        <w:t>ervices</w:t>
      </w:r>
      <w:r>
        <w:t>,</w:t>
      </w:r>
      <w:r w:rsidRPr="00307DE3">
        <w:t xml:space="preserve"> but the rates</w:t>
      </w:r>
      <w:r>
        <w:t>:</w:t>
      </w:r>
    </w:p>
    <w:p w14:paraId="59E0AFCA" w14:textId="77777777" w:rsidR="00140196" w:rsidRPr="00307DE3" w:rsidRDefault="00140196" w:rsidP="00140196">
      <w:pPr>
        <w:pStyle w:val="ListParagraph"/>
        <w:numPr>
          <w:ilvl w:val="0"/>
          <w:numId w:val="30"/>
        </w:numPr>
        <w:shd w:val="clear" w:color="auto" w:fill="FFFFFF"/>
        <w:spacing w:after="150" w:line="278" w:lineRule="auto"/>
        <w:ind w:right="540"/>
        <w:rPr>
          <w:rFonts w:cs="Arial"/>
          <w:color w:val="333333"/>
          <w:szCs w:val="28"/>
        </w:rPr>
      </w:pPr>
      <w:r>
        <w:t>c</w:t>
      </w:r>
      <w:r w:rsidRPr="00307DE3">
        <w:t xml:space="preserve">annot be so low that it is </w:t>
      </w:r>
      <w:r>
        <w:t>effectively</w:t>
      </w:r>
      <w:r w:rsidRPr="00307DE3">
        <w:t xml:space="preserve"> a denial of services, because no providers will accept that rate; </w:t>
      </w:r>
    </w:p>
    <w:p w14:paraId="1BC4C52E" w14:textId="77777777" w:rsidR="00140196" w:rsidRPr="00307DE3" w:rsidRDefault="00140196" w:rsidP="00140196">
      <w:pPr>
        <w:pStyle w:val="ListParagraph"/>
        <w:numPr>
          <w:ilvl w:val="0"/>
          <w:numId w:val="30"/>
        </w:numPr>
        <w:shd w:val="clear" w:color="auto" w:fill="FFFFFF"/>
        <w:spacing w:after="150" w:line="278" w:lineRule="auto"/>
        <w:ind w:right="540"/>
        <w:rPr>
          <w:rFonts w:cs="Arial"/>
          <w:color w:val="333333"/>
          <w:szCs w:val="28"/>
        </w:rPr>
      </w:pPr>
      <w:r>
        <w:rPr>
          <w:rFonts w:cs="Arial"/>
          <w:color w:val="333333"/>
          <w:szCs w:val="28"/>
        </w:rPr>
        <w:t>c</w:t>
      </w:r>
      <w:r w:rsidRPr="00307DE3">
        <w:rPr>
          <w:rFonts w:cs="Arial"/>
          <w:color w:val="333333"/>
          <w:szCs w:val="28"/>
        </w:rPr>
        <w:t>annot be absolute and must permit exceptions for individual needs;</w:t>
      </w:r>
    </w:p>
    <w:p w14:paraId="66CD45A8" w14:textId="77777777" w:rsidR="00140196" w:rsidRPr="00307DE3" w:rsidRDefault="00140196" w:rsidP="00140196">
      <w:pPr>
        <w:pStyle w:val="ListParagraph"/>
        <w:numPr>
          <w:ilvl w:val="0"/>
          <w:numId w:val="30"/>
        </w:numPr>
        <w:spacing w:after="160" w:line="278" w:lineRule="auto"/>
      </w:pPr>
      <w:r>
        <w:rPr>
          <w:rFonts w:cs="Arial"/>
          <w:color w:val="333333"/>
          <w:szCs w:val="28"/>
        </w:rPr>
        <w:t>c</w:t>
      </w:r>
      <w:r w:rsidRPr="00307DE3">
        <w:rPr>
          <w:rFonts w:cs="Arial"/>
          <w:color w:val="333333"/>
          <w:szCs w:val="28"/>
        </w:rPr>
        <w:t>annot establish absolute dollar limits on specific service categories or on the total services provided to an individual.</w:t>
      </w:r>
    </w:p>
    <w:p w14:paraId="6BF636F7" w14:textId="77777777" w:rsidR="00140196" w:rsidRDefault="00140196" w:rsidP="00140196">
      <w:r>
        <w:rPr>
          <w:b/>
          <w:bCs/>
          <w:u w:val="single"/>
        </w:rPr>
        <w:t>Flexible d</w:t>
      </w:r>
      <w:r w:rsidRPr="0018135E">
        <w:rPr>
          <w:b/>
          <w:bCs/>
          <w:u w:val="single"/>
        </w:rPr>
        <w:t>uration of services</w:t>
      </w:r>
      <w:r w:rsidRPr="00307DE3">
        <w:rPr>
          <w:b/>
          <w:bCs/>
        </w:rPr>
        <w:t>:</w:t>
      </w:r>
      <w:r>
        <w:rPr>
          <w:b/>
          <w:bCs/>
        </w:rPr>
        <w:t xml:space="preserve"> </w:t>
      </w:r>
      <w:r>
        <w:t>States may establish reasonable time periods for providing services as long as they:</w:t>
      </w:r>
    </w:p>
    <w:p w14:paraId="5FA78203" w14:textId="77777777" w:rsidR="00140196" w:rsidRDefault="00140196" w:rsidP="00140196">
      <w:pPr>
        <w:ind w:left="720" w:right="547" w:hanging="360"/>
      </w:pPr>
      <w:r>
        <w:t>-</w:t>
      </w:r>
      <w:r>
        <w:tab/>
        <w:t>are not so short that they effectively deny a necessary service</w:t>
      </w:r>
    </w:p>
    <w:p w14:paraId="383396AA" w14:textId="77777777" w:rsidR="00140196" w:rsidRDefault="00140196" w:rsidP="00140196">
      <w:pPr>
        <w:spacing w:after="150"/>
        <w:ind w:left="720" w:right="547" w:hanging="360"/>
        <w:rPr>
          <w:rFonts w:cs="Arial"/>
          <w:color w:val="333333"/>
          <w:szCs w:val="28"/>
        </w:rPr>
      </w:pPr>
      <w:r w:rsidRPr="00B95908">
        <w:rPr>
          <w:rFonts w:cs="Arial"/>
          <w:color w:val="333333"/>
          <w:szCs w:val="28"/>
        </w:rPr>
        <w:t>-</w:t>
      </w:r>
      <w:r>
        <w:rPr>
          <w:rFonts w:cs="Arial"/>
          <w:color w:val="333333"/>
          <w:szCs w:val="28"/>
        </w:rPr>
        <w:tab/>
        <w:t>are not</w:t>
      </w:r>
      <w:r w:rsidRPr="00B95908">
        <w:rPr>
          <w:rFonts w:cs="Arial"/>
          <w:color w:val="333333"/>
          <w:szCs w:val="28"/>
        </w:rPr>
        <w:t xml:space="preserve"> absolute limits on a particular service</w:t>
      </w:r>
      <w:r>
        <w:rPr>
          <w:rFonts w:cs="Arial"/>
          <w:color w:val="333333"/>
          <w:szCs w:val="28"/>
        </w:rPr>
        <w:t xml:space="preserve"> </w:t>
      </w:r>
      <w:r w:rsidRPr="00B95908">
        <w:rPr>
          <w:rFonts w:cs="Arial"/>
          <w:color w:val="333333"/>
          <w:szCs w:val="28"/>
        </w:rPr>
        <w:t xml:space="preserve">or how long an individual can receive </w:t>
      </w:r>
      <w:r>
        <w:rPr>
          <w:rFonts w:cs="Arial"/>
          <w:color w:val="333333"/>
          <w:szCs w:val="28"/>
        </w:rPr>
        <w:t xml:space="preserve">VR </w:t>
      </w:r>
      <w:r w:rsidRPr="00B95908">
        <w:rPr>
          <w:rFonts w:cs="Arial"/>
          <w:color w:val="333333"/>
          <w:szCs w:val="28"/>
        </w:rPr>
        <w:t>services</w:t>
      </w:r>
    </w:p>
    <w:p w14:paraId="2E27CEFA" w14:textId="77777777" w:rsidR="00140196" w:rsidRDefault="00140196" w:rsidP="00140196">
      <w:pPr>
        <w:spacing w:after="150"/>
        <w:ind w:left="720" w:right="547" w:hanging="360"/>
        <w:rPr>
          <w:rFonts w:cs="Arial"/>
          <w:color w:val="333333"/>
          <w:szCs w:val="28"/>
        </w:rPr>
      </w:pPr>
      <w:r>
        <w:rPr>
          <w:rFonts w:cs="Arial"/>
          <w:color w:val="333333"/>
          <w:szCs w:val="28"/>
        </w:rPr>
        <w:t>-</w:t>
      </w:r>
      <w:r>
        <w:rPr>
          <w:rFonts w:cs="Arial"/>
          <w:color w:val="333333"/>
          <w:szCs w:val="28"/>
        </w:rPr>
        <w:tab/>
        <w:t>permit</w:t>
      </w:r>
      <w:r w:rsidRPr="00B95908">
        <w:rPr>
          <w:rFonts w:cs="Arial"/>
          <w:color w:val="333333"/>
          <w:szCs w:val="28"/>
        </w:rPr>
        <w:t xml:space="preserve"> exceptions </w:t>
      </w:r>
    </w:p>
    <w:p w14:paraId="483C10C8" w14:textId="77777777" w:rsidR="00140196" w:rsidRPr="00C168CF" w:rsidRDefault="00140196" w:rsidP="00140196">
      <w:pPr>
        <w:rPr>
          <w:color w:val="000000"/>
        </w:rPr>
      </w:pPr>
      <w:r>
        <w:rPr>
          <w:color w:val="000000"/>
        </w:rPr>
        <w:t>One of many examples of how this comes up in the self-employment context is in regard to the list of services that the CCR currently states cannot be provided on an ongoing basis. (</w:t>
      </w:r>
      <w:hyperlink r:id="rId12" w:history="1">
        <w:r w:rsidRPr="00F77944">
          <w:rPr>
            <w:rStyle w:val="Hyperlink"/>
          </w:rPr>
          <w:t>9 CCR §7136.8(g)</w:t>
        </w:r>
      </w:hyperlink>
      <w:r>
        <w:rPr>
          <w:color w:val="000000"/>
        </w:rPr>
        <w:t xml:space="preserve">) Although it is correct that DOR cannot provide these services indefinitely, DOR staff must look at the specific circumstances and needs of each individual and provide the services necessary, for the duration required, to help successfully launch the business. Per the federal regulations we cannot set fixed limits based on an arbitrary number of months without exception. When it comes to VR services, one size does not fit all.  </w:t>
      </w:r>
    </w:p>
    <w:p w14:paraId="5840DFBA" w14:textId="77777777" w:rsidR="00140196" w:rsidRPr="0006478C" w:rsidRDefault="00140196" w:rsidP="00920AB5">
      <w:pPr>
        <w:shd w:val="clear" w:color="auto" w:fill="FFFFFF"/>
        <w:rPr>
          <w:rFonts w:cs="Arial"/>
          <w:color w:val="212121"/>
          <w:szCs w:val="28"/>
        </w:rPr>
      </w:pPr>
    </w:p>
    <w:sectPr w:rsidR="00140196" w:rsidRPr="0006478C" w:rsidSect="00920AB5">
      <w:headerReference w:type="even" r:id="rId13"/>
      <w:headerReference w:type="default" r:id="rId14"/>
      <w:footerReference w:type="even" r:id="rId15"/>
      <w:footerReference w:type="default" r:id="rId16"/>
      <w:headerReference w:type="first" r:id="rId17"/>
      <w:footerReference w:type="first" r:id="rId1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436D0" w14:textId="77777777" w:rsidR="00571A28" w:rsidRDefault="00571A28" w:rsidP="009B0956">
      <w:r>
        <w:separator/>
      </w:r>
    </w:p>
  </w:endnote>
  <w:endnote w:type="continuationSeparator" w:id="0">
    <w:p w14:paraId="45DDD64C" w14:textId="77777777" w:rsidR="00571A28" w:rsidRDefault="00571A28" w:rsidP="009B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A00F5" w14:textId="77777777" w:rsidR="00C57BA4" w:rsidRDefault="00C57B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B47F4" w14:textId="3EBDC81E" w:rsidR="009B0956" w:rsidRDefault="009B0956">
    <w:pPr>
      <w:pStyle w:val="Footer"/>
      <w:jc w:val="right"/>
    </w:pPr>
    <w:r>
      <w:t xml:space="preserve">Page </w:t>
    </w:r>
    <w:sdt>
      <w:sdtPr>
        <w:id w:val="16954264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C365C7F" w14:textId="77777777" w:rsidR="009B0956" w:rsidRDefault="009B09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FAEB3" w14:textId="77777777" w:rsidR="00C57BA4" w:rsidRDefault="00C57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DAF9D" w14:textId="77777777" w:rsidR="00571A28" w:rsidRDefault="00571A28" w:rsidP="009B0956">
      <w:r>
        <w:separator/>
      </w:r>
    </w:p>
  </w:footnote>
  <w:footnote w:type="continuationSeparator" w:id="0">
    <w:p w14:paraId="200A6DDF" w14:textId="77777777" w:rsidR="00571A28" w:rsidRDefault="00571A28" w:rsidP="009B0956">
      <w:r>
        <w:continuationSeparator/>
      </w:r>
    </w:p>
  </w:footnote>
  <w:footnote w:id="1">
    <w:p w14:paraId="435C98D4" w14:textId="77777777" w:rsidR="00140196" w:rsidRDefault="00140196" w:rsidP="00140196">
      <w:pPr>
        <w:pStyle w:val="FootnoteText"/>
      </w:pPr>
      <w:r>
        <w:rPr>
          <w:rStyle w:val="FootnoteReference"/>
        </w:rPr>
        <w:footnoteRef/>
      </w:r>
      <w:r>
        <w:t xml:space="preserve"> </w:t>
      </w:r>
      <w:r w:rsidRPr="00751169">
        <w:rPr>
          <w:i/>
          <w:iCs/>
          <w:sz w:val="24"/>
          <w:szCs w:val="24"/>
        </w:rPr>
        <w:t>There is an * before and after each section of</w:t>
      </w:r>
      <w:r>
        <w:rPr>
          <w:i/>
          <w:iCs/>
          <w:sz w:val="24"/>
        </w:rPr>
        <w:t xml:space="preserve"> bolded </w:t>
      </w:r>
      <w:r w:rsidRPr="00751169">
        <w:rPr>
          <w:i/>
          <w:iCs/>
          <w:sz w:val="24"/>
          <w:szCs w:val="24"/>
        </w:rPr>
        <w:t xml:space="preserve">text in the body of this memo </w:t>
      </w:r>
      <w:r>
        <w:rPr>
          <w:i/>
          <w:iCs/>
          <w:sz w:val="24"/>
        </w:rPr>
        <w:t>to indicate the emphasis for</w:t>
      </w:r>
      <w:r w:rsidRPr="00751169">
        <w:rPr>
          <w:i/>
          <w:iCs/>
          <w:sz w:val="24"/>
          <w:szCs w:val="24"/>
        </w:rPr>
        <w:t xml:space="preserve"> people using screeners.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6A06F" w14:textId="77777777" w:rsidR="00C57BA4" w:rsidRDefault="00C57B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09948" w14:textId="77777777" w:rsidR="00C57BA4" w:rsidRDefault="00C57B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DFF90" w14:textId="77777777" w:rsidR="00C57BA4" w:rsidRDefault="00C57B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69D3"/>
    <w:multiLevelType w:val="hybridMultilevel"/>
    <w:tmpl w:val="35209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14F4C"/>
    <w:multiLevelType w:val="hybridMultilevel"/>
    <w:tmpl w:val="C53C0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7451F"/>
    <w:multiLevelType w:val="hybridMultilevel"/>
    <w:tmpl w:val="0488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90AAB"/>
    <w:multiLevelType w:val="hybridMultilevel"/>
    <w:tmpl w:val="F14CA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83E1F"/>
    <w:multiLevelType w:val="hybridMultilevel"/>
    <w:tmpl w:val="E1DE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712D8"/>
    <w:multiLevelType w:val="hybridMultilevel"/>
    <w:tmpl w:val="65969A4A"/>
    <w:lvl w:ilvl="0" w:tplc="E75AFA64">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A68B9"/>
    <w:multiLevelType w:val="hybridMultilevel"/>
    <w:tmpl w:val="C1B848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433D0F"/>
    <w:multiLevelType w:val="hybridMultilevel"/>
    <w:tmpl w:val="50486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9F66D04"/>
    <w:multiLevelType w:val="hybridMultilevel"/>
    <w:tmpl w:val="F9086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A5B30"/>
    <w:multiLevelType w:val="hybridMultilevel"/>
    <w:tmpl w:val="398C0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9574E1"/>
    <w:multiLevelType w:val="hybridMultilevel"/>
    <w:tmpl w:val="CA0CDA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503EB3"/>
    <w:multiLevelType w:val="hybridMultilevel"/>
    <w:tmpl w:val="2338823C"/>
    <w:lvl w:ilvl="0" w:tplc="D6AAB412">
      <w:start w:val="1"/>
      <w:numFmt w:val="bullet"/>
      <w:lvlText w:val="•"/>
      <w:lvlJc w:val="left"/>
      <w:pPr>
        <w:tabs>
          <w:tab w:val="num" w:pos="720"/>
        </w:tabs>
        <w:ind w:left="720" w:hanging="360"/>
      </w:pPr>
      <w:rPr>
        <w:rFonts w:ascii="Arial" w:hAnsi="Arial" w:hint="default"/>
      </w:rPr>
    </w:lvl>
    <w:lvl w:ilvl="1" w:tplc="C46631AC" w:tentative="1">
      <w:start w:val="1"/>
      <w:numFmt w:val="bullet"/>
      <w:lvlText w:val="•"/>
      <w:lvlJc w:val="left"/>
      <w:pPr>
        <w:tabs>
          <w:tab w:val="num" w:pos="1440"/>
        </w:tabs>
        <w:ind w:left="1440" w:hanging="360"/>
      </w:pPr>
      <w:rPr>
        <w:rFonts w:ascii="Arial" w:hAnsi="Arial" w:hint="default"/>
      </w:rPr>
    </w:lvl>
    <w:lvl w:ilvl="2" w:tplc="01F0D352" w:tentative="1">
      <w:start w:val="1"/>
      <w:numFmt w:val="bullet"/>
      <w:lvlText w:val="•"/>
      <w:lvlJc w:val="left"/>
      <w:pPr>
        <w:tabs>
          <w:tab w:val="num" w:pos="2160"/>
        </w:tabs>
        <w:ind w:left="2160" w:hanging="360"/>
      </w:pPr>
      <w:rPr>
        <w:rFonts w:ascii="Arial" w:hAnsi="Arial" w:hint="default"/>
      </w:rPr>
    </w:lvl>
    <w:lvl w:ilvl="3" w:tplc="694E3C80" w:tentative="1">
      <w:start w:val="1"/>
      <w:numFmt w:val="bullet"/>
      <w:lvlText w:val="•"/>
      <w:lvlJc w:val="left"/>
      <w:pPr>
        <w:tabs>
          <w:tab w:val="num" w:pos="2880"/>
        </w:tabs>
        <w:ind w:left="2880" w:hanging="360"/>
      </w:pPr>
      <w:rPr>
        <w:rFonts w:ascii="Arial" w:hAnsi="Arial" w:hint="default"/>
      </w:rPr>
    </w:lvl>
    <w:lvl w:ilvl="4" w:tplc="86586EDA" w:tentative="1">
      <w:start w:val="1"/>
      <w:numFmt w:val="bullet"/>
      <w:lvlText w:val="•"/>
      <w:lvlJc w:val="left"/>
      <w:pPr>
        <w:tabs>
          <w:tab w:val="num" w:pos="3600"/>
        </w:tabs>
        <w:ind w:left="3600" w:hanging="360"/>
      </w:pPr>
      <w:rPr>
        <w:rFonts w:ascii="Arial" w:hAnsi="Arial" w:hint="default"/>
      </w:rPr>
    </w:lvl>
    <w:lvl w:ilvl="5" w:tplc="2F4AB1E6" w:tentative="1">
      <w:start w:val="1"/>
      <w:numFmt w:val="bullet"/>
      <w:lvlText w:val="•"/>
      <w:lvlJc w:val="left"/>
      <w:pPr>
        <w:tabs>
          <w:tab w:val="num" w:pos="4320"/>
        </w:tabs>
        <w:ind w:left="4320" w:hanging="360"/>
      </w:pPr>
      <w:rPr>
        <w:rFonts w:ascii="Arial" w:hAnsi="Arial" w:hint="default"/>
      </w:rPr>
    </w:lvl>
    <w:lvl w:ilvl="6" w:tplc="48207AFC" w:tentative="1">
      <w:start w:val="1"/>
      <w:numFmt w:val="bullet"/>
      <w:lvlText w:val="•"/>
      <w:lvlJc w:val="left"/>
      <w:pPr>
        <w:tabs>
          <w:tab w:val="num" w:pos="5040"/>
        </w:tabs>
        <w:ind w:left="5040" w:hanging="360"/>
      </w:pPr>
      <w:rPr>
        <w:rFonts w:ascii="Arial" w:hAnsi="Arial" w:hint="default"/>
      </w:rPr>
    </w:lvl>
    <w:lvl w:ilvl="7" w:tplc="809A312C" w:tentative="1">
      <w:start w:val="1"/>
      <w:numFmt w:val="bullet"/>
      <w:lvlText w:val="•"/>
      <w:lvlJc w:val="left"/>
      <w:pPr>
        <w:tabs>
          <w:tab w:val="num" w:pos="5760"/>
        </w:tabs>
        <w:ind w:left="5760" w:hanging="360"/>
      </w:pPr>
      <w:rPr>
        <w:rFonts w:ascii="Arial" w:hAnsi="Arial" w:hint="default"/>
      </w:rPr>
    </w:lvl>
    <w:lvl w:ilvl="8" w:tplc="F1223E5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EB020BC"/>
    <w:multiLevelType w:val="hybridMultilevel"/>
    <w:tmpl w:val="1BBC4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3B7582"/>
    <w:multiLevelType w:val="hybridMultilevel"/>
    <w:tmpl w:val="883E22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593180"/>
    <w:multiLevelType w:val="hybridMultilevel"/>
    <w:tmpl w:val="511E42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141CE7"/>
    <w:multiLevelType w:val="hybridMultilevel"/>
    <w:tmpl w:val="8E3AABF0"/>
    <w:lvl w:ilvl="0" w:tplc="D754508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AE1421"/>
    <w:multiLevelType w:val="hybridMultilevel"/>
    <w:tmpl w:val="E204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B00052"/>
    <w:multiLevelType w:val="hybridMultilevel"/>
    <w:tmpl w:val="11C6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061DDA"/>
    <w:multiLevelType w:val="hybridMultilevel"/>
    <w:tmpl w:val="DAE4DB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3C1644"/>
    <w:multiLevelType w:val="hybridMultilevel"/>
    <w:tmpl w:val="E50489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6D14D2F"/>
    <w:multiLevelType w:val="hybridMultilevel"/>
    <w:tmpl w:val="9C2A93B6"/>
    <w:lvl w:ilvl="0" w:tplc="12D6F0AE">
      <w:start w:val="1"/>
      <w:numFmt w:val="bullet"/>
      <w:lvlText w:val="•"/>
      <w:lvlJc w:val="left"/>
      <w:pPr>
        <w:tabs>
          <w:tab w:val="num" w:pos="720"/>
        </w:tabs>
        <w:ind w:left="720" w:hanging="360"/>
      </w:pPr>
      <w:rPr>
        <w:rFonts w:ascii="Arial" w:hAnsi="Arial" w:hint="default"/>
      </w:rPr>
    </w:lvl>
    <w:lvl w:ilvl="1" w:tplc="D77E7548">
      <w:start w:val="1"/>
      <w:numFmt w:val="bullet"/>
      <w:lvlText w:val="•"/>
      <w:lvlJc w:val="left"/>
      <w:pPr>
        <w:tabs>
          <w:tab w:val="num" w:pos="1440"/>
        </w:tabs>
        <w:ind w:left="1440" w:hanging="360"/>
      </w:pPr>
      <w:rPr>
        <w:rFonts w:ascii="Arial" w:hAnsi="Arial" w:hint="default"/>
      </w:rPr>
    </w:lvl>
    <w:lvl w:ilvl="2" w:tplc="E0D25B5A">
      <w:start w:val="1"/>
      <w:numFmt w:val="bullet"/>
      <w:lvlText w:val="•"/>
      <w:lvlJc w:val="left"/>
      <w:pPr>
        <w:tabs>
          <w:tab w:val="num" w:pos="2160"/>
        </w:tabs>
        <w:ind w:left="2160" w:hanging="360"/>
      </w:pPr>
      <w:rPr>
        <w:rFonts w:ascii="Arial" w:hAnsi="Arial" w:hint="default"/>
      </w:rPr>
    </w:lvl>
    <w:lvl w:ilvl="3" w:tplc="E8ACBE1A">
      <w:start w:val="1"/>
      <w:numFmt w:val="decimal"/>
      <w:lvlText w:val="%4."/>
      <w:lvlJc w:val="left"/>
      <w:pPr>
        <w:tabs>
          <w:tab w:val="num" w:pos="2880"/>
        </w:tabs>
        <w:ind w:left="2880" w:hanging="360"/>
      </w:pPr>
    </w:lvl>
    <w:lvl w:ilvl="4" w:tplc="60F40156" w:tentative="1">
      <w:start w:val="1"/>
      <w:numFmt w:val="bullet"/>
      <w:lvlText w:val="•"/>
      <w:lvlJc w:val="left"/>
      <w:pPr>
        <w:tabs>
          <w:tab w:val="num" w:pos="3600"/>
        </w:tabs>
        <w:ind w:left="3600" w:hanging="360"/>
      </w:pPr>
      <w:rPr>
        <w:rFonts w:ascii="Arial" w:hAnsi="Arial" w:hint="default"/>
      </w:rPr>
    </w:lvl>
    <w:lvl w:ilvl="5" w:tplc="94CA8564" w:tentative="1">
      <w:start w:val="1"/>
      <w:numFmt w:val="bullet"/>
      <w:lvlText w:val="•"/>
      <w:lvlJc w:val="left"/>
      <w:pPr>
        <w:tabs>
          <w:tab w:val="num" w:pos="4320"/>
        </w:tabs>
        <w:ind w:left="4320" w:hanging="360"/>
      </w:pPr>
      <w:rPr>
        <w:rFonts w:ascii="Arial" w:hAnsi="Arial" w:hint="default"/>
      </w:rPr>
    </w:lvl>
    <w:lvl w:ilvl="6" w:tplc="B06C93CE" w:tentative="1">
      <w:start w:val="1"/>
      <w:numFmt w:val="bullet"/>
      <w:lvlText w:val="•"/>
      <w:lvlJc w:val="left"/>
      <w:pPr>
        <w:tabs>
          <w:tab w:val="num" w:pos="5040"/>
        </w:tabs>
        <w:ind w:left="5040" w:hanging="360"/>
      </w:pPr>
      <w:rPr>
        <w:rFonts w:ascii="Arial" w:hAnsi="Arial" w:hint="default"/>
      </w:rPr>
    </w:lvl>
    <w:lvl w:ilvl="7" w:tplc="F4CCD2A8" w:tentative="1">
      <w:start w:val="1"/>
      <w:numFmt w:val="bullet"/>
      <w:lvlText w:val="•"/>
      <w:lvlJc w:val="left"/>
      <w:pPr>
        <w:tabs>
          <w:tab w:val="num" w:pos="5760"/>
        </w:tabs>
        <w:ind w:left="5760" w:hanging="360"/>
      </w:pPr>
      <w:rPr>
        <w:rFonts w:ascii="Arial" w:hAnsi="Arial" w:hint="default"/>
      </w:rPr>
    </w:lvl>
    <w:lvl w:ilvl="8" w:tplc="0FC43B8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F2840E0"/>
    <w:multiLevelType w:val="hybridMultilevel"/>
    <w:tmpl w:val="2458A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C76A8A"/>
    <w:multiLevelType w:val="hybridMultilevel"/>
    <w:tmpl w:val="48D81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2E3576"/>
    <w:multiLevelType w:val="hybridMultilevel"/>
    <w:tmpl w:val="7758E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100B8F"/>
    <w:multiLevelType w:val="hybridMultilevel"/>
    <w:tmpl w:val="5CB85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C04D97"/>
    <w:multiLevelType w:val="hybridMultilevel"/>
    <w:tmpl w:val="A8623CD2"/>
    <w:lvl w:ilvl="0" w:tplc="D7545088">
      <w:start w:val="1"/>
      <w:numFmt w:val="bullet"/>
      <w:lvlText w:val="•"/>
      <w:lvlJc w:val="left"/>
      <w:pPr>
        <w:tabs>
          <w:tab w:val="num" w:pos="720"/>
        </w:tabs>
        <w:ind w:left="720" w:hanging="360"/>
      </w:pPr>
      <w:rPr>
        <w:rFonts w:ascii="Arial" w:hAnsi="Arial" w:hint="default"/>
      </w:rPr>
    </w:lvl>
    <w:lvl w:ilvl="1" w:tplc="C910FE48" w:tentative="1">
      <w:start w:val="1"/>
      <w:numFmt w:val="bullet"/>
      <w:lvlText w:val="•"/>
      <w:lvlJc w:val="left"/>
      <w:pPr>
        <w:tabs>
          <w:tab w:val="num" w:pos="1440"/>
        </w:tabs>
        <w:ind w:left="1440" w:hanging="360"/>
      </w:pPr>
      <w:rPr>
        <w:rFonts w:ascii="Arial" w:hAnsi="Arial" w:hint="default"/>
      </w:rPr>
    </w:lvl>
    <w:lvl w:ilvl="2" w:tplc="C1F696E2" w:tentative="1">
      <w:start w:val="1"/>
      <w:numFmt w:val="bullet"/>
      <w:lvlText w:val="•"/>
      <w:lvlJc w:val="left"/>
      <w:pPr>
        <w:tabs>
          <w:tab w:val="num" w:pos="2160"/>
        </w:tabs>
        <w:ind w:left="2160" w:hanging="360"/>
      </w:pPr>
      <w:rPr>
        <w:rFonts w:ascii="Arial" w:hAnsi="Arial" w:hint="default"/>
      </w:rPr>
    </w:lvl>
    <w:lvl w:ilvl="3" w:tplc="D732416E" w:tentative="1">
      <w:start w:val="1"/>
      <w:numFmt w:val="bullet"/>
      <w:lvlText w:val="•"/>
      <w:lvlJc w:val="left"/>
      <w:pPr>
        <w:tabs>
          <w:tab w:val="num" w:pos="2880"/>
        </w:tabs>
        <w:ind w:left="2880" w:hanging="360"/>
      </w:pPr>
      <w:rPr>
        <w:rFonts w:ascii="Arial" w:hAnsi="Arial" w:hint="default"/>
      </w:rPr>
    </w:lvl>
    <w:lvl w:ilvl="4" w:tplc="947CF550" w:tentative="1">
      <w:start w:val="1"/>
      <w:numFmt w:val="bullet"/>
      <w:lvlText w:val="•"/>
      <w:lvlJc w:val="left"/>
      <w:pPr>
        <w:tabs>
          <w:tab w:val="num" w:pos="3600"/>
        </w:tabs>
        <w:ind w:left="3600" w:hanging="360"/>
      </w:pPr>
      <w:rPr>
        <w:rFonts w:ascii="Arial" w:hAnsi="Arial" w:hint="default"/>
      </w:rPr>
    </w:lvl>
    <w:lvl w:ilvl="5" w:tplc="C3A29A80" w:tentative="1">
      <w:start w:val="1"/>
      <w:numFmt w:val="bullet"/>
      <w:lvlText w:val="•"/>
      <w:lvlJc w:val="left"/>
      <w:pPr>
        <w:tabs>
          <w:tab w:val="num" w:pos="4320"/>
        </w:tabs>
        <w:ind w:left="4320" w:hanging="360"/>
      </w:pPr>
      <w:rPr>
        <w:rFonts w:ascii="Arial" w:hAnsi="Arial" w:hint="default"/>
      </w:rPr>
    </w:lvl>
    <w:lvl w:ilvl="6" w:tplc="BE044C5E" w:tentative="1">
      <w:start w:val="1"/>
      <w:numFmt w:val="bullet"/>
      <w:lvlText w:val="•"/>
      <w:lvlJc w:val="left"/>
      <w:pPr>
        <w:tabs>
          <w:tab w:val="num" w:pos="5040"/>
        </w:tabs>
        <w:ind w:left="5040" w:hanging="360"/>
      </w:pPr>
      <w:rPr>
        <w:rFonts w:ascii="Arial" w:hAnsi="Arial" w:hint="default"/>
      </w:rPr>
    </w:lvl>
    <w:lvl w:ilvl="7" w:tplc="139A53A2" w:tentative="1">
      <w:start w:val="1"/>
      <w:numFmt w:val="bullet"/>
      <w:lvlText w:val="•"/>
      <w:lvlJc w:val="left"/>
      <w:pPr>
        <w:tabs>
          <w:tab w:val="num" w:pos="5760"/>
        </w:tabs>
        <w:ind w:left="5760" w:hanging="360"/>
      </w:pPr>
      <w:rPr>
        <w:rFonts w:ascii="Arial" w:hAnsi="Arial" w:hint="default"/>
      </w:rPr>
    </w:lvl>
    <w:lvl w:ilvl="8" w:tplc="D6B8D2D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1F05916"/>
    <w:multiLevelType w:val="hybridMultilevel"/>
    <w:tmpl w:val="E14A7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D071E9"/>
    <w:multiLevelType w:val="hybridMultilevel"/>
    <w:tmpl w:val="8DB4A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B56216"/>
    <w:multiLevelType w:val="hybridMultilevel"/>
    <w:tmpl w:val="6810A6AA"/>
    <w:lvl w:ilvl="0" w:tplc="30580C0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7035E6"/>
    <w:multiLevelType w:val="hybridMultilevel"/>
    <w:tmpl w:val="0754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1040D6"/>
    <w:multiLevelType w:val="hybridMultilevel"/>
    <w:tmpl w:val="04A21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566409">
    <w:abstractNumId w:val="2"/>
  </w:num>
  <w:num w:numId="2" w16cid:durableId="1076511513">
    <w:abstractNumId w:val="7"/>
  </w:num>
  <w:num w:numId="3" w16cid:durableId="307824338">
    <w:abstractNumId w:val="24"/>
  </w:num>
  <w:num w:numId="4" w16cid:durableId="314604138">
    <w:abstractNumId w:val="9"/>
  </w:num>
  <w:num w:numId="5" w16cid:durableId="1018658447">
    <w:abstractNumId w:val="3"/>
  </w:num>
  <w:num w:numId="6" w16cid:durableId="122355743">
    <w:abstractNumId w:val="18"/>
  </w:num>
  <w:num w:numId="7" w16cid:durableId="417598629">
    <w:abstractNumId w:val="13"/>
  </w:num>
  <w:num w:numId="8" w16cid:durableId="537595912">
    <w:abstractNumId w:val="14"/>
  </w:num>
  <w:num w:numId="9" w16cid:durableId="425543752">
    <w:abstractNumId w:val="10"/>
  </w:num>
  <w:num w:numId="10" w16cid:durableId="13388451">
    <w:abstractNumId w:val="0"/>
  </w:num>
  <w:num w:numId="11" w16cid:durableId="324869042">
    <w:abstractNumId w:val="6"/>
  </w:num>
  <w:num w:numId="12" w16cid:durableId="2087262486">
    <w:abstractNumId w:val="5"/>
  </w:num>
  <w:num w:numId="13" w16cid:durableId="238487388">
    <w:abstractNumId w:val="4"/>
  </w:num>
  <w:num w:numId="14" w16cid:durableId="1254775815">
    <w:abstractNumId w:val="12"/>
  </w:num>
  <w:num w:numId="15" w16cid:durableId="1667705103">
    <w:abstractNumId w:val="23"/>
  </w:num>
  <w:num w:numId="16" w16cid:durableId="617683161">
    <w:abstractNumId w:val="26"/>
  </w:num>
  <w:num w:numId="17" w16cid:durableId="320888819">
    <w:abstractNumId w:val="17"/>
  </w:num>
  <w:num w:numId="18" w16cid:durableId="677390324">
    <w:abstractNumId w:val="27"/>
  </w:num>
  <w:num w:numId="19" w16cid:durableId="3292852">
    <w:abstractNumId w:val="16"/>
  </w:num>
  <w:num w:numId="20" w16cid:durableId="621961581">
    <w:abstractNumId w:val="22"/>
  </w:num>
  <w:num w:numId="21" w16cid:durableId="817576255">
    <w:abstractNumId w:val="19"/>
  </w:num>
  <w:num w:numId="22" w16cid:durableId="1605573432">
    <w:abstractNumId w:val="21"/>
  </w:num>
  <w:num w:numId="23" w16cid:durableId="1423911944">
    <w:abstractNumId w:val="29"/>
  </w:num>
  <w:num w:numId="24" w16cid:durableId="436561928">
    <w:abstractNumId w:val="15"/>
  </w:num>
  <w:num w:numId="25" w16cid:durableId="1336616711">
    <w:abstractNumId w:val="25"/>
  </w:num>
  <w:num w:numId="26" w16cid:durableId="388963713">
    <w:abstractNumId w:val="20"/>
  </w:num>
  <w:num w:numId="27" w16cid:durableId="1755586446">
    <w:abstractNumId w:val="11"/>
  </w:num>
  <w:num w:numId="28" w16cid:durableId="1367946796">
    <w:abstractNumId w:val="30"/>
  </w:num>
  <w:num w:numId="29" w16cid:durableId="110252114">
    <w:abstractNumId w:val="8"/>
  </w:num>
  <w:num w:numId="30" w16cid:durableId="1564827034">
    <w:abstractNumId w:val="28"/>
  </w:num>
  <w:num w:numId="31" w16cid:durableId="1657685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06"/>
    <w:rsid w:val="0000511C"/>
    <w:rsid w:val="00012A76"/>
    <w:rsid w:val="000236A7"/>
    <w:rsid w:val="00023D73"/>
    <w:rsid w:val="0002635A"/>
    <w:rsid w:val="00030558"/>
    <w:rsid w:val="00035570"/>
    <w:rsid w:val="0006478C"/>
    <w:rsid w:val="000733A3"/>
    <w:rsid w:val="00083CB0"/>
    <w:rsid w:val="000A01DF"/>
    <w:rsid w:val="000D5643"/>
    <w:rsid w:val="000F6FE8"/>
    <w:rsid w:val="0010048B"/>
    <w:rsid w:val="00102C51"/>
    <w:rsid w:val="00104AB8"/>
    <w:rsid w:val="00117AC2"/>
    <w:rsid w:val="00132AB9"/>
    <w:rsid w:val="00140196"/>
    <w:rsid w:val="00140AD9"/>
    <w:rsid w:val="00162013"/>
    <w:rsid w:val="0018383F"/>
    <w:rsid w:val="001B171D"/>
    <w:rsid w:val="001B233E"/>
    <w:rsid w:val="001C3312"/>
    <w:rsid w:val="001C37A0"/>
    <w:rsid w:val="001C5BDB"/>
    <w:rsid w:val="001D2C66"/>
    <w:rsid w:val="001E26D4"/>
    <w:rsid w:val="0023378D"/>
    <w:rsid w:val="00241E53"/>
    <w:rsid w:val="00242389"/>
    <w:rsid w:val="002462F7"/>
    <w:rsid w:val="00246BF4"/>
    <w:rsid w:val="002607B3"/>
    <w:rsid w:val="00275195"/>
    <w:rsid w:val="00281893"/>
    <w:rsid w:val="00291AE9"/>
    <w:rsid w:val="002A5D92"/>
    <w:rsid w:val="002E3C43"/>
    <w:rsid w:val="002F3D83"/>
    <w:rsid w:val="002F77FD"/>
    <w:rsid w:val="0032455F"/>
    <w:rsid w:val="00331882"/>
    <w:rsid w:val="00335BBA"/>
    <w:rsid w:val="003368EC"/>
    <w:rsid w:val="00346914"/>
    <w:rsid w:val="00363010"/>
    <w:rsid w:val="003B20DA"/>
    <w:rsid w:val="003B3135"/>
    <w:rsid w:val="003C1965"/>
    <w:rsid w:val="003D043C"/>
    <w:rsid w:val="003E45BF"/>
    <w:rsid w:val="003F34C6"/>
    <w:rsid w:val="003F6908"/>
    <w:rsid w:val="00401FB7"/>
    <w:rsid w:val="00402182"/>
    <w:rsid w:val="00402AF0"/>
    <w:rsid w:val="00432E37"/>
    <w:rsid w:val="0043425C"/>
    <w:rsid w:val="00436867"/>
    <w:rsid w:val="0045341D"/>
    <w:rsid w:val="004562A8"/>
    <w:rsid w:val="004673E7"/>
    <w:rsid w:val="004742C8"/>
    <w:rsid w:val="00486F10"/>
    <w:rsid w:val="004C1254"/>
    <w:rsid w:val="004D6B92"/>
    <w:rsid w:val="004E3A4B"/>
    <w:rsid w:val="004E677D"/>
    <w:rsid w:val="00514606"/>
    <w:rsid w:val="00520BCC"/>
    <w:rsid w:val="005217AD"/>
    <w:rsid w:val="00523243"/>
    <w:rsid w:val="00543EB6"/>
    <w:rsid w:val="0054420C"/>
    <w:rsid w:val="00561896"/>
    <w:rsid w:val="00561CC8"/>
    <w:rsid w:val="00566CEB"/>
    <w:rsid w:val="00571A28"/>
    <w:rsid w:val="00576263"/>
    <w:rsid w:val="00586539"/>
    <w:rsid w:val="005907D2"/>
    <w:rsid w:val="00594215"/>
    <w:rsid w:val="00594748"/>
    <w:rsid w:val="00596955"/>
    <w:rsid w:val="005A770D"/>
    <w:rsid w:val="005B5AB9"/>
    <w:rsid w:val="005C4309"/>
    <w:rsid w:val="005C5223"/>
    <w:rsid w:val="005D1BC0"/>
    <w:rsid w:val="005D3414"/>
    <w:rsid w:val="005D7DD9"/>
    <w:rsid w:val="005E639C"/>
    <w:rsid w:val="005F2A7E"/>
    <w:rsid w:val="006057B1"/>
    <w:rsid w:val="00607CAB"/>
    <w:rsid w:val="006165C0"/>
    <w:rsid w:val="00617119"/>
    <w:rsid w:val="00623C32"/>
    <w:rsid w:val="00634553"/>
    <w:rsid w:val="00643D0A"/>
    <w:rsid w:val="006531D8"/>
    <w:rsid w:val="0066481D"/>
    <w:rsid w:val="00675C6B"/>
    <w:rsid w:val="00677D4A"/>
    <w:rsid w:val="0068320B"/>
    <w:rsid w:val="00690827"/>
    <w:rsid w:val="00694A7F"/>
    <w:rsid w:val="006A1E79"/>
    <w:rsid w:val="006B20E6"/>
    <w:rsid w:val="006C1825"/>
    <w:rsid w:val="006C34F6"/>
    <w:rsid w:val="006C5B5D"/>
    <w:rsid w:val="006D3AFA"/>
    <w:rsid w:val="006D5A26"/>
    <w:rsid w:val="006D642D"/>
    <w:rsid w:val="006E24BD"/>
    <w:rsid w:val="006E776F"/>
    <w:rsid w:val="006F3CFF"/>
    <w:rsid w:val="006F58B8"/>
    <w:rsid w:val="00704BB6"/>
    <w:rsid w:val="00707AD1"/>
    <w:rsid w:val="00712F33"/>
    <w:rsid w:val="00713C1F"/>
    <w:rsid w:val="0071795C"/>
    <w:rsid w:val="00742BEF"/>
    <w:rsid w:val="00743AE2"/>
    <w:rsid w:val="00745D07"/>
    <w:rsid w:val="0074601F"/>
    <w:rsid w:val="00760C92"/>
    <w:rsid w:val="0077623F"/>
    <w:rsid w:val="007805F2"/>
    <w:rsid w:val="00783CF7"/>
    <w:rsid w:val="007A1182"/>
    <w:rsid w:val="007A3E49"/>
    <w:rsid w:val="007B36D7"/>
    <w:rsid w:val="007B4EF5"/>
    <w:rsid w:val="007C4995"/>
    <w:rsid w:val="007D180A"/>
    <w:rsid w:val="007D56D9"/>
    <w:rsid w:val="0080104E"/>
    <w:rsid w:val="008073CA"/>
    <w:rsid w:val="0081509A"/>
    <w:rsid w:val="00816FB5"/>
    <w:rsid w:val="00847CB3"/>
    <w:rsid w:val="00855DC8"/>
    <w:rsid w:val="00860D5A"/>
    <w:rsid w:val="00861AD4"/>
    <w:rsid w:val="00875F4B"/>
    <w:rsid w:val="008761ED"/>
    <w:rsid w:val="008954E0"/>
    <w:rsid w:val="008B59F6"/>
    <w:rsid w:val="008C0ACA"/>
    <w:rsid w:val="008D0482"/>
    <w:rsid w:val="008E271A"/>
    <w:rsid w:val="008E2975"/>
    <w:rsid w:val="008E6F18"/>
    <w:rsid w:val="008F28E7"/>
    <w:rsid w:val="008F3C1D"/>
    <w:rsid w:val="0090752A"/>
    <w:rsid w:val="00920AB5"/>
    <w:rsid w:val="009234A2"/>
    <w:rsid w:val="0092674B"/>
    <w:rsid w:val="009403C1"/>
    <w:rsid w:val="009533D2"/>
    <w:rsid w:val="00955754"/>
    <w:rsid w:val="00972D52"/>
    <w:rsid w:val="009B0956"/>
    <w:rsid w:val="009B6B06"/>
    <w:rsid w:val="009C2F9F"/>
    <w:rsid w:val="009E423D"/>
    <w:rsid w:val="009E51D6"/>
    <w:rsid w:val="009E755A"/>
    <w:rsid w:val="009F4D05"/>
    <w:rsid w:val="009F53FB"/>
    <w:rsid w:val="009F63E4"/>
    <w:rsid w:val="00A00A46"/>
    <w:rsid w:val="00A14C0A"/>
    <w:rsid w:val="00A43E99"/>
    <w:rsid w:val="00A47CB0"/>
    <w:rsid w:val="00A576C4"/>
    <w:rsid w:val="00A7227D"/>
    <w:rsid w:val="00A73200"/>
    <w:rsid w:val="00A756A4"/>
    <w:rsid w:val="00A82DB7"/>
    <w:rsid w:val="00A96D9A"/>
    <w:rsid w:val="00A97DBA"/>
    <w:rsid w:val="00AB10B0"/>
    <w:rsid w:val="00AB29D6"/>
    <w:rsid w:val="00AC0501"/>
    <w:rsid w:val="00AD2B1C"/>
    <w:rsid w:val="00AD7192"/>
    <w:rsid w:val="00AE39DF"/>
    <w:rsid w:val="00AF1D74"/>
    <w:rsid w:val="00AF582A"/>
    <w:rsid w:val="00AF7450"/>
    <w:rsid w:val="00B20622"/>
    <w:rsid w:val="00B3221C"/>
    <w:rsid w:val="00B65D81"/>
    <w:rsid w:val="00B744C7"/>
    <w:rsid w:val="00B80264"/>
    <w:rsid w:val="00B80E49"/>
    <w:rsid w:val="00B918BD"/>
    <w:rsid w:val="00B96C68"/>
    <w:rsid w:val="00BA316C"/>
    <w:rsid w:val="00BB2445"/>
    <w:rsid w:val="00BB3BB3"/>
    <w:rsid w:val="00BC0037"/>
    <w:rsid w:val="00BC7C42"/>
    <w:rsid w:val="00BD34AD"/>
    <w:rsid w:val="00BF6821"/>
    <w:rsid w:val="00C37397"/>
    <w:rsid w:val="00C57BA4"/>
    <w:rsid w:val="00C60190"/>
    <w:rsid w:val="00C663FC"/>
    <w:rsid w:val="00CB02DF"/>
    <w:rsid w:val="00CB338F"/>
    <w:rsid w:val="00CB5102"/>
    <w:rsid w:val="00CC519D"/>
    <w:rsid w:val="00CC6E52"/>
    <w:rsid w:val="00CC71B7"/>
    <w:rsid w:val="00CC7D63"/>
    <w:rsid w:val="00CE09EF"/>
    <w:rsid w:val="00CE432C"/>
    <w:rsid w:val="00CE5ED3"/>
    <w:rsid w:val="00CF19DD"/>
    <w:rsid w:val="00D0348D"/>
    <w:rsid w:val="00D27582"/>
    <w:rsid w:val="00D70E0E"/>
    <w:rsid w:val="00D728A8"/>
    <w:rsid w:val="00D92A53"/>
    <w:rsid w:val="00DA7599"/>
    <w:rsid w:val="00DB0485"/>
    <w:rsid w:val="00DC68B6"/>
    <w:rsid w:val="00DD375B"/>
    <w:rsid w:val="00DD4608"/>
    <w:rsid w:val="00DD7FE1"/>
    <w:rsid w:val="00DF7474"/>
    <w:rsid w:val="00DF7EFA"/>
    <w:rsid w:val="00E01235"/>
    <w:rsid w:val="00E02FE1"/>
    <w:rsid w:val="00E07877"/>
    <w:rsid w:val="00E175F3"/>
    <w:rsid w:val="00E205F7"/>
    <w:rsid w:val="00E43B29"/>
    <w:rsid w:val="00E51F4E"/>
    <w:rsid w:val="00E53305"/>
    <w:rsid w:val="00E53795"/>
    <w:rsid w:val="00E6642F"/>
    <w:rsid w:val="00E7119D"/>
    <w:rsid w:val="00E7338F"/>
    <w:rsid w:val="00E76474"/>
    <w:rsid w:val="00E96143"/>
    <w:rsid w:val="00E97FA3"/>
    <w:rsid w:val="00EB539F"/>
    <w:rsid w:val="00EC08CD"/>
    <w:rsid w:val="00EC2C93"/>
    <w:rsid w:val="00ED68AF"/>
    <w:rsid w:val="00EE6B4C"/>
    <w:rsid w:val="00EF2F9B"/>
    <w:rsid w:val="00EF5F7B"/>
    <w:rsid w:val="00EF60AA"/>
    <w:rsid w:val="00F0217B"/>
    <w:rsid w:val="00F02930"/>
    <w:rsid w:val="00F04712"/>
    <w:rsid w:val="00F04C51"/>
    <w:rsid w:val="00F07899"/>
    <w:rsid w:val="00F11DEA"/>
    <w:rsid w:val="00F1298A"/>
    <w:rsid w:val="00F26C35"/>
    <w:rsid w:val="00F52622"/>
    <w:rsid w:val="00F71B4E"/>
    <w:rsid w:val="00F75153"/>
    <w:rsid w:val="00F76E19"/>
    <w:rsid w:val="00F968EA"/>
    <w:rsid w:val="00FA7A6B"/>
    <w:rsid w:val="00FB6E04"/>
    <w:rsid w:val="00FD33FB"/>
    <w:rsid w:val="00FD719C"/>
    <w:rsid w:val="00FF641B"/>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E4C6"/>
  <w15:chartTrackingRefBased/>
  <w15:docId w15:val="{70CBC1DD-7019-4CB4-90F0-1D97443A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51460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contextualSpacing/>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847CB3"/>
    <w:pPr>
      <w:keepNext/>
      <w:keepLines/>
      <w:contextualSpacing/>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847CB3"/>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514606"/>
    <w:pPr>
      <w:ind w:left="720"/>
      <w:contextualSpacing/>
    </w:pPr>
  </w:style>
  <w:style w:type="character" w:styleId="Hyperlink">
    <w:name w:val="Hyperlink"/>
    <w:basedOn w:val="DefaultParagraphFont"/>
    <w:uiPriority w:val="99"/>
    <w:unhideWhenUsed/>
    <w:rsid w:val="00514606"/>
    <w:rPr>
      <w:color w:val="0563C1" w:themeColor="hyperlink"/>
      <w:u w:val="single"/>
    </w:rPr>
  </w:style>
  <w:style w:type="character" w:styleId="UnresolvedMention">
    <w:name w:val="Unresolved Mention"/>
    <w:basedOn w:val="DefaultParagraphFont"/>
    <w:uiPriority w:val="99"/>
    <w:semiHidden/>
    <w:unhideWhenUsed/>
    <w:rsid w:val="00561CC8"/>
    <w:rPr>
      <w:color w:val="605E5C"/>
      <w:shd w:val="clear" w:color="auto" w:fill="E1DFDD"/>
    </w:rPr>
  </w:style>
  <w:style w:type="paragraph" w:styleId="Header">
    <w:name w:val="header"/>
    <w:basedOn w:val="Normal"/>
    <w:link w:val="HeaderChar"/>
    <w:uiPriority w:val="99"/>
    <w:unhideWhenUsed/>
    <w:rsid w:val="009B0956"/>
    <w:pPr>
      <w:tabs>
        <w:tab w:val="center" w:pos="4680"/>
        <w:tab w:val="right" w:pos="9360"/>
      </w:tabs>
    </w:pPr>
  </w:style>
  <w:style w:type="character" w:customStyle="1" w:styleId="HeaderChar">
    <w:name w:val="Header Char"/>
    <w:basedOn w:val="DefaultParagraphFont"/>
    <w:link w:val="Header"/>
    <w:uiPriority w:val="99"/>
    <w:rsid w:val="009B0956"/>
    <w:rPr>
      <w:rFonts w:ascii="Arial" w:hAnsi="Arial" w:cs="Times New Roman"/>
      <w:sz w:val="28"/>
      <w:szCs w:val="20"/>
    </w:rPr>
  </w:style>
  <w:style w:type="paragraph" w:styleId="Footer">
    <w:name w:val="footer"/>
    <w:basedOn w:val="Normal"/>
    <w:link w:val="FooterChar"/>
    <w:uiPriority w:val="99"/>
    <w:unhideWhenUsed/>
    <w:rsid w:val="009B0956"/>
    <w:pPr>
      <w:tabs>
        <w:tab w:val="center" w:pos="4680"/>
        <w:tab w:val="right" w:pos="9360"/>
      </w:tabs>
    </w:pPr>
  </w:style>
  <w:style w:type="character" w:customStyle="1" w:styleId="FooterChar">
    <w:name w:val="Footer Char"/>
    <w:basedOn w:val="DefaultParagraphFont"/>
    <w:link w:val="Footer"/>
    <w:uiPriority w:val="99"/>
    <w:rsid w:val="009B0956"/>
    <w:rPr>
      <w:rFonts w:ascii="Arial" w:hAnsi="Arial" w:cs="Times New Roman"/>
      <w:sz w:val="28"/>
      <w:szCs w:val="20"/>
    </w:rPr>
  </w:style>
  <w:style w:type="character" w:customStyle="1" w:styleId="DORChar">
    <w:name w:val="DOR Char"/>
    <w:basedOn w:val="DefaultParagraphFont"/>
    <w:rsid w:val="008B59F6"/>
    <w:rPr>
      <w:rFonts w:ascii="Arial" w:hAnsi="Arial" w:cs="Calibri"/>
      <w:kern w:val="0"/>
      <w:sz w:val="28"/>
    </w:rPr>
  </w:style>
  <w:style w:type="character" w:styleId="Strong">
    <w:name w:val="Strong"/>
    <w:basedOn w:val="DefaultParagraphFont"/>
    <w:uiPriority w:val="22"/>
    <w:qFormat/>
    <w:rsid w:val="00162013"/>
    <w:rPr>
      <w:b/>
      <w:bCs/>
    </w:rPr>
  </w:style>
  <w:style w:type="table" w:styleId="TableGrid">
    <w:name w:val="Table Grid"/>
    <w:basedOn w:val="TableNormal"/>
    <w:uiPriority w:val="39"/>
    <w:rsid w:val="00CC519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519D"/>
    <w:rPr>
      <w:color w:val="954F72" w:themeColor="followedHyperlink"/>
      <w:u w:val="single"/>
    </w:rPr>
  </w:style>
  <w:style w:type="paragraph" w:styleId="NormalWeb">
    <w:name w:val="Normal (Web)"/>
    <w:basedOn w:val="Normal"/>
    <w:uiPriority w:val="99"/>
    <w:semiHidden/>
    <w:unhideWhenUsed/>
    <w:rsid w:val="005D3414"/>
    <w:rPr>
      <w:rFonts w:ascii="Times New Roman" w:hAnsi="Times New Roman"/>
      <w:sz w:val="24"/>
      <w:szCs w:val="24"/>
    </w:rPr>
  </w:style>
  <w:style w:type="paragraph" w:styleId="FootnoteText">
    <w:name w:val="footnote text"/>
    <w:basedOn w:val="Normal"/>
    <w:link w:val="FootnoteTextChar"/>
    <w:uiPriority w:val="99"/>
    <w:semiHidden/>
    <w:unhideWhenUsed/>
    <w:rsid w:val="00140196"/>
    <w:rPr>
      <w:rFonts w:cstheme="minorBidi"/>
      <w:kern w:val="2"/>
      <w:sz w:val="20"/>
      <w14:ligatures w14:val="standardContextual"/>
    </w:rPr>
  </w:style>
  <w:style w:type="character" w:customStyle="1" w:styleId="FootnoteTextChar">
    <w:name w:val="Footnote Text Char"/>
    <w:basedOn w:val="DefaultParagraphFont"/>
    <w:link w:val="FootnoteText"/>
    <w:uiPriority w:val="99"/>
    <w:semiHidden/>
    <w:rsid w:val="00140196"/>
    <w:rPr>
      <w:rFonts w:ascii="Arial" w:hAnsi="Arial"/>
      <w:kern w:val="2"/>
      <w:sz w:val="20"/>
      <w:szCs w:val="20"/>
      <w14:ligatures w14:val="standardContextual"/>
    </w:rPr>
  </w:style>
  <w:style w:type="character" w:styleId="FootnoteReference">
    <w:name w:val="footnote reference"/>
    <w:basedOn w:val="DefaultParagraphFont"/>
    <w:uiPriority w:val="99"/>
    <w:semiHidden/>
    <w:unhideWhenUsed/>
    <w:rsid w:val="001401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286916">
      <w:bodyDiv w:val="1"/>
      <w:marLeft w:val="0"/>
      <w:marRight w:val="0"/>
      <w:marTop w:val="0"/>
      <w:marBottom w:val="0"/>
      <w:divBdr>
        <w:top w:val="none" w:sz="0" w:space="0" w:color="auto"/>
        <w:left w:val="none" w:sz="0" w:space="0" w:color="auto"/>
        <w:bottom w:val="none" w:sz="0" w:space="0" w:color="auto"/>
        <w:right w:val="none" w:sz="0" w:space="0" w:color="auto"/>
      </w:divBdr>
    </w:div>
    <w:div w:id="641541687">
      <w:bodyDiv w:val="1"/>
      <w:marLeft w:val="0"/>
      <w:marRight w:val="0"/>
      <w:marTop w:val="0"/>
      <w:marBottom w:val="0"/>
      <w:divBdr>
        <w:top w:val="none" w:sz="0" w:space="0" w:color="auto"/>
        <w:left w:val="none" w:sz="0" w:space="0" w:color="auto"/>
        <w:bottom w:val="none" w:sz="0" w:space="0" w:color="auto"/>
        <w:right w:val="none" w:sz="0" w:space="0" w:color="auto"/>
      </w:divBdr>
    </w:div>
    <w:div w:id="991980208">
      <w:bodyDiv w:val="1"/>
      <w:marLeft w:val="0"/>
      <w:marRight w:val="0"/>
      <w:marTop w:val="0"/>
      <w:marBottom w:val="0"/>
      <w:divBdr>
        <w:top w:val="none" w:sz="0" w:space="0" w:color="auto"/>
        <w:left w:val="none" w:sz="0" w:space="0" w:color="auto"/>
        <w:bottom w:val="none" w:sz="0" w:space="0" w:color="auto"/>
        <w:right w:val="none" w:sz="0" w:space="0" w:color="auto"/>
      </w:divBdr>
    </w:div>
    <w:div w:id="1063917557">
      <w:bodyDiv w:val="1"/>
      <w:marLeft w:val="0"/>
      <w:marRight w:val="0"/>
      <w:marTop w:val="0"/>
      <w:marBottom w:val="0"/>
      <w:divBdr>
        <w:top w:val="none" w:sz="0" w:space="0" w:color="auto"/>
        <w:left w:val="none" w:sz="0" w:space="0" w:color="auto"/>
        <w:bottom w:val="none" w:sz="0" w:space="0" w:color="auto"/>
        <w:right w:val="none" w:sz="0" w:space="0" w:color="auto"/>
      </w:divBdr>
      <w:divsChild>
        <w:div w:id="252593385">
          <w:marLeft w:val="0"/>
          <w:marRight w:val="0"/>
          <w:marTop w:val="0"/>
          <w:marBottom w:val="0"/>
          <w:divBdr>
            <w:top w:val="none" w:sz="0" w:space="0" w:color="auto"/>
            <w:left w:val="none" w:sz="0" w:space="0" w:color="auto"/>
            <w:bottom w:val="none" w:sz="0" w:space="0" w:color="auto"/>
            <w:right w:val="none" w:sz="0" w:space="0" w:color="auto"/>
          </w:divBdr>
          <w:divsChild>
            <w:div w:id="218975091">
              <w:marLeft w:val="0"/>
              <w:marRight w:val="0"/>
              <w:marTop w:val="0"/>
              <w:marBottom w:val="0"/>
              <w:divBdr>
                <w:top w:val="none" w:sz="0" w:space="0" w:color="auto"/>
                <w:left w:val="none" w:sz="0" w:space="0" w:color="auto"/>
                <w:bottom w:val="none" w:sz="0" w:space="0" w:color="auto"/>
                <w:right w:val="none" w:sz="0" w:space="0" w:color="auto"/>
              </w:divBdr>
              <w:divsChild>
                <w:div w:id="1975982599">
                  <w:marLeft w:val="0"/>
                  <w:marRight w:val="0"/>
                  <w:marTop w:val="0"/>
                  <w:marBottom w:val="0"/>
                  <w:divBdr>
                    <w:top w:val="none" w:sz="0" w:space="0" w:color="auto"/>
                    <w:left w:val="none" w:sz="0" w:space="0" w:color="auto"/>
                    <w:bottom w:val="none" w:sz="0" w:space="0" w:color="auto"/>
                    <w:right w:val="none" w:sz="0" w:space="0" w:color="auto"/>
                  </w:divBdr>
                  <w:divsChild>
                    <w:div w:id="1723670940">
                      <w:marLeft w:val="0"/>
                      <w:marRight w:val="0"/>
                      <w:marTop w:val="0"/>
                      <w:marBottom w:val="0"/>
                      <w:divBdr>
                        <w:top w:val="none" w:sz="0" w:space="0" w:color="auto"/>
                        <w:left w:val="none" w:sz="0" w:space="0" w:color="auto"/>
                        <w:bottom w:val="none" w:sz="0" w:space="0" w:color="auto"/>
                        <w:right w:val="none" w:sz="0" w:space="0" w:color="auto"/>
                      </w:divBdr>
                      <w:divsChild>
                        <w:div w:id="239368857">
                          <w:marLeft w:val="0"/>
                          <w:marRight w:val="0"/>
                          <w:marTop w:val="0"/>
                          <w:marBottom w:val="0"/>
                          <w:divBdr>
                            <w:top w:val="none" w:sz="0" w:space="0" w:color="auto"/>
                            <w:left w:val="none" w:sz="0" w:space="0" w:color="auto"/>
                            <w:bottom w:val="none" w:sz="0" w:space="0" w:color="auto"/>
                            <w:right w:val="none" w:sz="0" w:space="0" w:color="auto"/>
                          </w:divBdr>
                          <w:divsChild>
                            <w:div w:id="14294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6088">
      <w:bodyDiv w:val="1"/>
      <w:marLeft w:val="0"/>
      <w:marRight w:val="0"/>
      <w:marTop w:val="0"/>
      <w:marBottom w:val="0"/>
      <w:divBdr>
        <w:top w:val="none" w:sz="0" w:space="0" w:color="auto"/>
        <w:left w:val="none" w:sz="0" w:space="0" w:color="auto"/>
        <w:bottom w:val="none" w:sz="0" w:space="0" w:color="auto"/>
        <w:right w:val="none" w:sz="0" w:space="0" w:color="auto"/>
      </w:divBdr>
    </w:div>
    <w:div w:id="1502112943">
      <w:bodyDiv w:val="1"/>
      <w:marLeft w:val="0"/>
      <w:marRight w:val="0"/>
      <w:marTop w:val="0"/>
      <w:marBottom w:val="0"/>
      <w:divBdr>
        <w:top w:val="none" w:sz="0" w:space="0" w:color="auto"/>
        <w:left w:val="none" w:sz="0" w:space="0" w:color="auto"/>
        <w:bottom w:val="none" w:sz="0" w:space="0" w:color="auto"/>
        <w:right w:val="none" w:sz="0" w:space="0" w:color="auto"/>
      </w:divBdr>
    </w:div>
    <w:div w:id="1647541560">
      <w:bodyDiv w:val="1"/>
      <w:marLeft w:val="0"/>
      <w:marRight w:val="0"/>
      <w:marTop w:val="0"/>
      <w:marBottom w:val="0"/>
      <w:divBdr>
        <w:top w:val="none" w:sz="0" w:space="0" w:color="auto"/>
        <w:left w:val="none" w:sz="0" w:space="0" w:color="auto"/>
        <w:bottom w:val="none" w:sz="0" w:space="0" w:color="auto"/>
        <w:right w:val="none" w:sz="0" w:space="0" w:color="auto"/>
      </w:divBdr>
    </w:div>
    <w:div w:id="1677609084">
      <w:bodyDiv w:val="1"/>
      <w:marLeft w:val="0"/>
      <w:marRight w:val="0"/>
      <w:marTop w:val="0"/>
      <w:marBottom w:val="0"/>
      <w:divBdr>
        <w:top w:val="none" w:sz="0" w:space="0" w:color="auto"/>
        <w:left w:val="none" w:sz="0" w:space="0" w:color="auto"/>
        <w:bottom w:val="none" w:sz="0" w:space="0" w:color="auto"/>
        <w:right w:val="none" w:sz="0" w:space="0" w:color="auto"/>
      </w:divBdr>
    </w:div>
    <w:div w:id="1906334442">
      <w:bodyDiv w:val="1"/>
      <w:marLeft w:val="0"/>
      <w:marRight w:val="0"/>
      <w:marTop w:val="0"/>
      <w:marBottom w:val="0"/>
      <w:divBdr>
        <w:top w:val="none" w:sz="0" w:space="0" w:color="auto"/>
        <w:left w:val="none" w:sz="0" w:space="0" w:color="auto"/>
        <w:bottom w:val="none" w:sz="0" w:space="0" w:color="auto"/>
        <w:right w:val="none" w:sz="0" w:space="0" w:color="auto"/>
      </w:divBdr>
    </w:div>
    <w:div w:id="1907914664">
      <w:bodyDiv w:val="1"/>
      <w:marLeft w:val="0"/>
      <w:marRight w:val="0"/>
      <w:marTop w:val="0"/>
      <w:marBottom w:val="0"/>
      <w:divBdr>
        <w:top w:val="none" w:sz="0" w:space="0" w:color="auto"/>
        <w:left w:val="none" w:sz="0" w:space="0" w:color="auto"/>
        <w:bottom w:val="none" w:sz="0" w:space="0" w:color="auto"/>
        <w:right w:val="none" w:sz="0" w:space="0" w:color="auto"/>
      </w:divBdr>
    </w:div>
    <w:div w:id="1977026047">
      <w:bodyDiv w:val="1"/>
      <w:marLeft w:val="0"/>
      <w:marRight w:val="0"/>
      <w:marTop w:val="0"/>
      <w:marBottom w:val="0"/>
      <w:divBdr>
        <w:top w:val="none" w:sz="0" w:space="0" w:color="auto"/>
        <w:left w:val="none" w:sz="0" w:space="0" w:color="auto"/>
        <w:bottom w:val="none" w:sz="0" w:space="0" w:color="auto"/>
        <w:right w:val="none" w:sz="0" w:space="0" w:color="auto"/>
      </w:divBdr>
    </w:div>
    <w:div w:id="2092659402">
      <w:bodyDiv w:val="1"/>
      <w:marLeft w:val="0"/>
      <w:marRight w:val="0"/>
      <w:marTop w:val="0"/>
      <w:marBottom w:val="0"/>
      <w:divBdr>
        <w:top w:val="none" w:sz="0" w:space="0" w:color="auto"/>
        <w:left w:val="none" w:sz="0" w:space="0" w:color="auto"/>
        <w:bottom w:val="none" w:sz="0" w:space="0" w:color="auto"/>
        <w:right w:val="none" w:sz="0" w:space="0" w:color="auto"/>
      </w:divBdr>
      <w:divsChild>
        <w:div w:id="101917935">
          <w:marLeft w:val="0"/>
          <w:marRight w:val="0"/>
          <w:marTop w:val="0"/>
          <w:marBottom w:val="0"/>
          <w:divBdr>
            <w:top w:val="none" w:sz="0" w:space="0" w:color="auto"/>
            <w:left w:val="none" w:sz="0" w:space="0" w:color="auto"/>
            <w:bottom w:val="none" w:sz="0" w:space="0" w:color="auto"/>
            <w:right w:val="none" w:sz="0" w:space="0" w:color="auto"/>
          </w:divBdr>
          <w:divsChild>
            <w:div w:id="1167550732">
              <w:marLeft w:val="0"/>
              <w:marRight w:val="0"/>
              <w:marTop w:val="0"/>
              <w:marBottom w:val="0"/>
              <w:divBdr>
                <w:top w:val="none" w:sz="0" w:space="0" w:color="auto"/>
                <w:left w:val="none" w:sz="0" w:space="0" w:color="auto"/>
                <w:bottom w:val="none" w:sz="0" w:space="0" w:color="auto"/>
                <w:right w:val="none" w:sz="0" w:space="0" w:color="auto"/>
              </w:divBdr>
              <w:divsChild>
                <w:div w:id="1532256992">
                  <w:marLeft w:val="0"/>
                  <w:marRight w:val="0"/>
                  <w:marTop w:val="0"/>
                  <w:marBottom w:val="0"/>
                  <w:divBdr>
                    <w:top w:val="none" w:sz="0" w:space="0" w:color="auto"/>
                    <w:left w:val="none" w:sz="0" w:space="0" w:color="auto"/>
                    <w:bottom w:val="none" w:sz="0" w:space="0" w:color="auto"/>
                    <w:right w:val="none" w:sz="0" w:space="0" w:color="auto"/>
                  </w:divBdr>
                  <w:divsChild>
                    <w:div w:id="330137334">
                      <w:marLeft w:val="0"/>
                      <w:marRight w:val="0"/>
                      <w:marTop w:val="0"/>
                      <w:marBottom w:val="0"/>
                      <w:divBdr>
                        <w:top w:val="none" w:sz="0" w:space="0" w:color="auto"/>
                        <w:left w:val="none" w:sz="0" w:space="0" w:color="auto"/>
                        <w:bottom w:val="none" w:sz="0" w:space="0" w:color="auto"/>
                        <w:right w:val="none" w:sz="0" w:space="0" w:color="auto"/>
                      </w:divBdr>
                      <w:divsChild>
                        <w:div w:id="2144348827">
                          <w:marLeft w:val="0"/>
                          <w:marRight w:val="0"/>
                          <w:marTop w:val="0"/>
                          <w:marBottom w:val="0"/>
                          <w:divBdr>
                            <w:top w:val="none" w:sz="0" w:space="0" w:color="auto"/>
                            <w:left w:val="none" w:sz="0" w:space="0" w:color="auto"/>
                            <w:bottom w:val="none" w:sz="0" w:space="0" w:color="auto"/>
                            <w:right w:val="none" w:sz="0" w:space="0" w:color="auto"/>
                          </w:divBdr>
                          <w:divsChild>
                            <w:div w:id="89335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ca.gov/Home/SelfEmploymentProgra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vt.westlaw.com/calregs/Document/I54779EE14C6B11EC93A8000D3A7C4BC3?viewType=FullText&amp;originationContext=documenttoc&amp;transitionType=CategoryPageItem&amp;contextData=(sc.Defaul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urrent/title-34/subtitle-B/chapter-III/part-361/subpart-B/subject-group-ECFR8c5f55ccf5c0da2/section-361.5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ovt.westlaw.com/calregs/Document/I6618B4F0B70811EDA10DB21D96ED2D62?viewType=FullText&amp;originationContext=documenttoc&amp;transitionType=CategoryPageItem&amp;contextData=(sc.Defaul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vt.westlaw.com/calregs/Document/I4A7DC050B70811EDA10DB21D96ED2D62?viewType=FullText&amp;originationContext=documenttoc&amp;transitionType=CategoryPageItem&amp;contextData=(sc.Default)&amp;bhcp=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41A1-9093-4500-8F41-1BE12107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11</Pages>
  <Words>3238</Words>
  <Characters>18458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244</cp:revision>
  <dcterms:created xsi:type="dcterms:W3CDTF">2022-09-21T17:47:00Z</dcterms:created>
  <dcterms:modified xsi:type="dcterms:W3CDTF">2025-01-31T18:41:00Z</dcterms:modified>
</cp:coreProperties>
</file>