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9A4436" w14:textId="1CA389CD" w:rsidR="00F84561" w:rsidRPr="00CC3F75" w:rsidRDefault="00A06323" w:rsidP="00AE6C4E">
      <w:pPr>
        <w:pStyle w:val="DOR"/>
        <w:rPr>
          <w:b/>
          <w:bCs/>
          <w:sz w:val="24"/>
          <w:szCs w:val="24"/>
        </w:rPr>
      </w:pPr>
      <w:r w:rsidRPr="00CC3F75">
        <w:rPr>
          <w:b/>
          <w:bCs/>
          <w:sz w:val="24"/>
          <w:szCs w:val="24"/>
        </w:rPr>
        <w:t>State Rehabilitation Council (SRC)</w:t>
      </w:r>
      <w:r w:rsidR="00F84561" w:rsidRPr="00CC3F75">
        <w:rPr>
          <w:b/>
          <w:bCs/>
          <w:sz w:val="24"/>
          <w:szCs w:val="24"/>
        </w:rPr>
        <w:t xml:space="preserve"> </w:t>
      </w:r>
      <w:r w:rsidRPr="00CC3F75">
        <w:rPr>
          <w:b/>
          <w:bCs/>
          <w:sz w:val="24"/>
          <w:szCs w:val="24"/>
        </w:rPr>
        <w:t>State Plan Committee Meeting</w:t>
      </w:r>
      <w:r w:rsidRPr="00CC3F75">
        <w:rPr>
          <w:b/>
          <w:bCs/>
          <w:sz w:val="24"/>
          <w:szCs w:val="24"/>
        </w:rPr>
        <w:br/>
        <w:t>April 22, 2025</w:t>
      </w:r>
      <w:r w:rsidR="00F84561" w:rsidRPr="00CC3F75">
        <w:rPr>
          <w:b/>
          <w:bCs/>
          <w:sz w:val="24"/>
          <w:szCs w:val="24"/>
        </w:rPr>
        <w:t xml:space="preserve">, </w:t>
      </w:r>
      <w:r w:rsidRPr="00CC3F75">
        <w:rPr>
          <w:b/>
          <w:bCs/>
          <w:sz w:val="24"/>
          <w:szCs w:val="24"/>
        </w:rPr>
        <w:t>1:00 p.m. – 2:30 p.m.</w:t>
      </w:r>
    </w:p>
    <w:p w14:paraId="2953F264" w14:textId="5EDA041E" w:rsidR="00F84561" w:rsidRPr="00CC3F75" w:rsidRDefault="00F84561" w:rsidP="00AE6C4E">
      <w:pPr>
        <w:pStyle w:val="DOR"/>
        <w:rPr>
          <w:sz w:val="24"/>
          <w:szCs w:val="24"/>
        </w:rPr>
      </w:pPr>
      <w:r w:rsidRPr="00CC3F75">
        <w:rPr>
          <w:rFonts w:cs="Arial"/>
          <w:sz w:val="24"/>
          <w:szCs w:val="24"/>
        </w:rPr>
        <w:t>Meeting location: Department of Rehabilitation (DOR), 721 Capitol Mall, Room 401, Sacramento, CA 95814</w:t>
      </w:r>
    </w:p>
    <w:p w14:paraId="62CA800D" w14:textId="77777777" w:rsidR="00F84561" w:rsidRPr="00CC3F75" w:rsidRDefault="00F84561" w:rsidP="00AE6C4E">
      <w:pPr>
        <w:pStyle w:val="DOR"/>
        <w:rPr>
          <w:sz w:val="24"/>
          <w:szCs w:val="24"/>
        </w:rPr>
      </w:pPr>
    </w:p>
    <w:p w14:paraId="3798D053" w14:textId="6F9C9394" w:rsidR="00F84561" w:rsidRDefault="00F84561" w:rsidP="00AE6C4E">
      <w:pPr>
        <w:pStyle w:val="DOR"/>
        <w:rPr>
          <w:b/>
          <w:bCs/>
          <w:sz w:val="24"/>
          <w:szCs w:val="24"/>
        </w:rPr>
      </w:pPr>
      <w:r w:rsidRPr="00CC3F75">
        <w:rPr>
          <w:b/>
          <w:bCs/>
          <w:sz w:val="24"/>
          <w:szCs w:val="24"/>
        </w:rPr>
        <w:t>Meeting Minutes</w:t>
      </w:r>
    </w:p>
    <w:p w14:paraId="13B3E729" w14:textId="1186B115" w:rsidR="008C40D1" w:rsidRPr="008201D0" w:rsidRDefault="008C40D1" w:rsidP="00AE6C4E">
      <w:pPr>
        <w:pStyle w:val="DOR"/>
        <w:rPr>
          <w:b/>
          <w:bCs/>
          <w:i/>
          <w:iCs/>
          <w:sz w:val="24"/>
          <w:szCs w:val="24"/>
        </w:rPr>
      </w:pPr>
      <w:r w:rsidRPr="008201D0">
        <w:rPr>
          <w:b/>
          <w:bCs/>
          <w:i/>
          <w:iCs/>
          <w:sz w:val="24"/>
          <w:szCs w:val="24"/>
        </w:rPr>
        <w:t>Approved on July 29, 2025</w:t>
      </w:r>
    </w:p>
    <w:p w14:paraId="5B428846" w14:textId="77777777" w:rsidR="00F84561" w:rsidRPr="00CC3F75" w:rsidRDefault="00F84561" w:rsidP="00AE6C4E">
      <w:pPr>
        <w:pStyle w:val="DOR"/>
        <w:rPr>
          <w:sz w:val="24"/>
          <w:szCs w:val="24"/>
        </w:rPr>
      </w:pPr>
    </w:p>
    <w:p w14:paraId="2ED22B96" w14:textId="77777777" w:rsidR="00A06323" w:rsidRPr="00CC3F75" w:rsidRDefault="00A06323" w:rsidP="00AE6C4E">
      <w:pPr>
        <w:pStyle w:val="DOR"/>
        <w:rPr>
          <w:i/>
          <w:iCs/>
          <w:sz w:val="24"/>
          <w:szCs w:val="24"/>
        </w:rPr>
      </w:pPr>
      <w:r w:rsidRPr="00CC3F75">
        <w:rPr>
          <w:i/>
          <w:iCs/>
          <w:sz w:val="24"/>
          <w:szCs w:val="24"/>
        </w:rPr>
        <w:t>Note: This committee meeting was held in accordance with California Government Code section 11123.5. There may be members of the public body who participated in the meeting who were granted a reasonable accommodation per the Americans with Disabilities Act (ADA).</w:t>
      </w:r>
    </w:p>
    <w:p w14:paraId="4777ABB5" w14:textId="77777777" w:rsidR="00F84561" w:rsidRPr="00CC3F75" w:rsidRDefault="00F84561" w:rsidP="00AE6C4E">
      <w:pPr>
        <w:pStyle w:val="DOR"/>
        <w:rPr>
          <w:sz w:val="24"/>
          <w:szCs w:val="24"/>
        </w:rPr>
      </w:pPr>
    </w:p>
    <w:p w14:paraId="5F4BAE73" w14:textId="3457D35C" w:rsidR="00F84561" w:rsidRPr="00CC3F75" w:rsidRDefault="00A06323" w:rsidP="00AE6C4E">
      <w:pPr>
        <w:pStyle w:val="DOR"/>
        <w:rPr>
          <w:sz w:val="24"/>
          <w:szCs w:val="24"/>
        </w:rPr>
      </w:pPr>
      <w:r w:rsidRPr="00CC3F75">
        <w:rPr>
          <w:sz w:val="24"/>
          <w:szCs w:val="24"/>
        </w:rPr>
        <w:t>In attendance:</w:t>
      </w:r>
    </w:p>
    <w:p w14:paraId="449E5648" w14:textId="5C902927" w:rsidR="00F84561" w:rsidRPr="00CC3F75" w:rsidRDefault="00A06323" w:rsidP="00F84561">
      <w:pPr>
        <w:pStyle w:val="DOR"/>
        <w:numPr>
          <w:ilvl w:val="0"/>
          <w:numId w:val="17"/>
        </w:numPr>
        <w:rPr>
          <w:sz w:val="24"/>
          <w:szCs w:val="24"/>
        </w:rPr>
      </w:pPr>
      <w:r w:rsidRPr="00CC3F75">
        <w:rPr>
          <w:sz w:val="24"/>
          <w:szCs w:val="24"/>
        </w:rPr>
        <w:t>SRC State Plan Committee members (</w:t>
      </w:r>
      <w:r w:rsidR="00F84561" w:rsidRPr="00CC3F75">
        <w:rPr>
          <w:sz w:val="24"/>
          <w:szCs w:val="24"/>
        </w:rPr>
        <w:t>by</w:t>
      </w:r>
      <w:r w:rsidRPr="00CC3F75">
        <w:rPr>
          <w:sz w:val="24"/>
          <w:szCs w:val="24"/>
        </w:rPr>
        <w:t xml:space="preserve"> Zoom): Ivan Guillen, Gregory Meza, Michelle Bello, Shannon Co</w:t>
      </w:r>
      <w:r w:rsidR="00F84561" w:rsidRPr="00CC3F75">
        <w:rPr>
          <w:sz w:val="24"/>
          <w:szCs w:val="24"/>
        </w:rPr>
        <w:t>e</w:t>
      </w:r>
    </w:p>
    <w:p w14:paraId="565CF96B" w14:textId="74F6F703" w:rsidR="00F84561" w:rsidRPr="00CC3F75" w:rsidRDefault="00F84561" w:rsidP="00F84561">
      <w:pPr>
        <w:pStyle w:val="DOR"/>
        <w:numPr>
          <w:ilvl w:val="0"/>
          <w:numId w:val="17"/>
        </w:numPr>
        <w:rPr>
          <w:sz w:val="24"/>
          <w:szCs w:val="24"/>
        </w:rPr>
      </w:pPr>
      <w:r w:rsidRPr="00CC3F75">
        <w:rPr>
          <w:sz w:val="24"/>
          <w:szCs w:val="24"/>
        </w:rPr>
        <w:t>DOR staff (in-person): Kate Bjerke</w:t>
      </w:r>
    </w:p>
    <w:p w14:paraId="5D0B7623" w14:textId="4DEE8053" w:rsidR="00F84561" w:rsidRPr="00CC3F75" w:rsidRDefault="00F84561" w:rsidP="00F84561">
      <w:pPr>
        <w:pStyle w:val="DOR"/>
        <w:numPr>
          <w:ilvl w:val="0"/>
          <w:numId w:val="17"/>
        </w:numPr>
        <w:rPr>
          <w:sz w:val="24"/>
          <w:szCs w:val="24"/>
        </w:rPr>
      </w:pPr>
      <w:r w:rsidRPr="00CC3F75">
        <w:rPr>
          <w:sz w:val="24"/>
          <w:szCs w:val="24"/>
        </w:rPr>
        <w:t>DOR staff (by Zoom): Peter Frangel, Antoinette deBoisblanc</w:t>
      </w:r>
    </w:p>
    <w:p w14:paraId="4FDEE731" w14:textId="21879789" w:rsidR="00A06323" w:rsidRPr="00CC3F75" w:rsidRDefault="00A06323" w:rsidP="00F84561">
      <w:pPr>
        <w:pStyle w:val="DOR"/>
        <w:numPr>
          <w:ilvl w:val="0"/>
          <w:numId w:val="17"/>
        </w:numPr>
        <w:rPr>
          <w:sz w:val="24"/>
          <w:szCs w:val="24"/>
        </w:rPr>
      </w:pPr>
      <w:r w:rsidRPr="00CC3F75">
        <w:rPr>
          <w:sz w:val="24"/>
          <w:szCs w:val="24"/>
        </w:rPr>
        <w:t>Members of the public (</w:t>
      </w:r>
      <w:r w:rsidR="00F84561" w:rsidRPr="00CC3F75">
        <w:rPr>
          <w:sz w:val="24"/>
          <w:szCs w:val="24"/>
        </w:rPr>
        <w:t>by</w:t>
      </w:r>
      <w:r w:rsidRPr="00CC3F75">
        <w:rPr>
          <w:sz w:val="24"/>
          <w:szCs w:val="24"/>
        </w:rPr>
        <w:t xml:space="preserve"> Zoom): Peter DeHaas, Michael McCullough</w:t>
      </w:r>
    </w:p>
    <w:p w14:paraId="51273BE5" w14:textId="77777777" w:rsidR="00AE6C4E" w:rsidRPr="00CC3F75" w:rsidRDefault="00AE6C4E" w:rsidP="00AE6C4E">
      <w:pPr>
        <w:pStyle w:val="DOR"/>
        <w:rPr>
          <w:sz w:val="24"/>
          <w:szCs w:val="24"/>
        </w:rPr>
      </w:pPr>
    </w:p>
    <w:p w14:paraId="12635954" w14:textId="588EB6DB" w:rsidR="00A06323" w:rsidRDefault="00A06323" w:rsidP="00F84561">
      <w:pPr>
        <w:pStyle w:val="DOR"/>
        <w:rPr>
          <w:sz w:val="24"/>
          <w:szCs w:val="24"/>
        </w:rPr>
      </w:pPr>
      <w:r w:rsidRPr="00CC3F75">
        <w:rPr>
          <w:b/>
          <w:bCs/>
          <w:sz w:val="24"/>
          <w:szCs w:val="24"/>
        </w:rPr>
        <w:t>Item 1: Welcome and Introductions</w:t>
      </w:r>
      <w:r w:rsidRPr="00CC3F75">
        <w:rPr>
          <w:sz w:val="24"/>
          <w:szCs w:val="24"/>
        </w:rPr>
        <w:br/>
      </w:r>
      <w:r w:rsidR="00F84561" w:rsidRPr="00CC3F75">
        <w:rPr>
          <w:sz w:val="24"/>
          <w:szCs w:val="24"/>
        </w:rPr>
        <w:t>Ivan Guillen, SRC Chair and State Plan Committee Chair, welcomed</w:t>
      </w:r>
      <w:r w:rsidR="00F84561" w:rsidRPr="00F84561">
        <w:rPr>
          <w:sz w:val="24"/>
          <w:szCs w:val="24"/>
        </w:rPr>
        <w:t xml:space="preserve"> </w:t>
      </w:r>
      <w:r w:rsidR="00CC3F75">
        <w:rPr>
          <w:sz w:val="24"/>
          <w:szCs w:val="24"/>
        </w:rPr>
        <w:t>attendees</w:t>
      </w:r>
      <w:r w:rsidR="00F84561" w:rsidRPr="00F84561">
        <w:rPr>
          <w:sz w:val="24"/>
          <w:szCs w:val="24"/>
        </w:rPr>
        <w:t xml:space="preserve"> to the meeting. Kate Bjerke, SRC Executive Officer, reviewed the Bagley-Keene Open Meeting Act requirements. SRC members, DOR staff, and members of the public introduced themselves.</w:t>
      </w:r>
      <w:r w:rsidRPr="00AE6C4E">
        <w:rPr>
          <w:sz w:val="24"/>
          <w:szCs w:val="24"/>
        </w:rPr>
        <w:br/>
      </w:r>
    </w:p>
    <w:p w14:paraId="0B393B22" w14:textId="3EA4124B" w:rsidR="00F84561" w:rsidRPr="00F84561" w:rsidRDefault="00F84561" w:rsidP="00F84561">
      <w:pPr>
        <w:pStyle w:val="DOR"/>
        <w:rPr>
          <w:b/>
          <w:bCs/>
          <w:sz w:val="24"/>
          <w:szCs w:val="24"/>
        </w:rPr>
      </w:pPr>
      <w:r w:rsidRPr="00F84561">
        <w:rPr>
          <w:b/>
          <w:bCs/>
          <w:sz w:val="24"/>
          <w:szCs w:val="24"/>
        </w:rPr>
        <w:t>Item 2: Public Comment</w:t>
      </w:r>
    </w:p>
    <w:p w14:paraId="43D2609D" w14:textId="6E32F038" w:rsidR="00F84561" w:rsidRPr="00AE6C4E" w:rsidRDefault="00F84561" w:rsidP="00F84561">
      <w:pPr>
        <w:pStyle w:val="DOR"/>
        <w:rPr>
          <w:sz w:val="24"/>
          <w:szCs w:val="24"/>
        </w:rPr>
      </w:pPr>
      <w:r>
        <w:rPr>
          <w:sz w:val="24"/>
          <w:szCs w:val="24"/>
        </w:rPr>
        <w:t>None.</w:t>
      </w:r>
    </w:p>
    <w:p w14:paraId="4B611F84" w14:textId="77777777" w:rsidR="00AE6C4E" w:rsidRPr="00AE6C4E" w:rsidRDefault="00AE6C4E" w:rsidP="00AE6C4E">
      <w:pPr>
        <w:pStyle w:val="DOR"/>
        <w:rPr>
          <w:sz w:val="24"/>
          <w:szCs w:val="24"/>
        </w:rPr>
      </w:pPr>
    </w:p>
    <w:p w14:paraId="420E9C3A" w14:textId="449BE7EC" w:rsidR="00F84561" w:rsidRDefault="00A06323" w:rsidP="00AE6C4E">
      <w:pPr>
        <w:pStyle w:val="DOR"/>
        <w:rPr>
          <w:sz w:val="24"/>
          <w:szCs w:val="24"/>
        </w:rPr>
      </w:pPr>
      <w:r w:rsidRPr="00F84561">
        <w:rPr>
          <w:b/>
          <w:bCs/>
          <w:sz w:val="24"/>
          <w:szCs w:val="24"/>
        </w:rPr>
        <w:t>Item 3: State Plan Modification Overview</w:t>
      </w:r>
      <w:r w:rsidRPr="00AE6C4E">
        <w:rPr>
          <w:sz w:val="24"/>
          <w:szCs w:val="24"/>
        </w:rPr>
        <w:br/>
        <w:t>Peter Frangel, Manager</w:t>
      </w:r>
      <w:r w:rsidR="00F84561">
        <w:rPr>
          <w:sz w:val="24"/>
          <w:szCs w:val="24"/>
        </w:rPr>
        <w:t xml:space="preserve">, </w:t>
      </w:r>
      <w:r w:rsidRPr="00AE6C4E">
        <w:rPr>
          <w:sz w:val="24"/>
          <w:szCs w:val="24"/>
        </w:rPr>
        <w:t xml:space="preserve">DOR Policy Performance Section, </w:t>
      </w:r>
      <w:r w:rsidR="00F84561">
        <w:rPr>
          <w:sz w:val="24"/>
          <w:szCs w:val="24"/>
        </w:rPr>
        <w:t xml:space="preserve">presented an overview of the </w:t>
      </w:r>
      <w:r w:rsidRPr="00AE6C4E">
        <w:rPr>
          <w:sz w:val="24"/>
          <w:szCs w:val="24"/>
        </w:rPr>
        <w:t>VR Services Portion of the 2024-27 Unified State Plan</w:t>
      </w:r>
      <w:r w:rsidR="00F84561">
        <w:rPr>
          <w:sz w:val="24"/>
          <w:szCs w:val="24"/>
        </w:rPr>
        <w:t xml:space="preserve"> and the</w:t>
      </w:r>
      <w:r w:rsidRPr="00AE6C4E">
        <w:rPr>
          <w:sz w:val="24"/>
          <w:szCs w:val="24"/>
        </w:rPr>
        <w:t xml:space="preserve"> mid-cycle modification</w:t>
      </w:r>
      <w:r w:rsidR="00F84561">
        <w:rPr>
          <w:sz w:val="24"/>
          <w:szCs w:val="24"/>
        </w:rPr>
        <w:t xml:space="preserve"> process</w:t>
      </w:r>
      <w:r w:rsidRPr="00AE6C4E">
        <w:rPr>
          <w:sz w:val="24"/>
          <w:szCs w:val="24"/>
        </w:rPr>
        <w:t xml:space="preserve">, which </w:t>
      </w:r>
      <w:r w:rsidR="00F84561">
        <w:rPr>
          <w:sz w:val="24"/>
          <w:szCs w:val="24"/>
        </w:rPr>
        <w:t>will go into</w:t>
      </w:r>
      <w:r w:rsidRPr="00AE6C4E">
        <w:rPr>
          <w:sz w:val="24"/>
          <w:szCs w:val="24"/>
        </w:rPr>
        <w:t xml:space="preserve"> effect on July 1, 2026</w:t>
      </w:r>
      <w:r w:rsidR="00F84561">
        <w:rPr>
          <w:sz w:val="24"/>
          <w:szCs w:val="24"/>
        </w:rPr>
        <w:t xml:space="preserve"> (reference </w:t>
      </w:r>
      <w:hyperlink w:anchor="_Appendix_A:_VR" w:history="1">
        <w:r w:rsidR="00F84561" w:rsidRPr="00CC3F75">
          <w:rPr>
            <w:rStyle w:val="Hyperlink"/>
            <w:sz w:val="24"/>
            <w:szCs w:val="24"/>
          </w:rPr>
          <w:t>Appendix A</w:t>
        </w:r>
      </w:hyperlink>
      <w:r w:rsidR="00F84561">
        <w:rPr>
          <w:sz w:val="24"/>
          <w:szCs w:val="24"/>
        </w:rPr>
        <w:t xml:space="preserve"> for the full presentation)</w:t>
      </w:r>
      <w:r w:rsidRPr="00AE6C4E">
        <w:rPr>
          <w:sz w:val="24"/>
          <w:szCs w:val="24"/>
        </w:rPr>
        <w:t xml:space="preserve">. </w:t>
      </w:r>
      <w:r w:rsidR="00F84561">
        <w:rPr>
          <w:sz w:val="24"/>
          <w:szCs w:val="24"/>
        </w:rPr>
        <w:t xml:space="preserve">Frangel </w:t>
      </w:r>
      <w:r w:rsidR="00F40BF2">
        <w:rPr>
          <w:sz w:val="24"/>
          <w:szCs w:val="24"/>
        </w:rPr>
        <w:t xml:space="preserve">spoke about the structure of the State Plan, the required two-year modification, </w:t>
      </w:r>
    </w:p>
    <w:p w14:paraId="0866A36A" w14:textId="1188F010" w:rsidR="00A06323" w:rsidRDefault="00A06323" w:rsidP="00AE6C4E">
      <w:pPr>
        <w:pStyle w:val="DOR"/>
        <w:rPr>
          <w:sz w:val="24"/>
          <w:szCs w:val="24"/>
        </w:rPr>
      </w:pPr>
      <w:r w:rsidRPr="00AE6C4E">
        <w:rPr>
          <w:sz w:val="24"/>
          <w:szCs w:val="24"/>
        </w:rPr>
        <w:t>key timelines, and collaborati</w:t>
      </w:r>
      <w:r w:rsidR="00CC3F75">
        <w:rPr>
          <w:sz w:val="24"/>
          <w:szCs w:val="24"/>
        </w:rPr>
        <w:t>on</w:t>
      </w:r>
      <w:r w:rsidRPr="00AE6C4E">
        <w:rPr>
          <w:sz w:val="24"/>
          <w:szCs w:val="24"/>
        </w:rPr>
        <w:t xml:space="preserve"> with partners</w:t>
      </w:r>
      <w:r w:rsidR="00CC3F75">
        <w:rPr>
          <w:sz w:val="24"/>
          <w:szCs w:val="24"/>
        </w:rPr>
        <w:t xml:space="preserve"> including</w:t>
      </w:r>
      <w:r w:rsidR="00F40BF2">
        <w:rPr>
          <w:sz w:val="24"/>
          <w:szCs w:val="24"/>
        </w:rPr>
        <w:t xml:space="preserve"> the </w:t>
      </w:r>
      <w:r w:rsidRPr="00AE6C4E">
        <w:rPr>
          <w:sz w:val="24"/>
          <w:szCs w:val="24"/>
        </w:rPr>
        <w:t xml:space="preserve">California Workforce Development Board and </w:t>
      </w:r>
      <w:r w:rsidR="00F40BF2">
        <w:rPr>
          <w:sz w:val="24"/>
          <w:szCs w:val="24"/>
        </w:rPr>
        <w:t>the California Employment Development Department</w:t>
      </w:r>
      <w:r w:rsidR="00CC3F75">
        <w:rPr>
          <w:sz w:val="24"/>
          <w:szCs w:val="24"/>
        </w:rPr>
        <w:t xml:space="preserve"> (EDD)</w:t>
      </w:r>
      <w:r w:rsidRPr="00AE6C4E">
        <w:rPr>
          <w:sz w:val="24"/>
          <w:szCs w:val="24"/>
        </w:rPr>
        <w:t>. Frangel described the sections of the State Plan, highlighting those most relevant to the SRC</w:t>
      </w:r>
      <w:r w:rsidR="00CC3F75">
        <w:rPr>
          <w:sz w:val="24"/>
          <w:szCs w:val="24"/>
        </w:rPr>
        <w:t>,</w:t>
      </w:r>
      <w:r w:rsidRPr="00AE6C4E">
        <w:rPr>
          <w:sz w:val="24"/>
          <w:szCs w:val="24"/>
        </w:rPr>
        <w:t xml:space="preserve"> including</w:t>
      </w:r>
      <w:r w:rsidR="00F40BF2">
        <w:rPr>
          <w:sz w:val="24"/>
          <w:szCs w:val="24"/>
        </w:rPr>
        <w:t xml:space="preserve"> </w:t>
      </w:r>
      <w:r w:rsidRPr="00AE6C4E">
        <w:rPr>
          <w:sz w:val="24"/>
          <w:szCs w:val="24"/>
        </w:rPr>
        <w:t>Section A (</w:t>
      </w:r>
      <w:r w:rsidR="00F40BF2">
        <w:rPr>
          <w:sz w:val="24"/>
          <w:szCs w:val="24"/>
        </w:rPr>
        <w:t>SRC Input</w:t>
      </w:r>
      <w:r w:rsidRPr="00AE6C4E">
        <w:rPr>
          <w:sz w:val="24"/>
          <w:szCs w:val="24"/>
        </w:rPr>
        <w:t>), Section C (Goals, Priorities and Strategies), and Section D (Evaluation and Progress).</w:t>
      </w:r>
      <w:r w:rsidR="00CC3F75">
        <w:rPr>
          <w:sz w:val="24"/>
          <w:szCs w:val="24"/>
        </w:rPr>
        <w:t xml:space="preserve"> </w:t>
      </w:r>
      <w:r w:rsidR="00F40BF2">
        <w:rPr>
          <w:sz w:val="24"/>
          <w:szCs w:val="24"/>
        </w:rPr>
        <w:t>The</w:t>
      </w:r>
      <w:r w:rsidRPr="00AE6C4E">
        <w:rPr>
          <w:sz w:val="24"/>
          <w:szCs w:val="24"/>
        </w:rPr>
        <w:t xml:space="preserve"> SRC has a critical role in shaping these sections and </w:t>
      </w:r>
      <w:r w:rsidR="00F40BF2">
        <w:rPr>
          <w:sz w:val="24"/>
          <w:szCs w:val="24"/>
        </w:rPr>
        <w:t xml:space="preserve">early and ongoing input is encouraged. </w:t>
      </w:r>
    </w:p>
    <w:p w14:paraId="0B89DADE" w14:textId="77777777" w:rsidR="00F40BF2" w:rsidRPr="00AE6C4E" w:rsidRDefault="00F40BF2" w:rsidP="00AE6C4E">
      <w:pPr>
        <w:pStyle w:val="DOR"/>
        <w:rPr>
          <w:sz w:val="24"/>
          <w:szCs w:val="24"/>
        </w:rPr>
      </w:pPr>
    </w:p>
    <w:p w14:paraId="6497E050" w14:textId="5563393C" w:rsidR="00A06323" w:rsidRPr="00AE6C4E" w:rsidRDefault="00A06323" w:rsidP="00AE6C4E">
      <w:pPr>
        <w:pStyle w:val="DOR"/>
        <w:rPr>
          <w:sz w:val="24"/>
          <w:szCs w:val="24"/>
        </w:rPr>
      </w:pPr>
      <w:r w:rsidRPr="00AE6C4E">
        <w:rPr>
          <w:sz w:val="24"/>
          <w:szCs w:val="24"/>
        </w:rPr>
        <w:t>Frangel reviewed</w:t>
      </w:r>
      <w:r w:rsidR="00F32273">
        <w:rPr>
          <w:sz w:val="24"/>
          <w:szCs w:val="24"/>
        </w:rPr>
        <w:t xml:space="preserve"> the</w:t>
      </w:r>
      <w:r w:rsidRPr="00AE6C4E">
        <w:rPr>
          <w:sz w:val="24"/>
          <w:szCs w:val="24"/>
        </w:rPr>
        <w:t xml:space="preserve"> current </w:t>
      </w:r>
      <w:r w:rsidR="00CC3F75">
        <w:rPr>
          <w:sz w:val="24"/>
          <w:szCs w:val="24"/>
        </w:rPr>
        <w:t xml:space="preserve">State Plan </w:t>
      </w:r>
      <w:r w:rsidRPr="00AE6C4E">
        <w:rPr>
          <w:sz w:val="24"/>
          <w:szCs w:val="24"/>
        </w:rPr>
        <w:t xml:space="preserve">goals including employment rates post-exit, credential attainment, measurable skill gains, wage parity, alignment with in-demand occupations, and outreach to underserved communities. He noted that while only six to eight months of data are available, DOR is using projections and monitoring tools to track progress. Frangel answered </w:t>
      </w:r>
      <w:r w:rsidR="00F335DF">
        <w:rPr>
          <w:sz w:val="24"/>
          <w:szCs w:val="24"/>
        </w:rPr>
        <w:t xml:space="preserve">questions from the SRC State Plan Committee members </w:t>
      </w:r>
      <w:r w:rsidRPr="00AE6C4E">
        <w:rPr>
          <w:sz w:val="24"/>
          <w:szCs w:val="24"/>
        </w:rPr>
        <w:t xml:space="preserve">regarding data sources, performance metrics, and how SRC input can </w:t>
      </w:r>
      <w:r w:rsidR="00F335DF">
        <w:rPr>
          <w:sz w:val="24"/>
          <w:szCs w:val="24"/>
        </w:rPr>
        <w:t xml:space="preserve">inform the development of </w:t>
      </w:r>
      <w:r w:rsidR="00CC3F75">
        <w:rPr>
          <w:sz w:val="24"/>
          <w:szCs w:val="24"/>
        </w:rPr>
        <w:t xml:space="preserve">future </w:t>
      </w:r>
      <w:r w:rsidR="00F335DF">
        <w:rPr>
          <w:sz w:val="24"/>
          <w:szCs w:val="24"/>
        </w:rPr>
        <w:t xml:space="preserve">State Plan goals and priorities. </w:t>
      </w:r>
      <w:r w:rsidR="00CC3F75">
        <w:rPr>
          <w:sz w:val="24"/>
          <w:szCs w:val="24"/>
        </w:rPr>
        <w:t xml:space="preserve">Comments and questions from the </w:t>
      </w:r>
      <w:r w:rsidR="00F335DF">
        <w:rPr>
          <w:sz w:val="24"/>
          <w:szCs w:val="24"/>
        </w:rPr>
        <w:t>SRC State Plan Committee member</w:t>
      </w:r>
      <w:r w:rsidR="00CC3F75">
        <w:rPr>
          <w:sz w:val="24"/>
          <w:szCs w:val="24"/>
        </w:rPr>
        <w:t>s</w:t>
      </w:r>
      <w:r w:rsidR="00F335DF">
        <w:rPr>
          <w:sz w:val="24"/>
          <w:szCs w:val="24"/>
        </w:rPr>
        <w:t xml:space="preserve"> included the following: </w:t>
      </w:r>
    </w:p>
    <w:p w14:paraId="62554286" w14:textId="77777777" w:rsidR="00A06323" w:rsidRPr="00AE6C4E" w:rsidRDefault="00A06323" w:rsidP="00F335DF">
      <w:pPr>
        <w:pStyle w:val="DOR"/>
        <w:numPr>
          <w:ilvl w:val="0"/>
          <w:numId w:val="18"/>
        </w:numPr>
        <w:rPr>
          <w:sz w:val="24"/>
          <w:szCs w:val="24"/>
        </w:rPr>
      </w:pPr>
      <w:r w:rsidRPr="00AE6C4E">
        <w:rPr>
          <w:sz w:val="24"/>
          <w:szCs w:val="24"/>
        </w:rPr>
        <w:lastRenderedPageBreak/>
        <w:t>Shannon Coe expressed appreciation for the comprehensive overview and asked how DOR ensures equitable data collection across racial and ethnic groups.</w:t>
      </w:r>
    </w:p>
    <w:p w14:paraId="7BE5F0D5" w14:textId="04303414" w:rsidR="00A06323" w:rsidRPr="00AE6C4E" w:rsidRDefault="00A06323" w:rsidP="00F335DF">
      <w:pPr>
        <w:pStyle w:val="DOR"/>
        <w:numPr>
          <w:ilvl w:val="0"/>
          <w:numId w:val="18"/>
        </w:numPr>
        <w:rPr>
          <w:sz w:val="24"/>
          <w:szCs w:val="24"/>
        </w:rPr>
      </w:pPr>
      <w:r w:rsidRPr="00AE6C4E">
        <w:rPr>
          <w:sz w:val="24"/>
          <w:szCs w:val="24"/>
        </w:rPr>
        <w:t>Michelle Be</w:t>
      </w:r>
      <w:r w:rsidR="00CC3F75">
        <w:rPr>
          <w:sz w:val="24"/>
          <w:szCs w:val="24"/>
        </w:rPr>
        <w:t>llo</w:t>
      </w:r>
      <w:r w:rsidRPr="00AE6C4E">
        <w:rPr>
          <w:sz w:val="24"/>
          <w:szCs w:val="24"/>
        </w:rPr>
        <w:t xml:space="preserve"> </w:t>
      </w:r>
      <w:r w:rsidR="00F32273">
        <w:rPr>
          <w:sz w:val="24"/>
          <w:szCs w:val="24"/>
        </w:rPr>
        <w:t>asked</w:t>
      </w:r>
      <w:r w:rsidRPr="00AE6C4E">
        <w:rPr>
          <w:sz w:val="24"/>
          <w:szCs w:val="24"/>
        </w:rPr>
        <w:t xml:space="preserve"> how DOR collaborates with school districts during the </w:t>
      </w:r>
      <w:r w:rsidR="00CC3F75">
        <w:rPr>
          <w:sz w:val="24"/>
          <w:szCs w:val="24"/>
        </w:rPr>
        <w:t xml:space="preserve">State Plan </w:t>
      </w:r>
      <w:r w:rsidRPr="00AE6C4E">
        <w:rPr>
          <w:sz w:val="24"/>
          <w:szCs w:val="24"/>
        </w:rPr>
        <w:t>development process, emphasizing the importance of consistency in transition planning.</w:t>
      </w:r>
    </w:p>
    <w:p w14:paraId="3F5519A2" w14:textId="77777777" w:rsidR="00A06323" w:rsidRPr="00AE6C4E" w:rsidRDefault="00A06323" w:rsidP="00F335DF">
      <w:pPr>
        <w:pStyle w:val="DOR"/>
        <w:numPr>
          <w:ilvl w:val="0"/>
          <w:numId w:val="18"/>
        </w:numPr>
        <w:rPr>
          <w:sz w:val="24"/>
          <w:szCs w:val="24"/>
        </w:rPr>
      </w:pPr>
      <w:r w:rsidRPr="00AE6C4E">
        <w:rPr>
          <w:sz w:val="24"/>
          <w:szCs w:val="24"/>
        </w:rPr>
        <w:t>Gregory Meza emphasized the need to elevate work-based learning and apprenticeship opportunities within the goals, particularly for students with disabilities.</w:t>
      </w:r>
    </w:p>
    <w:p w14:paraId="3EC5383D" w14:textId="6DE135DD" w:rsidR="00A06323" w:rsidRPr="00AE6C4E" w:rsidRDefault="00A06323" w:rsidP="00F335DF">
      <w:pPr>
        <w:pStyle w:val="DOR"/>
        <w:numPr>
          <w:ilvl w:val="0"/>
          <w:numId w:val="18"/>
        </w:numPr>
        <w:rPr>
          <w:sz w:val="24"/>
          <w:szCs w:val="24"/>
        </w:rPr>
      </w:pPr>
      <w:r w:rsidRPr="00AE6C4E">
        <w:rPr>
          <w:sz w:val="24"/>
          <w:szCs w:val="24"/>
        </w:rPr>
        <w:t>Ivan Guillen highlighted the importance of making the plan accessible to the public</w:t>
      </w:r>
      <w:r w:rsidR="00F335DF">
        <w:rPr>
          <w:sz w:val="24"/>
          <w:szCs w:val="24"/>
        </w:rPr>
        <w:t xml:space="preserve"> </w:t>
      </w:r>
      <w:r w:rsidRPr="00AE6C4E">
        <w:rPr>
          <w:sz w:val="24"/>
          <w:szCs w:val="24"/>
        </w:rPr>
        <w:t>and ensuring language access for all stakeholders in outreach efforts.</w:t>
      </w:r>
    </w:p>
    <w:p w14:paraId="0CDC1727" w14:textId="77777777" w:rsidR="00AE6C4E" w:rsidRPr="00AE6C4E" w:rsidRDefault="00AE6C4E" w:rsidP="00AE6C4E">
      <w:pPr>
        <w:pStyle w:val="DOR"/>
        <w:rPr>
          <w:sz w:val="24"/>
          <w:szCs w:val="24"/>
        </w:rPr>
      </w:pPr>
    </w:p>
    <w:p w14:paraId="004DAD23" w14:textId="484A9A7D" w:rsidR="00976845" w:rsidRDefault="00A06323" w:rsidP="00AE6C4E">
      <w:pPr>
        <w:pStyle w:val="DOR"/>
        <w:rPr>
          <w:sz w:val="24"/>
          <w:szCs w:val="24"/>
        </w:rPr>
      </w:pPr>
      <w:r w:rsidRPr="00F335DF">
        <w:rPr>
          <w:b/>
          <w:bCs/>
          <w:sz w:val="24"/>
          <w:szCs w:val="24"/>
        </w:rPr>
        <w:t>Item 4: SRC Involvement with the State Plan Modification</w:t>
      </w:r>
      <w:r w:rsidRPr="00AE6C4E">
        <w:rPr>
          <w:sz w:val="24"/>
          <w:szCs w:val="24"/>
        </w:rPr>
        <w:br/>
        <w:t xml:space="preserve">Kate Bjerke, SRC Executive Officer, discussed how the SRC can </w:t>
      </w:r>
      <w:r w:rsidR="00CC3F75">
        <w:rPr>
          <w:sz w:val="24"/>
          <w:szCs w:val="24"/>
        </w:rPr>
        <w:t xml:space="preserve">inform the </w:t>
      </w:r>
      <w:r w:rsidR="00F335DF">
        <w:rPr>
          <w:sz w:val="24"/>
          <w:szCs w:val="24"/>
        </w:rPr>
        <w:t xml:space="preserve">State Plan </w:t>
      </w:r>
      <w:r w:rsidRPr="00AE6C4E">
        <w:rPr>
          <w:sz w:val="24"/>
          <w:szCs w:val="24"/>
        </w:rPr>
        <w:t xml:space="preserve">modification process. </w:t>
      </w:r>
      <w:r w:rsidR="00976845">
        <w:rPr>
          <w:sz w:val="24"/>
          <w:szCs w:val="24"/>
        </w:rPr>
        <w:t xml:space="preserve">Bjerke reviewed the following engagement questions, designed to generate feedback and input from the SRC members and stakeholder community: </w:t>
      </w:r>
    </w:p>
    <w:p w14:paraId="10B9CDCA" w14:textId="77777777" w:rsidR="00976845" w:rsidRPr="00976845" w:rsidRDefault="00976845" w:rsidP="00976845">
      <w:pPr>
        <w:pStyle w:val="ListParagraph"/>
        <w:numPr>
          <w:ilvl w:val="0"/>
          <w:numId w:val="19"/>
        </w:numPr>
        <w:spacing w:after="0" w:line="240" w:lineRule="auto"/>
        <w:rPr>
          <w:rFonts w:ascii="Arial" w:hAnsi="Arial" w:cs="Arial"/>
          <w:sz w:val="24"/>
          <w:szCs w:val="24"/>
        </w:rPr>
      </w:pPr>
      <w:r w:rsidRPr="00976845">
        <w:rPr>
          <w:rFonts w:ascii="Arial" w:hAnsi="Arial" w:cs="Arial"/>
          <w:sz w:val="24"/>
          <w:szCs w:val="24"/>
        </w:rPr>
        <w:t xml:space="preserve">What are the biggest barriers individuals with disabilities currently face in obtaining and maintaining competitive integrated employment? </w:t>
      </w:r>
    </w:p>
    <w:p w14:paraId="1C2DF296" w14:textId="3DD0A5BB" w:rsidR="00976845" w:rsidRPr="00976845" w:rsidRDefault="00976845" w:rsidP="00976845">
      <w:pPr>
        <w:pStyle w:val="ListParagraph"/>
        <w:numPr>
          <w:ilvl w:val="1"/>
          <w:numId w:val="19"/>
        </w:numPr>
        <w:spacing w:after="0" w:line="240" w:lineRule="auto"/>
        <w:rPr>
          <w:rFonts w:ascii="Arial" w:hAnsi="Arial" w:cs="Arial"/>
          <w:sz w:val="24"/>
          <w:szCs w:val="24"/>
        </w:rPr>
      </w:pPr>
      <w:r w:rsidRPr="00976845">
        <w:rPr>
          <w:rFonts w:ascii="Arial" w:hAnsi="Arial" w:cs="Arial"/>
          <w:sz w:val="24"/>
          <w:szCs w:val="24"/>
        </w:rPr>
        <w:t>What solutions could help reduce or eliminate these barriers?</w:t>
      </w:r>
    </w:p>
    <w:p w14:paraId="4D2D0B2F" w14:textId="3B438C28" w:rsidR="00976845" w:rsidRPr="00976845" w:rsidRDefault="00976845" w:rsidP="00976845">
      <w:pPr>
        <w:pStyle w:val="ListParagraph"/>
        <w:numPr>
          <w:ilvl w:val="0"/>
          <w:numId w:val="19"/>
        </w:numPr>
        <w:spacing w:after="0" w:line="240" w:lineRule="auto"/>
        <w:rPr>
          <w:rFonts w:ascii="Arial" w:hAnsi="Arial" w:cs="Arial"/>
          <w:sz w:val="24"/>
          <w:szCs w:val="24"/>
        </w:rPr>
      </w:pPr>
      <w:r w:rsidRPr="00976845">
        <w:rPr>
          <w:rFonts w:ascii="Arial" w:hAnsi="Arial" w:cs="Arial"/>
          <w:sz w:val="24"/>
          <w:szCs w:val="24"/>
        </w:rPr>
        <w:t>Are there specific disability groups or underserved populations that need greater access to VR services?</w:t>
      </w:r>
    </w:p>
    <w:p w14:paraId="5412DBBF" w14:textId="6770C34B" w:rsidR="00976845" w:rsidRPr="00976845" w:rsidRDefault="00976845" w:rsidP="00976845">
      <w:pPr>
        <w:pStyle w:val="ListParagraph"/>
        <w:numPr>
          <w:ilvl w:val="0"/>
          <w:numId w:val="19"/>
        </w:numPr>
        <w:spacing w:after="0" w:line="240" w:lineRule="auto"/>
        <w:rPr>
          <w:rFonts w:ascii="Arial" w:hAnsi="Arial" w:cs="Arial"/>
          <w:sz w:val="24"/>
          <w:szCs w:val="24"/>
        </w:rPr>
      </w:pPr>
      <w:r w:rsidRPr="00976845">
        <w:rPr>
          <w:rFonts w:ascii="Arial" w:hAnsi="Arial" w:cs="Arial"/>
          <w:sz w:val="24"/>
          <w:szCs w:val="24"/>
        </w:rPr>
        <w:t xml:space="preserve">What specific areas of VR service delivery need improvement (examples: timeliness, accessibility, effectiveness, consumer choice, etc.)? </w:t>
      </w:r>
    </w:p>
    <w:p w14:paraId="74882B84" w14:textId="7C1DCEF4" w:rsidR="00976845" w:rsidRPr="00976845" w:rsidRDefault="00976845" w:rsidP="00976845">
      <w:pPr>
        <w:pStyle w:val="ListParagraph"/>
        <w:numPr>
          <w:ilvl w:val="1"/>
          <w:numId w:val="19"/>
        </w:numPr>
        <w:spacing w:after="0" w:line="240" w:lineRule="auto"/>
        <w:rPr>
          <w:rFonts w:ascii="Arial" w:hAnsi="Arial" w:cs="Arial"/>
          <w:sz w:val="24"/>
          <w:szCs w:val="24"/>
        </w:rPr>
      </w:pPr>
      <w:r w:rsidRPr="00976845">
        <w:rPr>
          <w:rFonts w:ascii="Arial" w:hAnsi="Arial" w:cs="Arial"/>
          <w:sz w:val="24"/>
          <w:szCs w:val="24"/>
        </w:rPr>
        <w:t xml:space="preserve">What improvements could be made? </w:t>
      </w:r>
    </w:p>
    <w:p w14:paraId="6D37D397" w14:textId="52720137" w:rsidR="00976845" w:rsidRPr="00976845" w:rsidRDefault="00976845" w:rsidP="00976845">
      <w:pPr>
        <w:pStyle w:val="ListParagraph"/>
        <w:numPr>
          <w:ilvl w:val="0"/>
          <w:numId w:val="19"/>
        </w:numPr>
        <w:spacing w:after="0" w:line="240" w:lineRule="auto"/>
        <w:rPr>
          <w:rFonts w:ascii="Arial" w:hAnsi="Arial" w:cs="Arial"/>
          <w:sz w:val="24"/>
          <w:szCs w:val="24"/>
        </w:rPr>
      </w:pPr>
      <w:r w:rsidRPr="00976845">
        <w:rPr>
          <w:rFonts w:ascii="Arial" w:hAnsi="Arial" w:cs="Arial"/>
          <w:sz w:val="24"/>
          <w:szCs w:val="24"/>
        </w:rPr>
        <w:t>How can DOR’s strengthen partnerships with employers?</w:t>
      </w:r>
    </w:p>
    <w:p w14:paraId="21DC034E" w14:textId="2B973389" w:rsidR="00976845" w:rsidRPr="00976845" w:rsidRDefault="00976845" w:rsidP="00976845">
      <w:pPr>
        <w:pStyle w:val="ListParagraph"/>
        <w:numPr>
          <w:ilvl w:val="0"/>
          <w:numId w:val="19"/>
        </w:numPr>
        <w:spacing w:after="0" w:line="240" w:lineRule="auto"/>
        <w:rPr>
          <w:rFonts w:ascii="Arial" w:hAnsi="Arial" w:cs="Arial"/>
          <w:sz w:val="24"/>
          <w:szCs w:val="24"/>
        </w:rPr>
      </w:pPr>
      <w:r w:rsidRPr="00976845">
        <w:rPr>
          <w:rFonts w:ascii="Arial" w:hAnsi="Arial" w:cs="Arial"/>
          <w:sz w:val="24"/>
          <w:szCs w:val="24"/>
        </w:rPr>
        <w:t>How can DOR encourage more employers to offer internships, apprenticeships, and on-the-job training opportunities?</w:t>
      </w:r>
    </w:p>
    <w:p w14:paraId="54335DC6" w14:textId="3EB3577A" w:rsidR="00976845" w:rsidRPr="00976845" w:rsidRDefault="00976845" w:rsidP="00976845">
      <w:pPr>
        <w:pStyle w:val="ListParagraph"/>
        <w:numPr>
          <w:ilvl w:val="0"/>
          <w:numId w:val="19"/>
        </w:numPr>
        <w:spacing w:after="0" w:line="240" w:lineRule="auto"/>
        <w:rPr>
          <w:rFonts w:ascii="Arial" w:hAnsi="Arial" w:cs="Arial"/>
          <w:sz w:val="24"/>
          <w:szCs w:val="24"/>
        </w:rPr>
      </w:pPr>
      <w:r w:rsidRPr="00976845">
        <w:rPr>
          <w:rFonts w:ascii="Arial" w:hAnsi="Arial" w:cs="Arial"/>
          <w:sz w:val="24"/>
          <w:szCs w:val="24"/>
        </w:rPr>
        <w:t>Are there policies that limit the effectiveness of VR services? If so, what are they?</w:t>
      </w:r>
    </w:p>
    <w:p w14:paraId="51A1616D" w14:textId="77777777" w:rsidR="00976845" w:rsidRPr="00976845" w:rsidRDefault="00976845" w:rsidP="00976845">
      <w:pPr>
        <w:pStyle w:val="ListParagraph"/>
        <w:numPr>
          <w:ilvl w:val="0"/>
          <w:numId w:val="19"/>
        </w:numPr>
        <w:spacing w:after="0" w:line="240" w:lineRule="auto"/>
        <w:rPr>
          <w:rFonts w:ascii="Arial" w:hAnsi="Arial" w:cs="Arial"/>
          <w:sz w:val="24"/>
          <w:szCs w:val="24"/>
        </w:rPr>
      </w:pPr>
      <w:r w:rsidRPr="00976845">
        <w:rPr>
          <w:rFonts w:ascii="Arial" w:hAnsi="Arial" w:cs="Arial"/>
          <w:sz w:val="24"/>
          <w:szCs w:val="24"/>
        </w:rPr>
        <w:t xml:space="preserve">What innovative strategies, programs, or technologies should be adopted to improve VR services? </w:t>
      </w:r>
    </w:p>
    <w:p w14:paraId="05BF234C" w14:textId="77777777" w:rsidR="00976845" w:rsidRDefault="00976845" w:rsidP="00AE6C4E">
      <w:pPr>
        <w:pStyle w:val="DOR"/>
        <w:rPr>
          <w:sz w:val="24"/>
          <w:szCs w:val="24"/>
        </w:rPr>
      </w:pPr>
    </w:p>
    <w:p w14:paraId="46D18596" w14:textId="33828E1A" w:rsidR="00976845" w:rsidRDefault="00976845" w:rsidP="00AE6C4E">
      <w:pPr>
        <w:pStyle w:val="DOR"/>
        <w:rPr>
          <w:sz w:val="24"/>
          <w:szCs w:val="24"/>
        </w:rPr>
      </w:pPr>
      <w:r>
        <w:rPr>
          <w:sz w:val="24"/>
          <w:szCs w:val="24"/>
        </w:rPr>
        <w:t>The SRC State Plan Committee m</w:t>
      </w:r>
      <w:r w:rsidR="00A06323" w:rsidRPr="00AE6C4E">
        <w:rPr>
          <w:sz w:val="24"/>
          <w:szCs w:val="24"/>
        </w:rPr>
        <w:t xml:space="preserve">embers discussed the importance of aligning feedback </w:t>
      </w:r>
      <w:r w:rsidR="00CC3F75">
        <w:rPr>
          <w:sz w:val="24"/>
          <w:szCs w:val="24"/>
        </w:rPr>
        <w:t xml:space="preserve">and input </w:t>
      </w:r>
      <w:r w:rsidR="00A06323" w:rsidRPr="00AE6C4E">
        <w:rPr>
          <w:sz w:val="24"/>
          <w:szCs w:val="24"/>
        </w:rPr>
        <w:t xml:space="preserve">with key themes such as service equity, partnership development, and measurable consumer outcomes. </w:t>
      </w:r>
    </w:p>
    <w:p w14:paraId="3AEE35FB" w14:textId="77777777" w:rsidR="00976845" w:rsidRDefault="00976845" w:rsidP="00AE6C4E">
      <w:pPr>
        <w:pStyle w:val="DOR"/>
        <w:rPr>
          <w:sz w:val="24"/>
          <w:szCs w:val="24"/>
        </w:rPr>
      </w:pPr>
    </w:p>
    <w:p w14:paraId="2F0B5494" w14:textId="06A71BFB" w:rsidR="00A06323" w:rsidRDefault="00A06323" w:rsidP="00AE6C4E">
      <w:pPr>
        <w:pStyle w:val="DOR"/>
        <w:rPr>
          <w:sz w:val="24"/>
          <w:szCs w:val="24"/>
        </w:rPr>
      </w:pPr>
      <w:r w:rsidRPr="00AE6C4E">
        <w:rPr>
          <w:sz w:val="24"/>
          <w:szCs w:val="24"/>
        </w:rPr>
        <w:t xml:space="preserve">Bjerke confirmed </w:t>
      </w:r>
      <w:r w:rsidR="00976845">
        <w:rPr>
          <w:sz w:val="24"/>
          <w:szCs w:val="24"/>
        </w:rPr>
        <w:t xml:space="preserve">that as a next step, she will send an email to all SRC members and the stakeholder community with the engagement questions, request input and feedback, and will provide a summary of the </w:t>
      </w:r>
      <w:r w:rsidR="00F32273">
        <w:rPr>
          <w:sz w:val="24"/>
          <w:szCs w:val="24"/>
        </w:rPr>
        <w:t>feedback received</w:t>
      </w:r>
      <w:r w:rsidR="00976845">
        <w:rPr>
          <w:sz w:val="24"/>
          <w:szCs w:val="24"/>
        </w:rPr>
        <w:t xml:space="preserve"> at the next State Plan Committee meeting in July 2025. Bjerke reviewed the following timeline: </w:t>
      </w:r>
    </w:p>
    <w:p w14:paraId="6E530F69" w14:textId="5C39DD64" w:rsidR="00976845" w:rsidRPr="00976845" w:rsidRDefault="00976845" w:rsidP="00976845">
      <w:pPr>
        <w:pStyle w:val="DOR"/>
        <w:numPr>
          <w:ilvl w:val="0"/>
          <w:numId w:val="21"/>
        </w:numPr>
        <w:rPr>
          <w:sz w:val="24"/>
          <w:szCs w:val="24"/>
        </w:rPr>
      </w:pPr>
      <w:r w:rsidRPr="00976845">
        <w:rPr>
          <w:sz w:val="24"/>
          <w:szCs w:val="24"/>
        </w:rPr>
        <w:t xml:space="preserve">Late April – June 2025: SRC members reflect on the questions and gather feedback from their networks. </w:t>
      </w:r>
    </w:p>
    <w:p w14:paraId="59ED4464" w14:textId="107D4B0A" w:rsidR="00976845" w:rsidRPr="00976845" w:rsidRDefault="00976845" w:rsidP="00976845">
      <w:pPr>
        <w:pStyle w:val="DOR"/>
        <w:numPr>
          <w:ilvl w:val="0"/>
          <w:numId w:val="20"/>
        </w:numPr>
        <w:rPr>
          <w:sz w:val="24"/>
          <w:szCs w:val="24"/>
        </w:rPr>
      </w:pPr>
      <w:r w:rsidRPr="00976845">
        <w:rPr>
          <w:sz w:val="24"/>
          <w:szCs w:val="24"/>
        </w:rPr>
        <w:t xml:space="preserve">June 2025: DOR gives an update on the State Plan modification during the June 11 – 12, 2025 SRC quarterly meeting. </w:t>
      </w:r>
    </w:p>
    <w:p w14:paraId="17E58BA2" w14:textId="53A30C90" w:rsidR="00976845" w:rsidRPr="00CC3F75" w:rsidRDefault="00976845" w:rsidP="00976845">
      <w:pPr>
        <w:pStyle w:val="DOR"/>
        <w:numPr>
          <w:ilvl w:val="0"/>
          <w:numId w:val="20"/>
        </w:numPr>
        <w:rPr>
          <w:sz w:val="24"/>
          <w:szCs w:val="24"/>
        </w:rPr>
      </w:pPr>
      <w:r w:rsidRPr="00976845">
        <w:rPr>
          <w:sz w:val="24"/>
          <w:szCs w:val="24"/>
        </w:rPr>
        <w:t>July 2025: The SRC State Plan Committee drafts input and recommendations for the State Plan.</w:t>
      </w:r>
    </w:p>
    <w:p w14:paraId="65F30C60" w14:textId="487079FF" w:rsidR="00976845" w:rsidRPr="00976845" w:rsidRDefault="00976845" w:rsidP="00976845">
      <w:pPr>
        <w:pStyle w:val="DOR"/>
        <w:numPr>
          <w:ilvl w:val="0"/>
          <w:numId w:val="20"/>
        </w:numPr>
        <w:rPr>
          <w:sz w:val="24"/>
          <w:szCs w:val="24"/>
        </w:rPr>
      </w:pPr>
      <w:r w:rsidRPr="00976845">
        <w:rPr>
          <w:sz w:val="24"/>
          <w:szCs w:val="24"/>
        </w:rPr>
        <w:t xml:space="preserve">September 2025: The draft input and recommendations are presented to the full SRC for consideration and adoption during the September 10 – 11, 2025 SRC quarterly meeting. </w:t>
      </w:r>
    </w:p>
    <w:p w14:paraId="6EC7F499" w14:textId="36B8EDFE" w:rsidR="00976845" w:rsidRPr="00976845" w:rsidRDefault="00976845" w:rsidP="00976845">
      <w:pPr>
        <w:pStyle w:val="DOR"/>
        <w:numPr>
          <w:ilvl w:val="0"/>
          <w:numId w:val="20"/>
        </w:numPr>
        <w:rPr>
          <w:sz w:val="24"/>
          <w:szCs w:val="24"/>
        </w:rPr>
      </w:pPr>
      <w:r w:rsidRPr="00976845">
        <w:rPr>
          <w:sz w:val="24"/>
          <w:szCs w:val="24"/>
        </w:rPr>
        <w:t xml:space="preserve">October 2025: DOR presents the draft State Plan modification to the SRC State Plan Committee for feedback. </w:t>
      </w:r>
    </w:p>
    <w:p w14:paraId="4C5AA22A" w14:textId="33507278" w:rsidR="00976845" w:rsidRPr="00AE6C4E" w:rsidRDefault="00976845" w:rsidP="00976845">
      <w:pPr>
        <w:pStyle w:val="DOR"/>
        <w:numPr>
          <w:ilvl w:val="0"/>
          <w:numId w:val="20"/>
        </w:numPr>
        <w:rPr>
          <w:sz w:val="24"/>
          <w:szCs w:val="24"/>
        </w:rPr>
      </w:pPr>
      <w:r w:rsidRPr="00976845">
        <w:rPr>
          <w:sz w:val="24"/>
          <w:szCs w:val="24"/>
        </w:rPr>
        <w:lastRenderedPageBreak/>
        <w:t>Late November/early December 2025: DOR presents the final State Plan modification to the full SRC during the quarterly meeting</w:t>
      </w:r>
      <w:r w:rsidR="00F32273">
        <w:rPr>
          <w:sz w:val="24"/>
          <w:szCs w:val="24"/>
        </w:rPr>
        <w:t>.</w:t>
      </w:r>
    </w:p>
    <w:p w14:paraId="71A2F275" w14:textId="77777777" w:rsidR="00AE6C4E" w:rsidRPr="00AE6C4E" w:rsidRDefault="00AE6C4E" w:rsidP="00AE6C4E">
      <w:pPr>
        <w:pStyle w:val="DOR"/>
        <w:rPr>
          <w:sz w:val="24"/>
          <w:szCs w:val="24"/>
        </w:rPr>
      </w:pPr>
    </w:p>
    <w:p w14:paraId="60B87221" w14:textId="1D6CC917" w:rsidR="00A06323" w:rsidRPr="00AE6C4E" w:rsidRDefault="00A06323" w:rsidP="00AE6C4E">
      <w:pPr>
        <w:pStyle w:val="DOR"/>
        <w:rPr>
          <w:sz w:val="24"/>
          <w:szCs w:val="24"/>
        </w:rPr>
      </w:pPr>
      <w:r w:rsidRPr="00976845">
        <w:rPr>
          <w:b/>
          <w:bCs/>
          <w:sz w:val="24"/>
          <w:szCs w:val="24"/>
        </w:rPr>
        <w:t>Item 5: Brainstorming Session</w:t>
      </w:r>
      <w:r w:rsidRPr="00AE6C4E">
        <w:rPr>
          <w:sz w:val="24"/>
          <w:szCs w:val="24"/>
        </w:rPr>
        <w:br/>
        <w:t xml:space="preserve">Using the </w:t>
      </w:r>
      <w:r w:rsidR="00976845">
        <w:rPr>
          <w:sz w:val="24"/>
          <w:szCs w:val="24"/>
        </w:rPr>
        <w:t>engagement</w:t>
      </w:r>
      <w:r w:rsidRPr="00AE6C4E">
        <w:rPr>
          <w:sz w:val="24"/>
          <w:szCs w:val="24"/>
        </w:rPr>
        <w:t xml:space="preserve"> questions from the </w:t>
      </w:r>
      <w:r w:rsidR="00976845">
        <w:rPr>
          <w:sz w:val="24"/>
          <w:szCs w:val="24"/>
        </w:rPr>
        <w:t>d</w:t>
      </w:r>
      <w:r w:rsidRPr="00AE6C4E">
        <w:rPr>
          <w:sz w:val="24"/>
          <w:szCs w:val="24"/>
        </w:rPr>
        <w:t xml:space="preserve">etail </w:t>
      </w:r>
      <w:r w:rsidR="00976845">
        <w:rPr>
          <w:sz w:val="24"/>
          <w:szCs w:val="24"/>
        </w:rPr>
        <w:t>s</w:t>
      </w:r>
      <w:r w:rsidRPr="00AE6C4E">
        <w:rPr>
          <w:sz w:val="24"/>
          <w:szCs w:val="24"/>
        </w:rPr>
        <w:t>heet,</w:t>
      </w:r>
      <w:r w:rsidR="00976845">
        <w:rPr>
          <w:sz w:val="24"/>
          <w:szCs w:val="24"/>
        </w:rPr>
        <w:t xml:space="preserve"> the SRC State Plan</w:t>
      </w:r>
      <w:r w:rsidRPr="00AE6C4E">
        <w:rPr>
          <w:sz w:val="24"/>
          <w:szCs w:val="24"/>
        </w:rPr>
        <w:t xml:space="preserve"> committee members </w:t>
      </w:r>
      <w:r w:rsidR="00976845">
        <w:rPr>
          <w:sz w:val="24"/>
          <w:szCs w:val="24"/>
        </w:rPr>
        <w:t>held a preliminary</w:t>
      </w:r>
      <w:r w:rsidRPr="00AE6C4E">
        <w:rPr>
          <w:sz w:val="24"/>
          <w:szCs w:val="24"/>
        </w:rPr>
        <w:t xml:space="preserve"> brainstorming session. Key themes and ideas included</w:t>
      </w:r>
      <w:r w:rsidR="00976845">
        <w:rPr>
          <w:sz w:val="24"/>
          <w:szCs w:val="24"/>
        </w:rPr>
        <w:t xml:space="preserve"> the following: </w:t>
      </w:r>
    </w:p>
    <w:p w14:paraId="1EFF36F4" w14:textId="77777777" w:rsidR="00A06323" w:rsidRPr="00AE6C4E" w:rsidRDefault="00A06323" w:rsidP="00976845">
      <w:pPr>
        <w:pStyle w:val="DOR"/>
        <w:numPr>
          <w:ilvl w:val="0"/>
          <w:numId w:val="22"/>
        </w:numPr>
        <w:rPr>
          <w:sz w:val="24"/>
          <w:szCs w:val="24"/>
        </w:rPr>
      </w:pPr>
      <w:r w:rsidRPr="00AE6C4E">
        <w:rPr>
          <w:sz w:val="24"/>
          <w:szCs w:val="24"/>
        </w:rPr>
        <w:t>Increasing alignment between IPE goals and high-wage, high-demand occupations as identified by EDD.</w:t>
      </w:r>
    </w:p>
    <w:p w14:paraId="3FEBF5BF" w14:textId="77777777" w:rsidR="00A06323" w:rsidRPr="00AE6C4E" w:rsidRDefault="00A06323" w:rsidP="00976845">
      <w:pPr>
        <w:pStyle w:val="DOR"/>
        <w:numPr>
          <w:ilvl w:val="0"/>
          <w:numId w:val="22"/>
        </w:numPr>
        <w:rPr>
          <w:sz w:val="24"/>
          <w:szCs w:val="24"/>
        </w:rPr>
      </w:pPr>
      <w:r w:rsidRPr="00AE6C4E">
        <w:rPr>
          <w:sz w:val="24"/>
          <w:szCs w:val="24"/>
        </w:rPr>
        <w:t>Promoting equitable access to VR services across racial, ethnic, and geographic groups.</w:t>
      </w:r>
    </w:p>
    <w:p w14:paraId="5A3F88B0" w14:textId="77777777" w:rsidR="00A06323" w:rsidRPr="00AE6C4E" w:rsidRDefault="00A06323" w:rsidP="00976845">
      <w:pPr>
        <w:pStyle w:val="DOR"/>
        <w:numPr>
          <w:ilvl w:val="0"/>
          <w:numId w:val="22"/>
        </w:numPr>
        <w:rPr>
          <w:sz w:val="24"/>
          <w:szCs w:val="24"/>
        </w:rPr>
      </w:pPr>
      <w:r w:rsidRPr="00AE6C4E">
        <w:rPr>
          <w:sz w:val="24"/>
          <w:szCs w:val="24"/>
        </w:rPr>
        <w:t>Enhancing coordination with education partners and local employers.</w:t>
      </w:r>
    </w:p>
    <w:p w14:paraId="526B9BC8" w14:textId="77777777" w:rsidR="00A06323" w:rsidRPr="00AE6C4E" w:rsidRDefault="00A06323" w:rsidP="00976845">
      <w:pPr>
        <w:pStyle w:val="DOR"/>
        <w:numPr>
          <w:ilvl w:val="0"/>
          <w:numId w:val="22"/>
        </w:numPr>
        <w:rPr>
          <w:sz w:val="24"/>
          <w:szCs w:val="24"/>
        </w:rPr>
      </w:pPr>
      <w:r w:rsidRPr="00AE6C4E">
        <w:rPr>
          <w:sz w:val="24"/>
          <w:szCs w:val="24"/>
        </w:rPr>
        <w:t>Addressing barriers for transition-age youth, including those with behavioral health needs.</w:t>
      </w:r>
    </w:p>
    <w:p w14:paraId="05442B51" w14:textId="77777777" w:rsidR="00A06323" w:rsidRPr="00AE6C4E" w:rsidRDefault="00A06323" w:rsidP="00976845">
      <w:pPr>
        <w:pStyle w:val="DOR"/>
        <w:numPr>
          <w:ilvl w:val="0"/>
          <w:numId w:val="22"/>
        </w:numPr>
        <w:rPr>
          <w:sz w:val="24"/>
          <w:szCs w:val="24"/>
        </w:rPr>
      </w:pPr>
      <w:r w:rsidRPr="00AE6C4E">
        <w:rPr>
          <w:sz w:val="24"/>
          <w:szCs w:val="24"/>
        </w:rPr>
        <w:t>Improving measurable skill gain tracking for consumers in postsecondary programs.</w:t>
      </w:r>
    </w:p>
    <w:p w14:paraId="233E65DE" w14:textId="77777777" w:rsidR="00A06323" w:rsidRDefault="00A06323" w:rsidP="00976845">
      <w:pPr>
        <w:pStyle w:val="DOR"/>
        <w:numPr>
          <w:ilvl w:val="0"/>
          <w:numId w:val="22"/>
        </w:numPr>
        <w:rPr>
          <w:sz w:val="24"/>
          <w:szCs w:val="24"/>
        </w:rPr>
      </w:pPr>
      <w:r w:rsidRPr="00AE6C4E">
        <w:rPr>
          <w:sz w:val="24"/>
          <w:szCs w:val="24"/>
        </w:rPr>
        <w:t>Considering the impact of emerging technologies and workforce trends on VR services.</w:t>
      </w:r>
    </w:p>
    <w:p w14:paraId="03011E7F" w14:textId="77777777" w:rsidR="00976845" w:rsidRDefault="00976845" w:rsidP="00976845">
      <w:pPr>
        <w:pStyle w:val="DOR"/>
        <w:rPr>
          <w:sz w:val="24"/>
          <w:szCs w:val="24"/>
        </w:rPr>
      </w:pPr>
    </w:p>
    <w:p w14:paraId="10ED918B" w14:textId="472317B0" w:rsidR="00976845" w:rsidRPr="00AE6C4E" w:rsidRDefault="00976845" w:rsidP="00976845">
      <w:pPr>
        <w:pStyle w:val="DOR"/>
        <w:rPr>
          <w:sz w:val="24"/>
          <w:szCs w:val="24"/>
        </w:rPr>
      </w:pPr>
      <w:r>
        <w:rPr>
          <w:sz w:val="24"/>
          <w:szCs w:val="24"/>
        </w:rPr>
        <w:t xml:space="preserve">Members of the public offered the following feedback: </w:t>
      </w:r>
    </w:p>
    <w:p w14:paraId="2B005B47" w14:textId="77777777" w:rsidR="00976845" w:rsidRDefault="00A06323" w:rsidP="00AE6C4E">
      <w:pPr>
        <w:pStyle w:val="DOR"/>
        <w:numPr>
          <w:ilvl w:val="0"/>
          <w:numId w:val="23"/>
        </w:numPr>
        <w:rPr>
          <w:sz w:val="24"/>
          <w:szCs w:val="24"/>
        </w:rPr>
      </w:pPr>
      <w:r w:rsidRPr="00AE6C4E">
        <w:rPr>
          <w:sz w:val="24"/>
          <w:szCs w:val="24"/>
        </w:rPr>
        <w:t>Peter DeHaas</w:t>
      </w:r>
      <w:r w:rsidR="00976845">
        <w:rPr>
          <w:sz w:val="24"/>
          <w:szCs w:val="24"/>
        </w:rPr>
        <w:t xml:space="preserve"> </w:t>
      </w:r>
      <w:r w:rsidRPr="00AE6C4E">
        <w:rPr>
          <w:sz w:val="24"/>
          <w:szCs w:val="24"/>
        </w:rPr>
        <w:t>suggested greater outreach to entrepreneurs with disabilities and described the work of his organization, the San Francisco Disability Business Alliance.</w:t>
      </w:r>
    </w:p>
    <w:p w14:paraId="121BF5B9" w14:textId="4AA0F4CF" w:rsidR="00A06323" w:rsidRPr="00976845" w:rsidRDefault="00A06323" w:rsidP="00AE6C4E">
      <w:pPr>
        <w:pStyle w:val="DOR"/>
        <w:numPr>
          <w:ilvl w:val="0"/>
          <w:numId w:val="23"/>
        </w:numPr>
        <w:rPr>
          <w:sz w:val="24"/>
          <w:szCs w:val="24"/>
        </w:rPr>
      </w:pPr>
      <w:r w:rsidRPr="00976845">
        <w:rPr>
          <w:sz w:val="24"/>
          <w:szCs w:val="24"/>
        </w:rPr>
        <w:t xml:space="preserve">Michael McCullough </w:t>
      </w:r>
      <w:r w:rsidR="00976845">
        <w:rPr>
          <w:sz w:val="24"/>
          <w:szCs w:val="24"/>
        </w:rPr>
        <w:t>spoke about the</w:t>
      </w:r>
      <w:r w:rsidRPr="00976845">
        <w:rPr>
          <w:sz w:val="24"/>
          <w:szCs w:val="24"/>
        </w:rPr>
        <w:t xml:space="preserve"> challenges of sustained employment for individuals with physical disabilities and suggested that DOR look into long-term support strategies post-exit.</w:t>
      </w:r>
    </w:p>
    <w:p w14:paraId="054B70C6" w14:textId="77777777" w:rsidR="00976845" w:rsidRPr="00AE6C4E" w:rsidRDefault="00976845" w:rsidP="00AE6C4E">
      <w:pPr>
        <w:pStyle w:val="DOR"/>
        <w:rPr>
          <w:sz w:val="24"/>
          <w:szCs w:val="24"/>
        </w:rPr>
      </w:pPr>
    </w:p>
    <w:p w14:paraId="29CAA0BA" w14:textId="0BB19AE7" w:rsidR="00976845" w:rsidRDefault="00A06323" w:rsidP="00AE6C4E">
      <w:pPr>
        <w:pStyle w:val="DOR"/>
        <w:rPr>
          <w:sz w:val="24"/>
          <w:szCs w:val="24"/>
        </w:rPr>
      </w:pPr>
      <w:r w:rsidRPr="00CC3F75">
        <w:rPr>
          <w:b/>
          <w:bCs/>
          <w:sz w:val="24"/>
          <w:szCs w:val="24"/>
        </w:rPr>
        <w:t>Item 6: Future Meeting Dates</w:t>
      </w:r>
      <w:r w:rsidRPr="00AE6C4E">
        <w:rPr>
          <w:sz w:val="24"/>
          <w:szCs w:val="24"/>
        </w:rPr>
        <w:br/>
        <w:t xml:space="preserve">The committee agreed to schedule the next State Plan Committee meetings in July and October 2025 to allow timely feedback on the draft goals. Specific dates will be confirmed by </w:t>
      </w:r>
      <w:r w:rsidR="00976845">
        <w:rPr>
          <w:sz w:val="24"/>
          <w:szCs w:val="24"/>
        </w:rPr>
        <w:t>Bjerke</w:t>
      </w:r>
      <w:r w:rsidRPr="00AE6C4E">
        <w:rPr>
          <w:sz w:val="24"/>
          <w:szCs w:val="24"/>
        </w:rPr>
        <w:t xml:space="preserve"> and shared with members via email.</w:t>
      </w:r>
    </w:p>
    <w:p w14:paraId="12A2A7E6" w14:textId="77777777" w:rsidR="00976845" w:rsidRPr="00AE6C4E" w:rsidRDefault="00976845" w:rsidP="00AE6C4E">
      <w:pPr>
        <w:pStyle w:val="DOR"/>
        <w:rPr>
          <w:sz w:val="24"/>
          <w:szCs w:val="24"/>
        </w:rPr>
      </w:pPr>
    </w:p>
    <w:p w14:paraId="4E629AC0" w14:textId="144FCEBF" w:rsidR="00A06323" w:rsidRPr="00AE6C4E" w:rsidRDefault="00A06323" w:rsidP="00AE6C4E">
      <w:pPr>
        <w:pStyle w:val="DOR"/>
        <w:rPr>
          <w:sz w:val="24"/>
          <w:szCs w:val="24"/>
        </w:rPr>
      </w:pPr>
      <w:r w:rsidRPr="00CC3F75">
        <w:rPr>
          <w:b/>
          <w:bCs/>
          <w:sz w:val="24"/>
          <w:szCs w:val="24"/>
        </w:rPr>
        <w:t>Item 7: Adjourn</w:t>
      </w:r>
      <w:r w:rsidRPr="00AE6C4E">
        <w:rPr>
          <w:sz w:val="24"/>
          <w:szCs w:val="24"/>
        </w:rPr>
        <w:br/>
        <w:t>Ivan Guillen, SRC State Plan Committee Chair</w:t>
      </w:r>
      <w:r w:rsidR="00CC3F75">
        <w:rPr>
          <w:sz w:val="24"/>
          <w:szCs w:val="24"/>
        </w:rPr>
        <w:t>,</w:t>
      </w:r>
      <w:r w:rsidRPr="00AE6C4E">
        <w:rPr>
          <w:sz w:val="24"/>
          <w:szCs w:val="24"/>
        </w:rPr>
        <w:t xml:space="preserve"> adjourned the meeting at 2:30 p.m.</w:t>
      </w:r>
    </w:p>
    <w:p w14:paraId="7EA006BE" w14:textId="77777777" w:rsidR="00CC3F75" w:rsidRPr="00AE6C4E" w:rsidRDefault="00CC3F75" w:rsidP="00AE6C4E">
      <w:pPr>
        <w:pStyle w:val="DOR"/>
        <w:rPr>
          <w:sz w:val="24"/>
          <w:szCs w:val="24"/>
        </w:rPr>
      </w:pPr>
    </w:p>
    <w:p w14:paraId="431A4CE1" w14:textId="77777777" w:rsidR="00CC3F75" w:rsidRDefault="00CC3F75">
      <w:pPr>
        <w:rPr>
          <w:rFonts w:ascii="Arial" w:eastAsiaTheme="majorEastAsia" w:hAnsi="Arial" w:cs="Arial"/>
          <w:b/>
          <w:bCs/>
          <w:color w:val="0F4761" w:themeColor="accent1" w:themeShade="BF"/>
          <w:sz w:val="28"/>
          <w:szCs w:val="28"/>
        </w:rPr>
      </w:pPr>
      <w:r>
        <w:rPr>
          <w:rFonts w:ascii="Arial" w:hAnsi="Arial" w:cs="Arial"/>
          <w:b/>
          <w:bCs/>
          <w:sz w:val="28"/>
          <w:szCs w:val="28"/>
        </w:rPr>
        <w:br w:type="page"/>
      </w:r>
    </w:p>
    <w:p w14:paraId="006D92E1" w14:textId="482B604D" w:rsidR="00AE6C4E" w:rsidRPr="00CC3F75" w:rsidRDefault="00AE6C4E" w:rsidP="00CC3F75">
      <w:pPr>
        <w:pStyle w:val="Heading1"/>
        <w:spacing w:before="0" w:after="0" w:line="240" w:lineRule="auto"/>
        <w:rPr>
          <w:rFonts w:ascii="Arial" w:hAnsi="Arial" w:cs="Arial"/>
          <w:b/>
          <w:bCs/>
          <w:color w:val="auto"/>
          <w:sz w:val="24"/>
          <w:szCs w:val="24"/>
        </w:rPr>
      </w:pPr>
      <w:bookmarkStart w:id="0" w:name="_Appendix_A:_VR"/>
      <w:bookmarkEnd w:id="0"/>
      <w:r w:rsidRPr="00CC3F75">
        <w:rPr>
          <w:rFonts w:ascii="Arial" w:hAnsi="Arial" w:cs="Arial"/>
          <w:b/>
          <w:bCs/>
          <w:color w:val="auto"/>
          <w:sz w:val="24"/>
          <w:szCs w:val="24"/>
        </w:rPr>
        <w:t>Appendix A: VR State Plan Updates Presentation</w:t>
      </w:r>
    </w:p>
    <w:p w14:paraId="2833A57A" w14:textId="77777777" w:rsidR="00AE6C4E" w:rsidRPr="00CC3F75" w:rsidRDefault="00AE6C4E" w:rsidP="00AE6C4E">
      <w:pPr>
        <w:pStyle w:val="DOR"/>
        <w:rPr>
          <w:sz w:val="24"/>
          <w:szCs w:val="24"/>
        </w:rPr>
      </w:pPr>
    </w:p>
    <w:p w14:paraId="1CFEFCCC" w14:textId="4FA245F2" w:rsidR="00AE6C4E" w:rsidRPr="00CC3F75" w:rsidRDefault="00AE6C4E" w:rsidP="00AE6C4E">
      <w:pPr>
        <w:pStyle w:val="DOR"/>
        <w:rPr>
          <w:sz w:val="24"/>
          <w:szCs w:val="24"/>
        </w:rPr>
      </w:pPr>
      <w:r w:rsidRPr="00CC3F75">
        <w:rPr>
          <w:sz w:val="24"/>
          <w:szCs w:val="24"/>
        </w:rPr>
        <w:t xml:space="preserve">Slide 1. </w:t>
      </w:r>
      <w:r w:rsidRPr="00AE6C4E">
        <w:rPr>
          <w:sz w:val="24"/>
          <w:szCs w:val="24"/>
        </w:rPr>
        <w:t>VR State Plan</w:t>
      </w:r>
      <w:r w:rsidRPr="00CC3F75">
        <w:rPr>
          <w:sz w:val="24"/>
          <w:szCs w:val="24"/>
        </w:rPr>
        <w:t xml:space="preserve"> </w:t>
      </w:r>
      <w:r w:rsidRPr="00AE6C4E">
        <w:rPr>
          <w:sz w:val="24"/>
          <w:szCs w:val="24"/>
        </w:rPr>
        <w:t>Updates</w:t>
      </w:r>
    </w:p>
    <w:p w14:paraId="5A80DD3F" w14:textId="77777777" w:rsidR="00AE6C4E" w:rsidRPr="00AE6C4E" w:rsidRDefault="00AE6C4E" w:rsidP="00AE6C4E">
      <w:pPr>
        <w:pStyle w:val="DOR"/>
        <w:rPr>
          <w:sz w:val="24"/>
          <w:szCs w:val="24"/>
        </w:rPr>
      </w:pPr>
      <w:r w:rsidRPr="00AE6C4E">
        <w:rPr>
          <w:sz w:val="24"/>
          <w:szCs w:val="24"/>
        </w:rPr>
        <w:t>SRC Presentation</w:t>
      </w:r>
    </w:p>
    <w:p w14:paraId="1CB49A52" w14:textId="77777777" w:rsidR="00AE6C4E" w:rsidRPr="00AE6C4E" w:rsidRDefault="00AE6C4E" w:rsidP="00AE6C4E">
      <w:pPr>
        <w:pStyle w:val="DOR"/>
        <w:rPr>
          <w:sz w:val="24"/>
          <w:szCs w:val="24"/>
        </w:rPr>
      </w:pPr>
      <w:r w:rsidRPr="00AE6C4E">
        <w:rPr>
          <w:sz w:val="24"/>
          <w:szCs w:val="24"/>
        </w:rPr>
        <w:t>Presented by the Performance Team</w:t>
      </w:r>
    </w:p>
    <w:p w14:paraId="57910CDC" w14:textId="79AA6B74" w:rsidR="00AE6C4E" w:rsidRPr="00CC3F75" w:rsidRDefault="00AE6C4E" w:rsidP="00AE6C4E">
      <w:pPr>
        <w:pStyle w:val="DOR"/>
        <w:rPr>
          <w:sz w:val="24"/>
          <w:szCs w:val="24"/>
        </w:rPr>
      </w:pPr>
    </w:p>
    <w:p w14:paraId="4C952405" w14:textId="7A2E89B0" w:rsidR="00AE6C4E" w:rsidRPr="00AE6C4E" w:rsidRDefault="00AE6C4E" w:rsidP="00AE6C4E">
      <w:pPr>
        <w:pStyle w:val="DOR"/>
        <w:rPr>
          <w:sz w:val="24"/>
          <w:szCs w:val="24"/>
        </w:rPr>
      </w:pPr>
      <w:r w:rsidRPr="00CC3F75">
        <w:rPr>
          <w:sz w:val="24"/>
          <w:szCs w:val="24"/>
        </w:rPr>
        <w:t xml:space="preserve">Slide 2. </w:t>
      </w:r>
      <w:r w:rsidRPr="00AE6C4E">
        <w:rPr>
          <w:sz w:val="24"/>
          <w:szCs w:val="24"/>
        </w:rPr>
        <w:t>State Plan Background</w:t>
      </w:r>
    </w:p>
    <w:p w14:paraId="43436015" w14:textId="77777777" w:rsidR="00AE6C4E" w:rsidRPr="00CC3F75" w:rsidRDefault="00AE6C4E" w:rsidP="00AE6C4E">
      <w:pPr>
        <w:pStyle w:val="DOR"/>
        <w:rPr>
          <w:sz w:val="24"/>
          <w:szCs w:val="24"/>
        </w:rPr>
      </w:pPr>
      <w:r w:rsidRPr="00CC3F75">
        <w:rPr>
          <w:sz w:val="24"/>
          <w:szCs w:val="24"/>
        </w:rPr>
        <w:t>Mandated: Sections 101(a)(15) and (23) of the Rehabilitation Act require VR agencies to establish the State's goals and priorities for implementing the VR and Supported Employment programs.</w:t>
      </w:r>
    </w:p>
    <w:p w14:paraId="09850ABA" w14:textId="0A5CA025" w:rsidR="00AE6C4E" w:rsidRPr="00CC3F75" w:rsidRDefault="00AE6C4E" w:rsidP="00AE6C4E">
      <w:pPr>
        <w:pStyle w:val="DOR"/>
        <w:rPr>
          <w:sz w:val="24"/>
          <w:szCs w:val="24"/>
        </w:rPr>
      </w:pPr>
      <w:r w:rsidRPr="00CC3F75">
        <w:rPr>
          <w:sz w:val="24"/>
          <w:szCs w:val="24"/>
        </w:rPr>
        <w:t>Goals and Priorities</w:t>
      </w:r>
    </w:p>
    <w:p w14:paraId="1CCE39F3" w14:textId="77777777" w:rsidR="00AE6C4E" w:rsidRPr="00AE6C4E" w:rsidRDefault="00AE6C4E" w:rsidP="00AE6C4E">
      <w:pPr>
        <w:pStyle w:val="DOR"/>
        <w:rPr>
          <w:sz w:val="24"/>
          <w:szCs w:val="24"/>
        </w:rPr>
      </w:pPr>
      <w:r w:rsidRPr="00AE6C4E">
        <w:rPr>
          <w:sz w:val="24"/>
          <w:szCs w:val="24"/>
        </w:rPr>
        <w:t xml:space="preserve">The goals and priorities are based on: </w:t>
      </w:r>
    </w:p>
    <w:p w14:paraId="2E91DC32" w14:textId="77777777" w:rsidR="00AE6C4E" w:rsidRPr="00AE6C4E" w:rsidRDefault="00AE6C4E" w:rsidP="00AE6C4E">
      <w:pPr>
        <w:pStyle w:val="DOR"/>
        <w:numPr>
          <w:ilvl w:val="1"/>
          <w:numId w:val="4"/>
        </w:numPr>
        <w:rPr>
          <w:sz w:val="24"/>
          <w:szCs w:val="24"/>
        </w:rPr>
      </w:pPr>
      <w:r w:rsidRPr="00AE6C4E">
        <w:rPr>
          <w:sz w:val="24"/>
          <w:szCs w:val="24"/>
        </w:rPr>
        <w:t>The most recent Comprehensive Statewide Needs Assessment (CSNA), including any updates</w:t>
      </w:r>
    </w:p>
    <w:p w14:paraId="2CB9377E" w14:textId="77777777" w:rsidR="00AE6C4E" w:rsidRPr="00AE6C4E" w:rsidRDefault="00AE6C4E" w:rsidP="00AE6C4E">
      <w:pPr>
        <w:pStyle w:val="DOR"/>
        <w:numPr>
          <w:ilvl w:val="1"/>
          <w:numId w:val="4"/>
        </w:numPr>
        <w:rPr>
          <w:sz w:val="24"/>
          <w:szCs w:val="24"/>
        </w:rPr>
      </w:pPr>
      <w:r w:rsidRPr="00AE6C4E">
        <w:rPr>
          <w:sz w:val="24"/>
          <w:szCs w:val="24"/>
        </w:rPr>
        <w:t>The State’s performance under the performance accountability measures of section 116 of WIOA</w:t>
      </w:r>
    </w:p>
    <w:p w14:paraId="5892A1A2" w14:textId="77777777" w:rsidR="00AE6C4E" w:rsidRPr="00AE6C4E" w:rsidRDefault="00AE6C4E" w:rsidP="00AE6C4E">
      <w:pPr>
        <w:pStyle w:val="DOR"/>
        <w:numPr>
          <w:ilvl w:val="1"/>
          <w:numId w:val="4"/>
        </w:numPr>
        <w:rPr>
          <w:sz w:val="24"/>
          <w:szCs w:val="24"/>
        </w:rPr>
      </w:pPr>
      <w:r w:rsidRPr="00AE6C4E">
        <w:rPr>
          <w:sz w:val="24"/>
          <w:szCs w:val="24"/>
        </w:rPr>
        <w:t>Other available information on the operation and effectiveness of the VR program, including any reports received from the SRC and findings and recommendations from monitoring activities conducted under section 107 of the Rehabilitation Act.</w:t>
      </w:r>
    </w:p>
    <w:p w14:paraId="0DAFAE96" w14:textId="77777777" w:rsidR="00AE6C4E" w:rsidRPr="00CC3F75" w:rsidRDefault="00AE6C4E" w:rsidP="00AE6C4E">
      <w:pPr>
        <w:pStyle w:val="DOR"/>
        <w:rPr>
          <w:sz w:val="24"/>
          <w:szCs w:val="24"/>
        </w:rPr>
      </w:pPr>
    </w:p>
    <w:p w14:paraId="28E18CA6" w14:textId="320FAAD8" w:rsidR="00AE6C4E" w:rsidRPr="00CC3F75" w:rsidRDefault="00AE6C4E" w:rsidP="00AE6C4E">
      <w:pPr>
        <w:pStyle w:val="DOR"/>
        <w:rPr>
          <w:sz w:val="24"/>
          <w:szCs w:val="24"/>
        </w:rPr>
      </w:pPr>
      <w:r w:rsidRPr="00CC3F75">
        <w:rPr>
          <w:sz w:val="24"/>
          <w:szCs w:val="24"/>
        </w:rPr>
        <w:t>Slide 3. Timelines</w:t>
      </w:r>
    </w:p>
    <w:p w14:paraId="04E3FBBA" w14:textId="5B4FA1E1" w:rsidR="00AE6C4E" w:rsidRPr="00CC3F75" w:rsidRDefault="00AE6C4E" w:rsidP="00AE6C4E">
      <w:pPr>
        <w:pStyle w:val="DOR"/>
        <w:rPr>
          <w:sz w:val="24"/>
          <w:szCs w:val="24"/>
        </w:rPr>
      </w:pPr>
      <w:r w:rsidRPr="00CC3F75">
        <w:rPr>
          <w:sz w:val="24"/>
          <w:szCs w:val="24"/>
        </w:rPr>
        <w:t>Program Year Quarters</w:t>
      </w:r>
    </w:p>
    <w:p w14:paraId="7F2CB2FA" w14:textId="07E1014B" w:rsidR="00AE6C4E" w:rsidRPr="00CC3F75" w:rsidRDefault="00AE6C4E" w:rsidP="00AE6C4E">
      <w:pPr>
        <w:pStyle w:val="DOR"/>
        <w:numPr>
          <w:ilvl w:val="0"/>
          <w:numId w:val="7"/>
        </w:numPr>
        <w:rPr>
          <w:sz w:val="24"/>
          <w:szCs w:val="24"/>
        </w:rPr>
      </w:pPr>
      <w:r w:rsidRPr="00CC3F75">
        <w:rPr>
          <w:sz w:val="24"/>
          <w:szCs w:val="24"/>
        </w:rPr>
        <w:t>Quarter 1: July 1 – September 30</w:t>
      </w:r>
    </w:p>
    <w:p w14:paraId="0BC4F0B0" w14:textId="3FCF6E6D" w:rsidR="00AE6C4E" w:rsidRPr="00CC3F75" w:rsidRDefault="00AE6C4E" w:rsidP="00AE6C4E">
      <w:pPr>
        <w:pStyle w:val="DOR"/>
        <w:numPr>
          <w:ilvl w:val="0"/>
          <w:numId w:val="7"/>
        </w:numPr>
        <w:rPr>
          <w:sz w:val="24"/>
          <w:szCs w:val="24"/>
        </w:rPr>
      </w:pPr>
      <w:r w:rsidRPr="00CC3F75">
        <w:rPr>
          <w:sz w:val="24"/>
          <w:szCs w:val="24"/>
        </w:rPr>
        <w:t>Quarter 2: October 1 – December 31</w:t>
      </w:r>
    </w:p>
    <w:p w14:paraId="1B7FCE73" w14:textId="42279107" w:rsidR="00AE6C4E" w:rsidRPr="00CC3F75" w:rsidRDefault="00AE6C4E" w:rsidP="00AE6C4E">
      <w:pPr>
        <w:pStyle w:val="DOR"/>
        <w:numPr>
          <w:ilvl w:val="0"/>
          <w:numId w:val="7"/>
        </w:numPr>
        <w:rPr>
          <w:sz w:val="24"/>
          <w:szCs w:val="24"/>
        </w:rPr>
      </w:pPr>
      <w:r w:rsidRPr="00CC3F75">
        <w:rPr>
          <w:sz w:val="24"/>
          <w:szCs w:val="24"/>
        </w:rPr>
        <w:t>Quarter 3: January 1 – March 31 (we are here!)</w:t>
      </w:r>
    </w:p>
    <w:p w14:paraId="542686DC" w14:textId="6B8EA52E" w:rsidR="00AE6C4E" w:rsidRPr="00CC3F75" w:rsidRDefault="00AE6C4E" w:rsidP="00AE6C4E">
      <w:pPr>
        <w:pStyle w:val="DOR"/>
        <w:numPr>
          <w:ilvl w:val="0"/>
          <w:numId w:val="7"/>
        </w:numPr>
        <w:rPr>
          <w:sz w:val="24"/>
          <w:szCs w:val="24"/>
        </w:rPr>
      </w:pPr>
      <w:r w:rsidRPr="00CC3F75">
        <w:rPr>
          <w:sz w:val="24"/>
          <w:szCs w:val="24"/>
        </w:rPr>
        <w:t>Quarter 4: April 1 – June 30</w:t>
      </w:r>
    </w:p>
    <w:p w14:paraId="434BC12B" w14:textId="77777777" w:rsidR="00AE6C4E" w:rsidRPr="00CC3F75" w:rsidRDefault="00AE6C4E" w:rsidP="00AE6C4E">
      <w:pPr>
        <w:pStyle w:val="DOR"/>
        <w:rPr>
          <w:sz w:val="24"/>
          <w:szCs w:val="24"/>
        </w:rPr>
      </w:pPr>
    </w:p>
    <w:p w14:paraId="69BF72D6" w14:textId="77777777" w:rsidR="00AE6C4E" w:rsidRPr="00CC3F75" w:rsidRDefault="00AE6C4E" w:rsidP="00AE6C4E">
      <w:pPr>
        <w:pStyle w:val="DOR"/>
        <w:rPr>
          <w:sz w:val="24"/>
          <w:szCs w:val="24"/>
        </w:rPr>
      </w:pPr>
      <w:r w:rsidRPr="00CC3F75">
        <w:rPr>
          <w:sz w:val="24"/>
          <w:szCs w:val="24"/>
        </w:rPr>
        <w:t>Slide 4. Timelines</w:t>
      </w:r>
    </w:p>
    <w:p w14:paraId="6EA8F84D" w14:textId="18755EB8" w:rsidR="00AE6C4E" w:rsidRPr="00CC3F75" w:rsidRDefault="00AE6C4E" w:rsidP="00AE6C4E">
      <w:pPr>
        <w:pStyle w:val="DOR"/>
        <w:rPr>
          <w:sz w:val="24"/>
          <w:szCs w:val="24"/>
        </w:rPr>
      </w:pPr>
      <w:r w:rsidRPr="00CC3F75">
        <w:rPr>
          <w:sz w:val="24"/>
          <w:szCs w:val="24"/>
        </w:rPr>
        <w:t>State Plan Reporting</w:t>
      </w:r>
    </w:p>
    <w:p w14:paraId="0C308593" w14:textId="4A35B0D9" w:rsidR="00AE6C4E" w:rsidRPr="00CC3F75" w:rsidRDefault="00AE6C4E" w:rsidP="00AE6C4E">
      <w:pPr>
        <w:pStyle w:val="DOR"/>
        <w:numPr>
          <w:ilvl w:val="0"/>
          <w:numId w:val="6"/>
        </w:numPr>
        <w:rPr>
          <w:sz w:val="24"/>
          <w:szCs w:val="24"/>
        </w:rPr>
      </w:pPr>
      <w:r w:rsidRPr="00CC3F75">
        <w:rPr>
          <w:sz w:val="24"/>
          <w:szCs w:val="24"/>
        </w:rPr>
        <w:t xml:space="preserve">Implementation and Monitoring (we are here!) </w:t>
      </w:r>
    </w:p>
    <w:p w14:paraId="52D88F43" w14:textId="0A2D4AEE" w:rsidR="00AE6C4E" w:rsidRPr="00CC3F75" w:rsidRDefault="00AE6C4E" w:rsidP="00AE6C4E">
      <w:pPr>
        <w:pStyle w:val="DOR"/>
        <w:numPr>
          <w:ilvl w:val="0"/>
          <w:numId w:val="6"/>
        </w:numPr>
        <w:rPr>
          <w:sz w:val="24"/>
          <w:szCs w:val="24"/>
        </w:rPr>
      </w:pPr>
      <w:r w:rsidRPr="00CC3F75">
        <w:rPr>
          <w:sz w:val="24"/>
          <w:szCs w:val="24"/>
        </w:rPr>
        <w:t>Modification Drafting and Public Comment – December 2025</w:t>
      </w:r>
    </w:p>
    <w:p w14:paraId="4D0988A0" w14:textId="389971F2" w:rsidR="00AE6C4E" w:rsidRPr="00CC3F75" w:rsidRDefault="00AE6C4E" w:rsidP="00AE6C4E">
      <w:pPr>
        <w:pStyle w:val="DOR"/>
        <w:numPr>
          <w:ilvl w:val="0"/>
          <w:numId w:val="6"/>
        </w:numPr>
        <w:rPr>
          <w:sz w:val="24"/>
          <w:szCs w:val="24"/>
        </w:rPr>
      </w:pPr>
      <w:r w:rsidRPr="00CC3F75">
        <w:rPr>
          <w:sz w:val="24"/>
          <w:szCs w:val="24"/>
        </w:rPr>
        <w:t>Modification Reviewed by RSA – March 2026</w:t>
      </w:r>
    </w:p>
    <w:p w14:paraId="4E781CCF" w14:textId="35D295F6" w:rsidR="00AE6C4E" w:rsidRPr="00CC3F75" w:rsidRDefault="00AE6C4E" w:rsidP="00AE6C4E">
      <w:pPr>
        <w:pStyle w:val="DOR"/>
        <w:numPr>
          <w:ilvl w:val="0"/>
          <w:numId w:val="6"/>
        </w:numPr>
        <w:rPr>
          <w:sz w:val="24"/>
          <w:szCs w:val="24"/>
        </w:rPr>
      </w:pPr>
      <w:r w:rsidRPr="00CC3F75">
        <w:rPr>
          <w:sz w:val="24"/>
          <w:szCs w:val="24"/>
        </w:rPr>
        <w:t>State Plan Modification Effective – July 1, 2026</w:t>
      </w:r>
    </w:p>
    <w:p w14:paraId="406A34A9" w14:textId="77777777" w:rsidR="00AE6C4E" w:rsidRPr="00CC3F75" w:rsidRDefault="00AE6C4E" w:rsidP="00AE6C4E">
      <w:pPr>
        <w:pStyle w:val="DOR"/>
        <w:rPr>
          <w:sz w:val="24"/>
          <w:szCs w:val="24"/>
        </w:rPr>
      </w:pPr>
    </w:p>
    <w:p w14:paraId="399BC089" w14:textId="5D052B77" w:rsidR="00AE6C4E" w:rsidRPr="00CC3F75" w:rsidRDefault="00AE6C4E" w:rsidP="00AE6C4E">
      <w:pPr>
        <w:pStyle w:val="DOR"/>
        <w:rPr>
          <w:sz w:val="24"/>
          <w:szCs w:val="24"/>
        </w:rPr>
      </w:pPr>
      <w:r w:rsidRPr="00CC3F75">
        <w:rPr>
          <w:sz w:val="24"/>
          <w:szCs w:val="24"/>
        </w:rPr>
        <w:t>Slide 5. Our Goals</w:t>
      </w:r>
    </w:p>
    <w:p w14:paraId="27361D57" w14:textId="77777777" w:rsidR="00AE6C4E" w:rsidRPr="00CC3F75" w:rsidRDefault="00AE6C4E" w:rsidP="00AE6C4E">
      <w:pPr>
        <w:pStyle w:val="DOR"/>
        <w:numPr>
          <w:ilvl w:val="0"/>
          <w:numId w:val="5"/>
        </w:numPr>
        <w:rPr>
          <w:sz w:val="24"/>
          <w:szCs w:val="24"/>
        </w:rPr>
      </w:pPr>
      <w:r w:rsidRPr="00CC3F75">
        <w:rPr>
          <w:sz w:val="24"/>
          <w:szCs w:val="24"/>
        </w:rPr>
        <w:t xml:space="preserve">Increase the unsubsidized employment rate of participants during the second and fourth quarter after exit. </w:t>
      </w:r>
    </w:p>
    <w:p w14:paraId="621056B7" w14:textId="77777777" w:rsidR="00AE6C4E" w:rsidRPr="00AE6C4E" w:rsidRDefault="00AE6C4E" w:rsidP="00AE6C4E">
      <w:pPr>
        <w:pStyle w:val="DOR"/>
        <w:numPr>
          <w:ilvl w:val="0"/>
          <w:numId w:val="5"/>
        </w:numPr>
        <w:rPr>
          <w:sz w:val="24"/>
          <w:szCs w:val="24"/>
        </w:rPr>
      </w:pPr>
      <w:r w:rsidRPr="00CC3F75">
        <w:rPr>
          <w:sz w:val="24"/>
          <w:szCs w:val="24"/>
        </w:rPr>
        <w:t>Support increased work-based learning including intermediate employment, career technical education, and post</w:t>
      </w:r>
      <w:r w:rsidRPr="00AE6C4E">
        <w:rPr>
          <w:sz w:val="24"/>
          <w:szCs w:val="24"/>
        </w:rPr>
        <w:t>-secondary education.</w:t>
      </w:r>
    </w:p>
    <w:p w14:paraId="27DB8898" w14:textId="77777777" w:rsidR="00AE6C4E" w:rsidRPr="00AE6C4E" w:rsidRDefault="00AE6C4E" w:rsidP="00AE6C4E">
      <w:pPr>
        <w:pStyle w:val="DOR"/>
        <w:numPr>
          <w:ilvl w:val="0"/>
          <w:numId w:val="5"/>
        </w:numPr>
        <w:rPr>
          <w:sz w:val="24"/>
          <w:szCs w:val="24"/>
        </w:rPr>
      </w:pPr>
      <w:r w:rsidRPr="00AE6C4E">
        <w:rPr>
          <w:sz w:val="24"/>
          <w:szCs w:val="24"/>
        </w:rPr>
        <w:t>Expand and improve VR services to those who have been underserved and underrepresented in the VR program.</w:t>
      </w:r>
    </w:p>
    <w:p w14:paraId="2C13E817" w14:textId="77777777" w:rsidR="00AE6C4E" w:rsidRPr="00AE6C4E" w:rsidRDefault="00AE6C4E" w:rsidP="00AE6C4E">
      <w:pPr>
        <w:pStyle w:val="DOR"/>
        <w:numPr>
          <w:ilvl w:val="0"/>
          <w:numId w:val="5"/>
        </w:numPr>
        <w:rPr>
          <w:sz w:val="24"/>
          <w:szCs w:val="24"/>
        </w:rPr>
      </w:pPr>
      <w:r w:rsidRPr="00AE6C4E">
        <w:rPr>
          <w:sz w:val="24"/>
          <w:szCs w:val="24"/>
        </w:rPr>
        <w:t xml:space="preserve">Provide effective VR services with quality IPE developments consistent with in-demand workforce needs and sustainable living wages. </w:t>
      </w:r>
    </w:p>
    <w:p w14:paraId="12BB8F07" w14:textId="77777777" w:rsidR="00AE6C4E" w:rsidRPr="00AE6C4E" w:rsidRDefault="00AE6C4E" w:rsidP="00AE6C4E">
      <w:pPr>
        <w:pStyle w:val="DOR"/>
        <w:numPr>
          <w:ilvl w:val="0"/>
          <w:numId w:val="5"/>
        </w:numPr>
        <w:rPr>
          <w:sz w:val="24"/>
          <w:szCs w:val="24"/>
        </w:rPr>
      </w:pPr>
      <w:r w:rsidRPr="00AE6C4E">
        <w:rPr>
          <w:sz w:val="24"/>
          <w:szCs w:val="24"/>
        </w:rPr>
        <w:t>Support businesses in California to employ more individuals with disabilities.</w:t>
      </w:r>
    </w:p>
    <w:p w14:paraId="406ABCC2" w14:textId="77777777" w:rsidR="00AE6C4E" w:rsidRPr="00AE6C4E" w:rsidRDefault="00AE6C4E" w:rsidP="00AE6C4E">
      <w:pPr>
        <w:pStyle w:val="DOR"/>
        <w:numPr>
          <w:ilvl w:val="0"/>
          <w:numId w:val="5"/>
        </w:numPr>
        <w:rPr>
          <w:sz w:val="24"/>
          <w:szCs w:val="24"/>
        </w:rPr>
      </w:pPr>
      <w:r w:rsidRPr="00AE6C4E">
        <w:rPr>
          <w:sz w:val="24"/>
          <w:szCs w:val="24"/>
        </w:rPr>
        <w:t>Improve California state government employers’ parity rate for hiring and promotion of people with disabilities.</w:t>
      </w:r>
    </w:p>
    <w:p w14:paraId="59D847AD" w14:textId="77777777" w:rsidR="00AE6C4E" w:rsidRPr="00AE6C4E" w:rsidRDefault="00AE6C4E" w:rsidP="00AE6C4E">
      <w:pPr>
        <w:pStyle w:val="DOR"/>
        <w:numPr>
          <w:ilvl w:val="0"/>
          <w:numId w:val="5"/>
        </w:numPr>
        <w:rPr>
          <w:sz w:val="24"/>
          <w:szCs w:val="24"/>
        </w:rPr>
      </w:pPr>
      <w:r w:rsidRPr="00AE6C4E">
        <w:rPr>
          <w:sz w:val="24"/>
          <w:szCs w:val="24"/>
        </w:rPr>
        <w:t>Increase the number of students with disabilities who receive high-quality DOR Student Services.</w:t>
      </w:r>
    </w:p>
    <w:p w14:paraId="59429296" w14:textId="77777777" w:rsidR="00AE6C4E" w:rsidRPr="00AE6C4E" w:rsidRDefault="00AE6C4E" w:rsidP="00AE6C4E">
      <w:pPr>
        <w:pStyle w:val="DOR"/>
        <w:numPr>
          <w:ilvl w:val="0"/>
          <w:numId w:val="5"/>
        </w:numPr>
        <w:rPr>
          <w:sz w:val="24"/>
          <w:szCs w:val="24"/>
        </w:rPr>
      </w:pPr>
      <w:r w:rsidRPr="00AE6C4E">
        <w:rPr>
          <w:sz w:val="24"/>
          <w:szCs w:val="24"/>
        </w:rPr>
        <w:t>Increase the percentage of students with disabilities receiving DOR Student Services who go on to receive VR services.</w:t>
      </w:r>
    </w:p>
    <w:p w14:paraId="092F5EF1" w14:textId="77777777" w:rsidR="00AE6C4E" w:rsidRPr="00AE6C4E" w:rsidRDefault="00AE6C4E" w:rsidP="00AE6C4E">
      <w:pPr>
        <w:pStyle w:val="DOR"/>
        <w:rPr>
          <w:sz w:val="24"/>
          <w:szCs w:val="24"/>
        </w:rPr>
      </w:pPr>
    </w:p>
    <w:p w14:paraId="026DC95C" w14:textId="7920E18D" w:rsidR="00AE6C4E" w:rsidRDefault="00AE6C4E" w:rsidP="00AE6C4E">
      <w:pPr>
        <w:pStyle w:val="DOR"/>
        <w:rPr>
          <w:sz w:val="24"/>
          <w:szCs w:val="24"/>
        </w:rPr>
      </w:pPr>
      <w:r w:rsidRPr="00E10713">
        <w:rPr>
          <w:sz w:val="24"/>
          <w:szCs w:val="24"/>
        </w:rPr>
        <w:t xml:space="preserve">Slide </w:t>
      </w:r>
      <w:r>
        <w:rPr>
          <w:sz w:val="24"/>
          <w:szCs w:val="24"/>
        </w:rPr>
        <w:t>6</w:t>
      </w:r>
      <w:r w:rsidRPr="00E10713">
        <w:rPr>
          <w:sz w:val="24"/>
          <w:szCs w:val="24"/>
        </w:rPr>
        <w:t>: PY 2023 Performance Rates</w:t>
      </w:r>
    </w:p>
    <w:tbl>
      <w:tblPr>
        <w:tblStyle w:val="TableGrid"/>
        <w:tblW w:w="10170" w:type="dxa"/>
        <w:tblInd w:w="-5" w:type="dxa"/>
        <w:tblLook w:val="04A0" w:firstRow="1" w:lastRow="0" w:firstColumn="1" w:lastColumn="0" w:noHBand="0" w:noVBand="1"/>
      </w:tblPr>
      <w:tblGrid>
        <w:gridCol w:w="5040"/>
        <w:gridCol w:w="1553"/>
        <w:gridCol w:w="1777"/>
        <w:gridCol w:w="1800"/>
      </w:tblGrid>
      <w:tr w:rsidR="00EC184C" w14:paraId="4CBAB176" w14:textId="77777777" w:rsidTr="00CC3F75">
        <w:trPr>
          <w:tblHeader/>
        </w:trPr>
        <w:tc>
          <w:tcPr>
            <w:tcW w:w="5040" w:type="dxa"/>
            <w:vAlign w:val="center"/>
          </w:tcPr>
          <w:p w14:paraId="51074C9F" w14:textId="77777777" w:rsidR="00AE6C4E" w:rsidRDefault="00AE6C4E" w:rsidP="005808EF">
            <w:pPr>
              <w:pStyle w:val="DOR"/>
              <w:rPr>
                <w:sz w:val="24"/>
                <w:szCs w:val="24"/>
              </w:rPr>
            </w:pPr>
            <w:r w:rsidRPr="00E10713">
              <w:rPr>
                <w:sz w:val="24"/>
                <w:szCs w:val="24"/>
              </w:rPr>
              <w:t>PERFORMANCE INDICATOR</w:t>
            </w:r>
          </w:p>
        </w:tc>
        <w:tc>
          <w:tcPr>
            <w:tcW w:w="1553" w:type="dxa"/>
            <w:vAlign w:val="center"/>
          </w:tcPr>
          <w:p w14:paraId="201355D1" w14:textId="77777777" w:rsidR="00AE6C4E" w:rsidRPr="00E10713" w:rsidRDefault="00AE6C4E" w:rsidP="005808EF">
            <w:pPr>
              <w:pStyle w:val="DOR"/>
              <w:rPr>
                <w:sz w:val="24"/>
                <w:szCs w:val="24"/>
              </w:rPr>
            </w:pPr>
            <w:r w:rsidRPr="00E10713">
              <w:rPr>
                <w:sz w:val="24"/>
                <w:szCs w:val="24"/>
              </w:rPr>
              <w:t>PY 2023</w:t>
            </w:r>
          </w:p>
          <w:p w14:paraId="20CFF58A" w14:textId="77777777" w:rsidR="00AE6C4E" w:rsidRDefault="00AE6C4E" w:rsidP="005808EF">
            <w:pPr>
              <w:pStyle w:val="DOR"/>
              <w:rPr>
                <w:sz w:val="24"/>
                <w:szCs w:val="24"/>
              </w:rPr>
            </w:pPr>
            <w:r w:rsidRPr="00E10713">
              <w:rPr>
                <w:sz w:val="24"/>
                <w:szCs w:val="24"/>
              </w:rPr>
              <w:t>ACTUAL</w:t>
            </w:r>
          </w:p>
        </w:tc>
        <w:tc>
          <w:tcPr>
            <w:tcW w:w="1777" w:type="dxa"/>
            <w:vAlign w:val="center"/>
          </w:tcPr>
          <w:p w14:paraId="650B74F7" w14:textId="77777777" w:rsidR="00AE6C4E" w:rsidRPr="00E10713" w:rsidRDefault="00AE6C4E" w:rsidP="005808EF">
            <w:pPr>
              <w:pStyle w:val="DOR"/>
              <w:rPr>
                <w:sz w:val="24"/>
                <w:szCs w:val="24"/>
              </w:rPr>
            </w:pPr>
            <w:r w:rsidRPr="00E10713">
              <w:rPr>
                <w:sz w:val="24"/>
                <w:szCs w:val="24"/>
              </w:rPr>
              <w:t>PY 2023</w:t>
            </w:r>
          </w:p>
          <w:p w14:paraId="03930CAA" w14:textId="77777777" w:rsidR="00AE6C4E" w:rsidRDefault="00AE6C4E" w:rsidP="005808EF">
            <w:pPr>
              <w:pStyle w:val="DOR"/>
              <w:rPr>
                <w:sz w:val="24"/>
                <w:szCs w:val="24"/>
              </w:rPr>
            </w:pPr>
            <w:r w:rsidRPr="00E10713">
              <w:rPr>
                <w:sz w:val="24"/>
                <w:szCs w:val="24"/>
              </w:rPr>
              <w:t>NEGOTIATED</w:t>
            </w:r>
          </w:p>
        </w:tc>
        <w:tc>
          <w:tcPr>
            <w:tcW w:w="1800" w:type="dxa"/>
            <w:vAlign w:val="center"/>
          </w:tcPr>
          <w:p w14:paraId="3B597C92" w14:textId="77777777" w:rsidR="00AE6C4E" w:rsidRPr="00E10713" w:rsidRDefault="00AE6C4E" w:rsidP="005808EF">
            <w:pPr>
              <w:pStyle w:val="DOR"/>
              <w:rPr>
                <w:sz w:val="24"/>
                <w:szCs w:val="24"/>
              </w:rPr>
            </w:pPr>
            <w:r w:rsidRPr="00E10713">
              <w:rPr>
                <w:sz w:val="24"/>
                <w:szCs w:val="24"/>
              </w:rPr>
              <w:t>PY 2024</w:t>
            </w:r>
          </w:p>
          <w:p w14:paraId="730CCA52" w14:textId="77777777" w:rsidR="00AE6C4E" w:rsidRDefault="00AE6C4E" w:rsidP="005808EF">
            <w:pPr>
              <w:pStyle w:val="DOR"/>
              <w:rPr>
                <w:sz w:val="24"/>
                <w:szCs w:val="24"/>
              </w:rPr>
            </w:pPr>
            <w:r w:rsidRPr="00E10713">
              <w:rPr>
                <w:sz w:val="24"/>
                <w:szCs w:val="24"/>
              </w:rPr>
              <w:t>NEGOTIATED</w:t>
            </w:r>
          </w:p>
        </w:tc>
      </w:tr>
      <w:tr w:rsidR="00EC184C" w14:paraId="0648CB54" w14:textId="77777777" w:rsidTr="00CC3F75">
        <w:tc>
          <w:tcPr>
            <w:tcW w:w="5040" w:type="dxa"/>
            <w:vAlign w:val="center"/>
          </w:tcPr>
          <w:p w14:paraId="3136D781" w14:textId="77777777" w:rsidR="00AE6C4E" w:rsidRDefault="00AE6C4E" w:rsidP="005808EF">
            <w:pPr>
              <w:pStyle w:val="DOR"/>
              <w:rPr>
                <w:sz w:val="24"/>
                <w:szCs w:val="24"/>
              </w:rPr>
            </w:pPr>
            <w:r w:rsidRPr="00E10713">
              <w:rPr>
                <w:sz w:val="24"/>
                <w:szCs w:val="24"/>
              </w:rPr>
              <w:t>Employment Rate (Second Quarter After Exit)</w:t>
            </w:r>
          </w:p>
        </w:tc>
        <w:tc>
          <w:tcPr>
            <w:tcW w:w="1553" w:type="dxa"/>
            <w:vAlign w:val="center"/>
          </w:tcPr>
          <w:p w14:paraId="1FF64F53" w14:textId="77777777" w:rsidR="00AE6C4E" w:rsidRDefault="00AE6C4E" w:rsidP="005808EF">
            <w:pPr>
              <w:pStyle w:val="DOR"/>
              <w:rPr>
                <w:sz w:val="24"/>
                <w:szCs w:val="24"/>
              </w:rPr>
            </w:pPr>
            <w:r w:rsidRPr="00E10713">
              <w:rPr>
                <w:sz w:val="24"/>
                <w:szCs w:val="24"/>
              </w:rPr>
              <w:t>48.5%</w:t>
            </w:r>
          </w:p>
        </w:tc>
        <w:tc>
          <w:tcPr>
            <w:tcW w:w="1777" w:type="dxa"/>
            <w:vAlign w:val="center"/>
          </w:tcPr>
          <w:p w14:paraId="474DE65D" w14:textId="77777777" w:rsidR="00AE6C4E" w:rsidRDefault="00AE6C4E" w:rsidP="005808EF">
            <w:pPr>
              <w:pStyle w:val="DOR"/>
              <w:rPr>
                <w:sz w:val="24"/>
                <w:szCs w:val="24"/>
              </w:rPr>
            </w:pPr>
            <w:r w:rsidRPr="00E10713">
              <w:rPr>
                <w:sz w:val="24"/>
                <w:szCs w:val="24"/>
              </w:rPr>
              <w:t>50.0%</w:t>
            </w:r>
          </w:p>
        </w:tc>
        <w:tc>
          <w:tcPr>
            <w:tcW w:w="1800" w:type="dxa"/>
            <w:vAlign w:val="center"/>
          </w:tcPr>
          <w:p w14:paraId="128B5501" w14:textId="77777777" w:rsidR="00AE6C4E" w:rsidRDefault="00AE6C4E" w:rsidP="005808EF">
            <w:pPr>
              <w:pStyle w:val="DOR"/>
              <w:rPr>
                <w:sz w:val="24"/>
                <w:szCs w:val="24"/>
              </w:rPr>
            </w:pPr>
            <w:r w:rsidRPr="00E10713">
              <w:rPr>
                <w:sz w:val="24"/>
                <w:szCs w:val="24"/>
              </w:rPr>
              <w:t>52.0%</w:t>
            </w:r>
          </w:p>
        </w:tc>
      </w:tr>
      <w:tr w:rsidR="00EC184C" w14:paraId="64EA5176" w14:textId="77777777" w:rsidTr="00CC3F75">
        <w:tc>
          <w:tcPr>
            <w:tcW w:w="5040" w:type="dxa"/>
            <w:vAlign w:val="center"/>
          </w:tcPr>
          <w:p w14:paraId="31ACFF54" w14:textId="77777777" w:rsidR="00AE6C4E" w:rsidRDefault="00AE6C4E" w:rsidP="005808EF">
            <w:pPr>
              <w:pStyle w:val="DOR"/>
              <w:rPr>
                <w:sz w:val="24"/>
                <w:szCs w:val="24"/>
              </w:rPr>
            </w:pPr>
            <w:r w:rsidRPr="00E10713">
              <w:rPr>
                <w:sz w:val="24"/>
                <w:szCs w:val="24"/>
              </w:rPr>
              <w:t>Employment Rate (Fourth Quarter After Exit)</w:t>
            </w:r>
          </w:p>
        </w:tc>
        <w:tc>
          <w:tcPr>
            <w:tcW w:w="1553" w:type="dxa"/>
            <w:vAlign w:val="center"/>
          </w:tcPr>
          <w:p w14:paraId="54CBFAA1" w14:textId="77777777" w:rsidR="00AE6C4E" w:rsidRDefault="00AE6C4E" w:rsidP="005808EF">
            <w:pPr>
              <w:pStyle w:val="DOR"/>
              <w:rPr>
                <w:sz w:val="24"/>
                <w:szCs w:val="24"/>
              </w:rPr>
            </w:pPr>
            <w:r w:rsidRPr="00E10713">
              <w:rPr>
                <w:sz w:val="24"/>
                <w:szCs w:val="24"/>
              </w:rPr>
              <w:t>48.4%</w:t>
            </w:r>
          </w:p>
        </w:tc>
        <w:tc>
          <w:tcPr>
            <w:tcW w:w="1777" w:type="dxa"/>
            <w:vAlign w:val="center"/>
          </w:tcPr>
          <w:p w14:paraId="305AC669" w14:textId="77777777" w:rsidR="00AE6C4E" w:rsidRDefault="00AE6C4E" w:rsidP="005808EF">
            <w:pPr>
              <w:pStyle w:val="DOR"/>
              <w:rPr>
                <w:sz w:val="24"/>
                <w:szCs w:val="24"/>
              </w:rPr>
            </w:pPr>
            <w:r w:rsidRPr="00E10713">
              <w:rPr>
                <w:sz w:val="24"/>
                <w:szCs w:val="24"/>
              </w:rPr>
              <w:t>44.0%</w:t>
            </w:r>
          </w:p>
        </w:tc>
        <w:tc>
          <w:tcPr>
            <w:tcW w:w="1800" w:type="dxa"/>
            <w:vAlign w:val="center"/>
          </w:tcPr>
          <w:p w14:paraId="257A6E68" w14:textId="77777777" w:rsidR="00AE6C4E" w:rsidRDefault="00AE6C4E" w:rsidP="005808EF">
            <w:pPr>
              <w:pStyle w:val="DOR"/>
              <w:rPr>
                <w:sz w:val="24"/>
                <w:szCs w:val="24"/>
              </w:rPr>
            </w:pPr>
            <w:r w:rsidRPr="00E10713">
              <w:rPr>
                <w:sz w:val="24"/>
                <w:szCs w:val="24"/>
              </w:rPr>
              <w:t>50.0%</w:t>
            </w:r>
          </w:p>
        </w:tc>
      </w:tr>
      <w:tr w:rsidR="00EC184C" w14:paraId="4A9A7F5F" w14:textId="77777777" w:rsidTr="00CC3F75">
        <w:tc>
          <w:tcPr>
            <w:tcW w:w="5040" w:type="dxa"/>
            <w:vAlign w:val="center"/>
          </w:tcPr>
          <w:p w14:paraId="0C44193A" w14:textId="77777777" w:rsidR="00AE6C4E" w:rsidRDefault="00AE6C4E" w:rsidP="005808EF">
            <w:pPr>
              <w:pStyle w:val="DOR"/>
              <w:rPr>
                <w:sz w:val="24"/>
                <w:szCs w:val="24"/>
              </w:rPr>
            </w:pPr>
            <w:r w:rsidRPr="00E10713">
              <w:rPr>
                <w:sz w:val="24"/>
                <w:szCs w:val="24"/>
              </w:rPr>
              <w:t>Median Earnings (Second Quarter After Exit)</w:t>
            </w:r>
          </w:p>
        </w:tc>
        <w:tc>
          <w:tcPr>
            <w:tcW w:w="1553" w:type="dxa"/>
            <w:vAlign w:val="center"/>
          </w:tcPr>
          <w:p w14:paraId="2B887520" w14:textId="77777777" w:rsidR="00AE6C4E" w:rsidRDefault="00AE6C4E" w:rsidP="005808EF">
            <w:pPr>
              <w:pStyle w:val="DOR"/>
              <w:rPr>
                <w:sz w:val="24"/>
                <w:szCs w:val="24"/>
              </w:rPr>
            </w:pPr>
            <w:r w:rsidRPr="00E10713">
              <w:rPr>
                <w:sz w:val="24"/>
                <w:szCs w:val="24"/>
              </w:rPr>
              <w:t>$7,058</w:t>
            </w:r>
          </w:p>
        </w:tc>
        <w:tc>
          <w:tcPr>
            <w:tcW w:w="1777" w:type="dxa"/>
            <w:vAlign w:val="center"/>
          </w:tcPr>
          <w:p w14:paraId="2D02292A" w14:textId="77777777" w:rsidR="00AE6C4E" w:rsidRDefault="00AE6C4E" w:rsidP="005808EF">
            <w:pPr>
              <w:pStyle w:val="DOR"/>
              <w:rPr>
                <w:sz w:val="24"/>
                <w:szCs w:val="24"/>
              </w:rPr>
            </w:pPr>
            <w:r w:rsidRPr="00E10713">
              <w:rPr>
                <w:sz w:val="24"/>
                <w:szCs w:val="24"/>
              </w:rPr>
              <w:t>$5,650</w:t>
            </w:r>
          </w:p>
        </w:tc>
        <w:tc>
          <w:tcPr>
            <w:tcW w:w="1800" w:type="dxa"/>
            <w:vAlign w:val="center"/>
          </w:tcPr>
          <w:p w14:paraId="46F1F03F" w14:textId="77777777" w:rsidR="00AE6C4E" w:rsidRDefault="00AE6C4E" w:rsidP="005808EF">
            <w:pPr>
              <w:pStyle w:val="DOR"/>
              <w:rPr>
                <w:sz w:val="24"/>
                <w:szCs w:val="24"/>
              </w:rPr>
            </w:pPr>
            <w:r w:rsidRPr="00E10713">
              <w:rPr>
                <w:sz w:val="24"/>
                <w:szCs w:val="24"/>
              </w:rPr>
              <w:t>$7,000</w:t>
            </w:r>
          </w:p>
        </w:tc>
      </w:tr>
      <w:tr w:rsidR="00EC184C" w14:paraId="0DB05F67" w14:textId="77777777" w:rsidTr="00CC3F75">
        <w:tc>
          <w:tcPr>
            <w:tcW w:w="5040" w:type="dxa"/>
            <w:vAlign w:val="center"/>
          </w:tcPr>
          <w:p w14:paraId="24153B3A" w14:textId="77777777" w:rsidR="00AE6C4E" w:rsidRDefault="00AE6C4E" w:rsidP="005808EF">
            <w:pPr>
              <w:pStyle w:val="DOR"/>
              <w:rPr>
                <w:sz w:val="24"/>
                <w:szCs w:val="24"/>
              </w:rPr>
            </w:pPr>
            <w:r w:rsidRPr="00E10713">
              <w:rPr>
                <w:sz w:val="24"/>
                <w:szCs w:val="24"/>
              </w:rPr>
              <w:t>Credential Attainment Rate</w:t>
            </w:r>
          </w:p>
        </w:tc>
        <w:tc>
          <w:tcPr>
            <w:tcW w:w="1553" w:type="dxa"/>
            <w:vAlign w:val="center"/>
          </w:tcPr>
          <w:p w14:paraId="5D8DE022" w14:textId="77777777" w:rsidR="00AE6C4E" w:rsidRDefault="00AE6C4E" w:rsidP="005808EF">
            <w:pPr>
              <w:pStyle w:val="DOR"/>
              <w:rPr>
                <w:sz w:val="24"/>
                <w:szCs w:val="24"/>
              </w:rPr>
            </w:pPr>
            <w:r w:rsidRPr="00E10713">
              <w:rPr>
                <w:sz w:val="24"/>
                <w:szCs w:val="24"/>
              </w:rPr>
              <w:t>41.4%</w:t>
            </w:r>
          </w:p>
        </w:tc>
        <w:tc>
          <w:tcPr>
            <w:tcW w:w="1777" w:type="dxa"/>
            <w:vAlign w:val="center"/>
          </w:tcPr>
          <w:p w14:paraId="26DC5DCE" w14:textId="77777777" w:rsidR="00AE6C4E" w:rsidRDefault="00AE6C4E" w:rsidP="005808EF">
            <w:pPr>
              <w:pStyle w:val="DOR"/>
              <w:rPr>
                <w:sz w:val="24"/>
                <w:szCs w:val="24"/>
              </w:rPr>
            </w:pPr>
            <w:r w:rsidRPr="00E10713">
              <w:rPr>
                <w:sz w:val="24"/>
                <w:szCs w:val="24"/>
              </w:rPr>
              <w:t>27.1%</w:t>
            </w:r>
          </w:p>
        </w:tc>
        <w:tc>
          <w:tcPr>
            <w:tcW w:w="1800" w:type="dxa"/>
            <w:vAlign w:val="center"/>
          </w:tcPr>
          <w:p w14:paraId="6F077F6D" w14:textId="77777777" w:rsidR="00AE6C4E" w:rsidRDefault="00AE6C4E" w:rsidP="005808EF">
            <w:pPr>
              <w:pStyle w:val="DOR"/>
              <w:rPr>
                <w:sz w:val="24"/>
                <w:szCs w:val="24"/>
              </w:rPr>
            </w:pPr>
            <w:r w:rsidRPr="00E10713">
              <w:rPr>
                <w:sz w:val="24"/>
                <w:szCs w:val="24"/>
              </w:rPr>
              <w:t>44.5%</w:t>
            </w:r>
          </w:p>
        </w:tc>
      </w:tr>
      <w:tr w:rsidR="00AE6C4E" w14:paraId="5CA6AE1E" w14:textId="77777777" w:rsidTr="00CC3F75">
        <w:tc>
          <w:tcPr>
            <w:tcW w:w="5040" w:type="dxa"/>
            <w:vAlign w:val="center"/>
          </w:tcPr>
          <w:p w14:paraId="5AC20BDE" w14:textId="3403C429" w:rsidR="00AE6C4E" w:rsidRPr="00E10713" w:rsidRDefault="00AE6C4E" w:rsidP="005808EF">
            <w:pPr>
              <w:pStyle w:val="DOR"/>
              <w:rPr>
                <w:sz w:val="24"/>
                <w:szCs w:val="24"/>
              </w:rPr>
            </w:pPr>
            <w:r>
              <w:rPr>
                <w:sz w:val="24"/>
                <w:szCs w:val="24"/>
              </w:rPr>
              <w:t>Measurable Skill Gains Rate</w:t>
            </w:r>
          </w:p>
        </w:tc>
        <w:tc>
          <w:tcPr>
            <w:tcW w:w="1553" w:type="dxa"/>
            <w:vAlign w:val="center"/>
          </w:tcPr>
          <w:p w14:paraId="614E1A30" w14:textId="27CA769D" w:rsidR="00AE6C4E" w:rsidRPr="00E10713" w:rsidRDefault="00AE6C4E" w:rsidP="005808EF">
            <w:pPr>
              <w:pStyle w:val="DOR"/>
              <w:rPr>
                <w:sz w:val="24"/>
                <w:szCs w:val="24"/>
              </w:rPr>
            </w:pPr>
            <w:r>
              <w:rPr>
                <w:sz w:val="24"/>
                <w:szCs w:val="24"/>
              </w:rPr>
              <w:t>31.8%</w:t>
            </w:r>
          </w:p>
        </w:tc>
        <w:tc>
          <w:tcPr>
            <w:tcW w:w="1777" w:type="dxa"/>
            <w:vAlign w:val="center"/>
          </w:tcPr>
          <w:p w14:paraId="0C4F9BC7" w14:textId="5148AD4C" w:rsidR="00AE6C4E" w:rsidRPr="00E10713" w:rsidRDefault="00AE6C4E" w:rsidP="005808EF">
            <w:pPr>
              <w:pStyle w:val="DOR"/>
              <w:rPr>
                <w:sz w:val="24"/>
                <w:szCs w:val="24"/>
              </w:rPr>
            </w:pPr>
            <w:r>
              <w:rPr>
                <w:sz w:val="24"/>
                <w:szCs w:val="24"/>
              </w:rPr>
              <w:t>42.0%</w:t>
            </w:r>
          </w:p>
        </w:tc>
        <w:tc>
          <w:tcPr>
            <w:tcW w:w="1800" w:type="dxa"/>
            <w:vAlign w:val="center"/>
          </w:tcPr>
          <w:p w14:paraId="6517C9D4" w14:textId="4FF5D976" w:rsidR="00AE6C4E" w:rsidRPr="00E10713" w:rsidRDefault="00EC184C" w:rsidP="005808EF">
            <w:pPr>
              <w:pStyle w:val="DOR"/>
              <w:rPr>
                <w:sz w:val="24"/>
                <w:szCs w:val="24"/>
              </w:rPr>
            </w:pPr>
            <w:r>
              <w:rPr>
                <w:sz w:val="24"/>
                <w:szCs w:val="24"/>
              </w:rPr>
              <w:t>37.0%</w:t>
            </w:r>
          </w:p>
        </w:tc>
      </w:tr>
    </w:tbl>
    <w:p w14:paraId="25DB661A" w14:textId="77777777" w:rsidR="00AE6C4E" w:rsidRDefault="00AE6C4E" w:rsidP="00AE6C4E">
      <w:pPr>
        <w:pStyle w:val="DOR"/>
        <w:rPr>
          <w:sz w:val="24"/>
          <w:szCs w:val="24"/>
        </w:rPr>
      </w:pPr>
    </w:p>
    <w:p w14:paraId="7094983D" w14:textId="77777777" w:rsidR="00EC184C" w:rsidRPr="00E10713" w:rsidRDefault="00EC184C" w:rsidP="00EC184C">
      <w:pPr>
        <w:pStyle w:val="DOR"/>
        <w:rPr>
          <w:sz w:val="24"/>
          <w:szCs w:val="24"/>
        </w:rPr>
      </w:pPr>
      <w:r w:rsidRPr="00E10713">
        <w:rPr>
          <w:sz w:val="24"/>
          <w:szCs w:val="24"/>
        </w:rPr>
        <w:t>Slide 7: WIOA Methodology</w:t>
      </w:r>
    </w:p>
    <w:p w14:paraId="416987C4" w14:textId="088A3B21" w:rsidR="00EC184C" w:rsidRPr="00E10713" w:rsidRDefault="00EC184C" w:rsidP="00EC184C">
      <w:pPr>
        <w:pStyle w:val="DOR"/>
        <w:numPr>
          <w:ilvl w:val="0"/>
          <w:numId w:val="9"/>
        </w:numPr>
        <w:rPr>
          <w:sz w:val="24"/>
          <w:szCs w:val="24"/>
        </w:rPr>
      </w:pPr>
      <w:r w:rsidRPr="00E10713">
        <w:rPr>
          <w:sz w:val="24"/>
          <w:szCs w:val="24"/>
        </w:rPr>
        <w:t>What is the measure? The median earnings of participants who are in unsubsidized employment during the second quarter after exit from the program</w:t>
      </w:r>
    </w:p>
    <w:p w14:paraId="2505F065" w14:textId="77777777" w:rsidR="00EC184C" w:rsidRDefault="00EC184C" w:rsidP="00EC184C">
      <w:pPr>
        <w:pStyle w:val="DOR"/>
        <w:numPr>
          <w:ilvl w:val="0"/>
          <w:numId w:val="9"/>
        </w:numPr>
        <w:rPr>
          <w:sz w:val="24"/>
          <w:szCs w:val="24"/>
        </w:rPr>
      </w:pPr>
      <w:r w:rsidRPr="00E10713">
        <w:rPr>
          <w:sz w:val="24"/>
          <w:szCs w:val="24"/>
        </w:rPr>
        <w:t xml:space="preserve">SRC Question: $7,000 is less than a living wage, due in part to some consumers wanting to work part-time. For comparison purposes, what is the average salary of people working full-time? </w:t>
      </w:r>
    </w:p>
    <w:p w14:paraId="385D80C6" w14:textId="77777777" w:rsidR="00EC184C" w:rsidRDefault="00EC184C" w:rsidP="00EC184C">
      <w:pPr>
        <w:pStyle w:val="DOR"/>
        <w:numPr>
          <w:ilvl w:val="1"/>
          <w:numId w:val="9"/>
        </w:numPr>
        <w:rPr>
          <w:sz w:val="24"/>
          <w:szCs w:val="24"/>
        </w:rPr>
      </w:pPr>
      <w:r w:rsidRPr="00EC184C">
        <w:rPr>
          <w:sz w:val="24"/>
          <w:szCs w:val="24"/>
        </w:rPr>
        <w:t>Earnings 2</w:t>
      </w:r>
      <w:r w:rsidRPr="00EC184C">
        <w:rPr>
          <w:sz w:val="24"/>
          <w:szCs w:val="24"/>
          <w:vertAlign w:val="superscript"/>
        </w:rPr>
        <w:t>nd</w:t>
      </w:r>
      <w:r w:rsidRPr="00EC184C">
        <w:rPr>
          <w:sz w:val="24"/>
          <w:szCs w:val="24"/>
        </w:rPr>
        <w:t xml:space="preserve"> quarter after exit</w:t>
      </w:r>
    </w:p>
    <w:p w14:paraId="1BD959F3" w14:textId="77777777" w:rsidR="00EC184C" w:rsidRDefault="00EC184C" w:rsidP="00EC184C">
      <w:pPr>
        <w:pStyle w:val="DOR"/>
        <w:numPr>
          <w:ilvl w:val="1"/>
          <w:numId w:val="9"/>
        </w:numPr>
        <w:rPr>
          <w:sz w:val="24"/>
          <w:szCs w:val="24"/>
        </w:rPr>
      </w:pPr>
      <w:r w:rsidRPr="00EC184C">
        <w:rPr>
          <w:sz w:val="24"/>
          <w:szCs w:val="24"/>
        </w:rPr>
        <w:t xml:space="preserve">Median, not average </w:t>
      </w:r>
    </w:p>
    <w:p w14:paraId="79FD9CB2" w14:textId="77777777" w:rsidR="00EC184C" w:rsidRDefault="00EC184C" w:rsidP="00EC184C">
      <w:pPr>
        <w:pStyle w:val="DOR"/>
        <w:numPr>
          <w:ilvl w:val="1"/>
          <w:numId w:val="9"/>
        </w:numPr>
        <w:rPr>
          <w:sz w:val="24"/>
          <w:szCs w:val="24"/>
        </w:rPr>
      </w:pPr>
      <w:r w:rsidRPr="00EC184C">
        <w:rPr>
          <w:sz w:val="24"/>
          <w:szCs w:val="24"/>
        </w:rPr>
        <w:t>Quarterly earnings, not monthly earnings</w:t>
      </w:r>
    </w:p>
    <w:p w14:paraId="1C1C4A46" w14:textId="77777777" w:rsidR="00EC184C" w:rsidRDefault="00EC184C" w:rsidP="00EC184C">
      <w:pPr>
        <w:pStyle w:val="DOR"/>
        <w:numPr>
          <w:ilvl w:val="1"/>
          <w:numId w:val="9"/>
        </w:numPr>
        <w:rPr>
          <w:sz w:val="24"/>
          <w:szCs w:val="24"/>
        </w:rPr>
      </w:pPr>
      <w:r w:rsidRPr="00EC184C">
        <w:rPr>
          <w:sz w:val="24"/>
          <w:szCs w:val="24"/>
        </w:rPr>
        <w:t>Does not account for number of hours worked</w:t>
      </w:r>
    </w:p>
    <w:p w14:paraId="22CC59B8" w14:textId="457E5F56" w:rsidR="00EC184C" w:rsidRDefault="00EC184C" w:rsidP="00EC184C">
      <w:pPr>
        <w:pStyle w:val="DOR"/>
        <w:numPr>
          <w:ilvl w:val="1"/>
          <w:numId w:val="9"/>
        </w:numPr>
        <w:rPr>
          <w:sz w:val="24"/>
          <w:szCs w:val="24"/>
        </w:rPr>
      </w:pPr>
      <w:r w:rsidRPr="00EC184C">
        <w:rPr>
          <w:sz w:val="24"/>
          <w:szCs w:val="24"/>
        </w:rPr>
        <w:t>All participants with IPE after exit regardless of employment outcome</w:t>
      </w:r>
    </w:p>
    <w:p w14:paraId="11659F7F" w14:textId="77777777" w:rsidR="00EC184C" w:rsidRDefault="00EC184C" w:rsidP="00EC184C">
      <w:pPr>
        <w:pStyle w:val="DOR"/>
        <w:rPr>
          <w:sz w:val="24"/>
          <w:szCs w:val="24"/>
        </w:rPr>
      </w:pPr>
    </w:p>
    <w:p w14:paraId="7BBF7D06" w14:textId="286A0D60" w:rsidR="00EC184C" w:rsidRDefault="00EC184C" w:rsidP="00EC184C">
      <w:pPr>
        <w:pStyle w:val="DOR"/>
        <w:rPr>
          <w:sz w:val="24"/>
          <w:szCs w:val="24"/>
        </w:rPr>
      </w:pPr>
      <w:r>
        <w:rPr>
          <w:sz w:val="24"/>
          <w:szCs w:val="24"/>
        </w:rPr>
        <w:t>Slide 8. Methodology</w:t>
      </w:r>
    </w:p>
    <w:p w14:paraId="3545E805" w14:textId="527601C5" w:rsidR="00EC184C" w:rsidRDefault="00EC184C" w:rsidP="00EC184C">
      <w:pPr>
        <w:pStyle w:val="DOR"/>
        <w:rPr>
          <w:sz w:val="24"/>
          <w:szCs w:val="24"/>
        </w:rPr>
      </w:pPr>
      <w:r>
        <w:rPr>
          <w:sz w:val="24"/>
          <w:szCs w:val="24"/>
        </w:rPr>
        <w:t>Full-time wages after exit</w:t>
      </w:r>
    </w:p>
    <w:p w14:paraId="603550FF" w14:textId="6B326EC0" w:rsidR="00EC184C" w:rsidRDefault="00EC184C" w:rsidP="00EC184C">
      <w:pPr>
        <w:pStyle w:val="DOR"/>
        <w:numPr>
          <w:ilvl w:val="0"/>
          <w:numId w:val="10"/>
        </w:numPr>
        <w:rPr>
          <w:sz w:val="24"/>
          <w:szCs w:val="24"/>
        </w:rPr>
      </w:pPr>
      <w:r>
        <w:rPr>
          <w:sz w:val="24"/>
          <w:szCs w:val="24"/>
        </w:rPr>
        <w:t>Closed in competitive integrated employment</w:t>
      </w:r>
    </w:p>
    <w:p w14:paraId="091D5A5B" w14:textId="7B9C7EDD" w:rsidR="00EC184C" w:rsidRDefault="00EC184C" w:rsidP="00EC184C">
      <w:pPr>
        <w:pStyle w:val="DOR"/>
        <w:numPr>
          <w:ilvl w:val="0"/>
          <w:numId w:val="10"/>
        </w:numPr>
        <w:rPr>
          <w:sz w:val="24"/>
          <w:szCs w:val="24"/>
        </w:rPr>
      </w:pPr>
      <w:r>
        <w:rPr>
          <w:sz w:val="24"/>
          <w:szCs w:val="24"/>
        </w:rPr>
        <w:t>Full-time employment at exit (35+ hours/week)</w:t>
      </w:r>
    </w:p>
    <w:p w14:paraId="6CE2F999" w14:textId="7E4D7BAF" w:rsidR="00EC184C" w:rsidRDefault="00EC184C" w:rsidP="00EC184C">
      <w:pPr>
        <w:pStyle w:val="DOR"/>
        <w:numPr>
          <w:ilvl w:val="0"/>
          <w:numId w:val="10"/>
        </w:numPr>
        <w:rPr>
          <w:sz w:val="24"/>
          <w:szCs w:val="24"/>
        </w:rPr>
      </w:pPr>
      <w:r>
        <w:rPr>
          <w:sz w:val="24"/>
          <w:szCs w:val="24"/>
        </w:rPr>
        <w:t>Still employed 2</w:t>
      </w:r>
      <w:r w:rsidRPr="00EC184C">
        <w:rPr>
          <w:sz w:val="24"/>
          <w:szCs w:val="24"/>
          <w:vertAlign w:val="superscript"/>
        </w:rPr>
        <w:t>nd</w:t>
      </w:r>
      <w:r>
        <w:rPr>
          <w:sz w:val="24"/>
          <w:szCs w:val="24"/>
        </w:rPr>
        <w:t xml:space="preserve"> quarter after exit in PY 2024 reports</w:t>
      </w:r>
    </w:p>
    <w:p w14:paraId="6CFDFDA0" w14:textId="77777777" w:rsidR="00EC184C" w:rsidRDefault="00EC184C" w:rsidP="00EC184C">
      <w:pPr>
        <w:pStyle w:val="DOR"/>
        <w:rPr>
          <w:sz w:val="24"/>
          <w:szCs w:val="24"/>
        </w:rPr>
      </w:pPr>
    </w:p>
    <w:p w14:paraId="4D96EDBF" w14:textId="31D3485E" w:rsidR="00EC184C" w:rsidRDefault="00EC184C" w:rsidP="00EC184C">
      <w:pPr>
        <w:pStyle w:val="DOR"/>
        <w:rPr>
          <w:sz w:val="24"/>
          <w:szCs w:val="24"/>
        </w:rPr>
      </w:pPr>
      <w:r>
        <w:rPr>
          <w:sz w:val="24"/>
          <w:szCs w:val="24"/>
        </w:rPr>
        <w:t>Slide 9: Full-Time Outcomes</w:t>
      </w:r>
    </w:p>
    <w:p w14:paraId="4F0B5826" w14:textId="77777777" w:rsidR="00EC184C" w:rsidRPr="00E10713" w:rsidRDefault="00EC184C" w:rsidP="00EC184C">
      <w:pPr>
        <w:pStyle w:val="DOR"/>
        <w:numPr>
          <w:ilvl w:val="0"/>
          <w:numId w:val="11"/>
        </w:numPr>
        <w:rPr>
          <w:sz w:val="24"/>
          <w:szCs w:val="24"/>
        </w:rPr>
      </w:pPr>
      <w:r w:rsidRPr="00E10713">
        <w:rPr>
          <w:sz w:val="24"/>
          <w:szCs w:val="24"/>
        </w:rPr>
        <w:t>Part-time: 40.4%</w:t>
      </w:r>
    </w:p>
    <w:p w14:paraId="01419422" w14:textId="77777777" w:rsidR="00EC184C" w:rsidRPr="00E10713" w:rsidRDefault="00EC184C" w:rsidP="00EC184C">
      <w:pPr>
        <w:pStyle w:val="DOR"/>
        <w:numPr>
          <w:ilvl w:val="0"/>
          <w:numId w:val="11"/>
        </w:numPr>
        <w:rPr>
          <w:sz w:val="24"/>
          <w:szCs w:val="24"/>
        </w:rPr>
      </w:pPr>
      <w:r w:rsidRPr="00E10713">
        <w:rPr>
          <w:sz w:val="24"/>
          <w:szCs w:val="24"/>
        </w:rPr>
        <w:t>Full-time: 59.6%</w:t>
      </w:r>
    </w:p>
    <w:p w14:paraId="4BDC8629" w14:textId="77777777" w:rsidR="00EC184C" w:rsidRPr="00E10713" w:rsidRDefault="00EC184C" w:rsidP="00EC184C">
      <w:pPr>
        <w:pStyle w:val="DOR"/>
        <w:numPr>
          <w:ilvl w:val="0"/>
          <w:numId w:val="11"/>
        </w:numPr>
        <w:rPr>
          <w:sz w:val="24"/>
          <w:szCs w:val="24"/>
        </w:rPr>
      </w:pPr>
      <w:r w:rsidRPr="00E10713">
        <w:rPr>
          <w:sz w:val="24"/>
          <w:szCs w:val="24"/>
        </w:rPr>
        <w:t>WIOA: $7,058</w:t>
      </w:r>
    </w:p>
    <w:p w14:paraId="6613BA5F" w14:textId="77777777" w:rsidR="00EC184C" w:rsidRPr="00E10713" w:rsidRDefault="00EC184C" w:rsidP="00EC184C">
      <w:pPr>
        <w:pStyle w:val="DOR"/>
        <w:numPr>
          <w:ilvl w:val="0"/>
          <w:numId w:val="11"/>
        </w:numPr>
        <w:rPr>
          <w:sz w:val="24"/>
          <w:szCs w:val="24"/>
        </w:rPr>
      </w:pPr>
      <w:r w:rsidRPr="00E10713">
        <w:rPr>
          <w:sz w:val="24"/>
          <w:szCs w:val="24"/>
        </w:rPr>
        <w:t>All CIE: $8,583</w:t>
      </w:r>
    </w:p>
    <w:p w14:paraId="1DE1ADE6" w14:textId="77777777" w:rsidR="00EC184C" w:rsidRPr="00E10713" w:rsidRDefault="00EC184C" w:rsidP="00EC184C">
      <w:pPr>
        <w:pStyle w:val="DOR"/>
        <w:numPr>
          <w:ilvl w:val="0"/>
          <w:numId w:val="11"/>
        </w:numPr>
        <w:rPr>
          <w:sz w:val="24"/>
          <w:szCs w:val="24"/>
        </w:rPr>
      </w:pPr>
      <w:r w:rsidRPr="00E10713">
        <w:rPr>
          <w:sz w:val="24"/>
          <w:szCs w:val="24"/>
        </w:rPr>
        <w:t>Full-time: $11,338</w:t>
      </w:r>
    </w:p>
    <w:p w14:paraId="46EEB7BB" w14:textId="77777777" w:rsidR="00EC184C" w:rsidRDefault="00EC184C" w:rsidP="00EC184C">
      <w:pPr>
        <w:pStyle w:val="DOR"/>
        <w:rPr>
          <w:sz w:val="24"/>
          <w:szCs w:val="24"/>
        </w:rPr>
      </w:pPr>
    </w:p>
    <w:p w14:paraId="19D3A563" w14:textId="1F3FD4C6" w:rsidR="00EC184C" w:rsidRDefault="00EC184C" w:rsidP="00EC184C">
      <w:pPr>
        <w:pStyle w:val="DOR"/>
        <w:rPr>
          <w:sz w:val="24"/>
          <w:szCs w:val="24"/>
        </w:rPr>
      </w:pPr>
      <w:r>
        <w:rPr>
          <w:sz w:val="24"/>
          <w:szCs w:val="24"/>
        </w:rPr>
        <w:t>Slide 10: Full-Time Top 10</w:t>
      </w:r>
    </w:p>
    <w:p w14:paraId="676DA3DC" w14:textId="77777777" w:rsidR="00EC184C" w:rsidRPr="00E10713" w:rsidRDefault="00EC184C" w:rsidP="00EC184C">
      <w:pPr>
        <w:pStyle w:val="DOR"/>
        <w:numPr>
          <w:ilvl w:val="0"/>
          <w:numId w:val="12"/>
        </w:numPr>
        <w:rPr>
          <w:sz w:val="24"/>
          <w:szCs w:val="24"/>
        </w:rPr>
      </w:pPr>
      <w:r w:rsidRPr="00E10713">
        <w:rPr>
          <w:sz w:val="24"/>
          <w:szCs w:val="24"/>
        </w:rPr>
        <w:t>Heavy and tractor</w:t>
      </w:r>
    </w:p>
    <w:p w14:paraId="743417E5" w14:textId="77777777" w:rsidR="00EC184C" w:rsidRPr="00E10713" w:rsidRDefault="00EC184C" w:rsidP="00EC184C">
      <w:pPr>
        <w:pStyle w:val="DOR"/>
        <w:numPr>
          <w:ilvl w:val="0"/>
          <w:numId w:val="12"/>
        </w:numPr>
        <w:rPr>
          <w:sz w:val="24"/>
          <w:szCs w:val="24"/>
        </w:rPr>
      </w:pPr>
      <w:r w:rsidRPr="00E10713">
        <w:rPr>
          <w:sz w:val="24"/>
          <w:szCs w:val="24"/>
        </w:rPr>
        <w:t>Office clerks, general</w:t>
      </w:r>
    </w:p>
    <w:p w14:paraId="0D859864" w14:textId="77777777" w:rsidR="00EC184C" w:rsidRPr="00E10713" w:rsidRDefault="00EC184C" w:rsidP="00EC184C">
      <w:pPr>
        <w:pStyle w:val="DOR"/>
        <w:numPr>
          <w:ilvl w:val="0"/>
          <w:numId w:val="12"/>
        </w:numPr>
        <w:rPr>
          <w:sz w:val="24"/>
          <w:szCs w:val="24"/>
        </w:rPr>
      </w:pPr>
      <w:r w:rsidRPr="00E10713">
        <w:rPr>
          <w:sz w:val="24"/>
          <w:szCs w:val="24"/>
        </w:rPr>
        <w:t>Customer service representatives</w:t>
      </w:r>
    </w:p>
    <w:p w14:paraId="5933F2E4" w14:textId="77777777" w:rsidR="00EC184C" w:rsidRPr="00E10713" w:rsidRDefault="00EC184C" w:rsidP="00EC184C">
      <w:pPr>
        <w:pStyle w:val="DOR"/>
        <w:numPr>
          <w:ilvl w:val="0"/>
          <w:numId w:val="12"/>
        </w:numPr>
        <w:rPr>
          <w:sz w:val="24"/>
          <w:szCs w:val="24"/>
        </w:rPr>
      </w:pPr>
      <w:r w:rsidRPr="00E10713">
        <w:rPr>
          <w:sz w:val="24"/>
          <w:szCs w:val="24"/>
        </w:rPr>
        <w:t>Helpers-production workers</w:t>
      </w:r>
    </w:p>
    <w:p w14:paraId="38FA085E" w14:textId="77777777" w:rsidR="00EC184C" w:rsidRPr="00E10713" w:rsidRDefault="00EC184C" w:rsidP="00EC184C">
      <w:pPr>
        <w:pStyle w:val="DOR"/>
        <w:numPr>
          <w:ilvl w:val="0"/>
          <w:numId w:val="12"/>
        </w:numPr>
        <w:rPr>
          <w:sz w:val="24"/>
          <w:szCs w:val="24"/>
        </w:rPr>
      </w:pPr>
      <w:r w:rsidRPr="00E10713">
        <w:rPr>
          <w:sz w:val="24"/>
          <w:szCs w:val="24"/>
        </w:rPr>
        <w:t>Stockers and order fillers</w:t>
      </w:r>
    </w:p>
    <w:p w14:paraId="6B1FDB6F" w14:textId="77777777" w:rsidR="00EC184C" w:rsidRPr="00E10713" w:rsidRDefault="00EC184C" w:rsidP="00EC184C">
      <w:pPr>
        <w:pStyle w:val="DOR"/>
        <w:numPr>
          <w:ilvl w:val="0"/>
          <w:numId w:val="12"/>
        </w:numPr>
        <w:rPr>
          <w:sz w:val="24"/>
          <w:szCs w:val="24"/>
        </w:rPr>
      </w:pPr>
      <w:r w:rsidRPr="00E10713">
        <w:rPr>
          <w:sz w:val="24"/>
          <w:szCs w:val="24"/>
        </w:rPr>
        <w:t>Social and human services</w:t>
      </w:r>
    </w:p>
    <w:p w14:paraId="403210A2" w14:textId="77777777" w:rsidR="00EC184C" w:rsidRPr="00E10713" w:rsidRDefault="00EC184C" w:rsidP="00EC184C">
      <w:pPr>
        <w:pStyle w:val="DOR"/>
        <w:numPr>
          <w:ilvl w:val="0"/>
          <w:numId w:val="12"/>
        </w:numPr>
        <w:rPr>
          <w:sz w:val="24"/>
          <w:szCs w:val="24"/>
        </w:rPr>
      </w:pPr>
      <w:r w:rsidRPr="00E10713">
        <w:rPr>
          <w:sz w:val="24"/>
          <w:szCs w:val="24"/>
        </w:rPr>
        <w:t>Firefighters</w:t>
      </w:r>
    </w:p>
    <w:p w14:paraId="5BB4F27D" w14:textId="77777777" w:rsidR="00EC184C" w:rsidRPr="00E10713" w:rsidRDefault="00EC184C" w:rsidP="00EC184C">
      <w:pPr>
        <w:pStyle w:val="DOR"/>
        <w:numPr>
          <w:ilvl w:val="0"/>
          <w:numId w:val="12"/>
        </w:numPr>
        <w:rPr>
          <w:sz w:val="24"/>
          <w:szCs w:val="24"/>
        </w:rPr>
      </w:pPr>
      <w:r w:rsidRPr="00E10713">
        <w:rPr>
          <w:sz w:val="24"/>
          <w:szCs w:val="24"/>
        </w:rPr>
        <w:t>Rehabilitation counselors</w:t>
      </w:r>
    </w:p>
    <w:p w14:paraId="47C784DE" w14:textId="77777777" w:rsidR="00EC184C" w:rsidRPr="00E10713" w:rsidRDefault="00EC184C" w:rsidP="00EC184C">
      <w:pPr>
        <w:pStyle w:val="DOR"/>
        <w:numPr>
          <w:ilvl w:val="0"/>
          <w:numId w:val="12"/>
        </w:numPr>
        <w:rPr>
          <w:sz w:val="24"/>
          <w:szCs w:val="24"/>
        </w:rPr>
      </w:pPr>
      <w:r w:rsidRPr="00E10713">
        <w:rPr>
          <w:sz w:val="24"/>
          <w:szCs w:val="24"/>
        </w:rPr>
        <w:t>Janitors</w:t>
      </w:r>
    </w:p>
    <w:p w14:paraId="4C412239" w14:textId="77777777" w:rsidR="00EC184C" w:rsidRPr="00E10713" w:rsidRDefault="00EC184C" w:rsidP="00EC184C">
      <w:pPr>
        <w:pStyle w:val="DOR"/>
        <w:numPr>
          <w:ilvl w:val="0"/>
          <w:numId w:val="12"/>
        </w:numPr>
        <w:rPr>
          <w:sz w:val="24"/>
          <w:szCs w:val="24"/>
        </w:rPr>
      </w:pPr>
      <w:r w:rsidRPr="00E10713">
        <w:rPr>
          <w:sz w:val="24"/>
          <w:szCs w:val="24"/>
        </w:rPr>
        <w:t xml:space="preserve">Construction </w:t>
      </w:r>
    </w:p>
    <w:p w14:paraId="0C605A1C" w14:textId="77777777" w:rsidR="00EC184C" w:rsidRDefault="00EC184C" w:rsidP="00EC184C">
      <w:pPr>
        <w:pStyle w:val="DOR"/>
        <w:rPr>
          <w:sz w:val="24"/>
          <w:szCs w:val="24"/>
        </w:rPr>
      </w:pPr>
    </w:p>
    <w:p w14:paraId="1DF1459D" w14:textId="77777777" w:rsidR="00EC184C" w:rsidRPr="00E10713" w:rsidRDefault="00EC184C" w:rsidP="00EC184C">
      <w:pPr>
        <w:pStyle w:val="DOR"/>
        <w:rPr>
          <w:sz w:val="24"/>
          <w:szCs w:val="24"/>
        </w:rPr>
      </w:pPr>
      <w:r w:rsidRPr="00E10713">
        <w:rPr>
          <w:sz w:val="24"/>
          <w:szCs w:val="24"/>
        </w:rPr>
        <w:t xml:space="preserve">Slide 11: Full-Time Outcomes (Median) </w:t>
      </w:r>
    </w:p>
    <w:p w14:paraId="4C085F97" w14:textId="77777777" w:rsidR="00EC184C" w:rsidRPr="00E10713" w:rsidRDefault="00EC184C" w:rsidP="00EC184C">
      <w:pPr>
        <w:pStyle w:val="DOR"/>
        <w:numPr>
          <w:ilvl w:val="0"/>
          <w:numId w:val="13"/>
        </w:numPr>
        <w:rPr>
          <w:sz w:val="24"/>
          <w:szCs w:val="24"/>
        </w:rPr>
      </w:pPr>
      <w:r w:rsidRPr="00E10713">
        <w:rPr>
          <w:sz w:val="24"/>
          <w:szCs w:val="24"/>
        </w:rPr>
        <w:t>Heavy and tractor-trailer truck drivers: $14,067</w:t>
      </w:r>
    </w:p>
    <w:p w14:paraId="78480F99" w14:textId="77777777" w:rsidR="00EC184C" w:rsidRPr="00E10713" w:rsidRDefault="00EC184C" w:rsidP="00EC184C">
      <w:pPr>
        <w:pStyle w:val="DOR"/>
        <w:numPr>
          <w:ilvl w:val="0"/>
          <w:numId w:val="13"/>
        </w:numPr>
        <w:rPr>
          <w:sz w:val="24"/>
          <w:szCs w:val="24"/>
        </w:rPr>
      </w:pPr>
      <w:r w:rsidRPr="00E10713">
        <w:rPr>
          <w:sz w:val="24"/>
          <w:szCs w:val="24"/>
        </w:rPr>
        <w:t>Office clerks, general: $11,917</w:t>
      </w:r>
    </w:p>
    <w:p w14:paraId="7F8B686C" w14:textId="77777777" w:rsidR="00EC184C" w:rsidRPr="00E10713" w:rsidRDefault="00EC184C" w:rsidP="00EC184C">
      <w:pPr>
        <w:pStyle w:val="DOR"/>
        <w:numPr>
          <w:ilvl w:val="0"/>
          <w:numId w:val="13"/>
        </w:numPr>
        <w:rPr>
          <w:sz w:val="24"/>
          <w:szCs w:val="24"/>
        </w:rPr>
      </w:pPr>
      <w:r w:rsidRPr="00E10713">
        <w:rPr>
          <w:sz w:val="24"/>
          <w:szCs w:val="24"/>
        </w:rPr>
        <w:t>Customer service representatives: $9,003</w:t>
      </w:r>
    </w:p>
    <w:p w14:paraId="22320394" w14:textId="77777777" w:rsidR="00EC184C" w:rsidRPr="00E10713" w:rsidRDefault="00EC184C" w:rsidP="00EC184C">
      <w:pPr>
        <w:pStyle w:val="DOR"/>
        <w:numPr>
          <w:ilvl w:val="0"/>
          <w:numId w:val="13"/>
        </w:numPr>
        <w:rPr>
          <w:sz w:val="24"/>
          <w:szCs w:val="24"/>
        </w:rPr>
      </w:pPr>
      <w:r w:rsidRPr="00E10713">
        <w:rPr>
          <w:sz w:val="24"/>
          <w:szCs w:val="24"/>
        </w:rPr>
        <w:t>Helpers-production workers: $9,376</w:t>
      </w:r>
    </w:p>
    <w:p w14:paraId="73C0007B" w14:textId="77777777" w:rsidR="00EC184C" w:rsidRPr="00E10713" w:rsidRDefault="00EC184C" w:rsidP="00EC184C">
      <w:pPr>
        <w:pStyle w:val="DOR"/>
        <w:numPr>
          <w:ilvl w:val="0"/>
          <w:numId w:val="13"/>
        </w:numPr>
        <w:rPr>
          <w:sz w:val="24"/>
          <w:szCs w:val="24"/>
        </w:rPr>
      </w:pPr>
      <w:r w:rsidRPr="00E10713">
        <w:rPr>
          <w:sz w:val="24"/>
          <w:szCs w:val="24"/>
        </w:rPr>
        <w:t>Stockers and order fillers: $8,043</w:t>
      </w:r>
    </w:p>
    <w:p w14:paraId="27DF65F9" w14:textId="77777777" w:rsidR="00EC184C" w:rsidRPr="00E10713" w:rsidRDefault="00EC184C" w:rsidP="00EC184C">
      <w:pPr>
        <w:pStyle w:val="DOR"/>
        <w:numPr>
          <w:ilvl w:val="0"/>
          <w:numId w:val="13"/>
        </w:numPr>
        <w:rPr>
          <w:sz w:val="24"/>
          <w:szCs w:val="24"/>
        </w:rPr>
      </w:pPr>
      <w:r w:rsidRPr="00E10713">
        <w:rPr>
          <w:sz w:val="24"/>
          <w:szCs w:val="24"/>
        </w:rPr>
        <w:t>Social and human service assistants: $12,745</w:t>
      </w:r>
    </w:p>
    <w:p w14:paraId="4057BB87" w14:textId="77777777" w:rsidR="00EC184C" w:rsidRPr="00E10713" w:rsidRDefault="00EC184C" w:rsidP="00EC184C">
      <w:pPr>
        <w:pStyle w:val="DOR"/>
        <w:numPr>
          <w:ilvl w:val="0"/>
          <w:numId w:val="13"/>
        </w:numPr>
        <w:rPr>
          <w:sz w:val="24"/>
          <w:szCs w:val="24"/>
        </w:rPr>
      </w:pPr>
      <w:r w:rsidRPr="00E10713">
        <w:rPr>
          <w:sz w:val="24"/>
          <w:szCs w:val="24"/>
        </w:rPr>
        <w:t>Firefighters: $22,554</w:t>
      </w:r>
    </w:p>
    <w:p w14:paraId="00C1FB1F" w14:textId="77777777" w:rsidR="00EC184C" w:rsidRPr="00E10713" w:rsidRDefault="00EC184C" w:rsidP="00EC184C">
      <w:pPr>
        <w:pStyle w:val="DOR"/>
        <w:numPr>
          <w:ilvl w:val="0"/>
          <w:numId w:val="13"/>
        </w:numPr>
        <w:rPr>
          <w:sz w:val="24"/>
          <w:szCs w:val="24"/>
        </w:rPr>
      </w:pPr>
      <w:r w:rsidRPr="00E10713">
        <w:rPr>
          <w:sz w:val="24"/>
          <w:szCs w:val="24"/>
        </w:rPr>
        <w:t>Rehabilitation counselors: $14,499</w:t>
      </w:r>
    </w:p>
    <w:p w14:paraId="2CCB75E8" w14:textId="77777777" w:rsidR="00EC184C" w:rsidRPr="00E10713" w:rsidRDefault="00EC184C" w:rsidP="00EC184C">
      <w:pPr>
        <w:pStyle w:val="DOR"/>
        <w:numPr>
          <w:ilvl w:val="0"/>
          <w:numId w:val="13"/>
        </w:numPr>
        <w:rPr>
          <w:sz w:val="24"/>
          <w:szCs w:val="24"/>
        </w:rPr>
      </w:pPr>
      <w:r w:rsidRPr="00E10713">
        <w:rPr>
          <w:sz w:val="24"/>
          <w:szCs w:val="24"/>
        </w:rPr>
        <w:t>Janitors and cleaners; $8,884</w:t>
      </w:r>
    </w:p>
    <w:p w14:paraId="14770E1E" w14:textId="77777777" w:rsidR="00EC184C" w:rsidRPr="00E10713" w:rsidRDefault="00EC184C" w:rsidP="00EC184C">
      <w:pPr>
        <w:pStyle w:val="DOR"/>
        <w:numPr>
          <w:ilvl w:val="0"/>
          <w:numId w:val="13"/>
        </w:numPr>
        <w:rPr>
          <w:sz w:val="24"/>
          <w:szCs w:val="24"/>
        </w:rPr>
      </w:pPr>
      <w:r w:rsidRPr="00E10713">
        <w:rPr>
          <w:sz w:val="24"/>
          <w:szCs w:val="24"/>
        </w:rPr>
        <w:t>Helpers-construction traders/roofers: $10,976</w:t>
      </w:r>
    </w:p>
    <w:p w14:paraId="366542CB" w14:textId="77777777" w:rsidR="00EC184C" w:rsidRPr="00E10713" w:rsidRDefault="00EC184C" w:rsidP="00EC184C">
      <w:pPr>
        <w:pStyle w:val="DOR"/>
        <w:rPr>
          <w:sz w:val="24"/>
          <w:szCs w:val="24"/>
        </w:rPr>
      </w:pPr>
      <w:r w:rsidRPr="00E10713">
        <w:rPr>
          <w:sz w:val="24"/>
          <w:szCs w:val="24"/>
        </w:rPr>
        <w:br/>
        <w:t>Slide 12: Average Wages After Exit by Age, 2023-24</w:t>
      </w:r>
    </w:p>
    <w:p w14:paraId="65C0362E" w14:textId="77777777" w:rsidR="00EC184C" w:rsidRPr="00E10713" w:rsidRDefault="00EC184C" w:rsidP="00EC184C">
      <w:pPr>
        <w:pStyle w:val="DOR"/>
        <w:numPr>
          <w:ilvl w:val="0"/>
          <w:numId w:val="14"/>
        </w:numPr>
        <w:rPr>
          <w:sz w:val="24"/>
          <w:szCs w:val="24"/>
        </w:rPr>
      </w:pPr>
      <w:r w:rsidRPr="00E10713">
        <w:rPr>
          <w:sz w:val="24"/>
          <w:szCs w:val="24"/>
        </w:rPr>
        <w:t>&lt;16: $5,330</w:t>
      </w:r>
    </w:p>
    <w:p w14:paraId="19EB6F5C" w14:textId="77777777" w:rsidR="00EC184C" w:rsidRPr="00E10713" w:rsidRDefault="00EC184C" w:rsidP="00EC184C">
      <w:pPr>
        <w:pStyle w:val="DOR"/>
        <w:numPr>
          <w:ilvl w:val="0"/>
          <w:numId w:val="14"/>
        </w:numPr>
        <w:rPr>
          <w:sz w:val="24"/>
          <w:szCs w:val="24"/>
        </w:rPr>
      </w:pPr>
      <w:r w:rsidRPr="00E10713">
        <w:rPr>
          <w:sz w:val="24"/>
          <w:szCs w:val="24"/>
        </w:rPr>
        <w:t>16 – 18: $5,922</w:t>
      </w:r>
    </w:p>
    <w:p w14:paraId="781BDE6E" w14:textId="77777777" w:rsidR="00EC184C" w:rsidRPr="00E10713" w:rsidRDefault="00EC184C" w:rsidP="00EC184C">
      <w:pPr>
        <w:pStyle w:val="DOR"/>
        <w:numPr>
          <w:ilvl w:val="0"/>
          <w:numId w:val="14"/>
        </w:numPr>
        <w:rPr>
          <w:sz w:val="24"/>
          <w:szCs w:val="24"/>
        </w:rPr>
      </w:pPr>
      <w:r w:rsidRPr="00E10713">
        <w:rPr>
          <w:sz w:val="24"/>
          <w:szCs w:val="24"/>
        </w:rPr>
        <w:t>19 – 24: $5,774</w:t>
      </w:r>
    </w:p>
    <w:p w14:paraId="60312323" w14:textId="77777777" w:rsidR="00EC184C" w:rsidRPr="00E10713" w:rsidRDefault="00EC184C" w:rsidP="00EC184C">
      <w:pPr>
        <w:pStyle w:val="DOR"/>
        <w:numPr>
          <w:ilvl w:val="0"/>
          <w:numId w:val="14"/>
        </w:numPr>
        <w:rPr>
          <w:sz w:val="24"/>
          <w:szCs w:val="24"/>
        </w:rPr>
      </w:pPr>
      <w:r w:rsidRPr="00E10713">
        <w:rPr>
          <w:sz w:val="24"/>
          <w:szCs w:val="24"/>
        </w:rPr>
        <w:t>25 – 44: $8,058</w:t>
      </w:r>
    </w:p>
    <w:p w14:paraId="581DD53F" w14:textId="77777777" w:rsidR="00EC184C" w:rsidRPr="00E10713" w:rsidRDefault="00EC184C" w:rsidP="00EC184C">
      <w:pPr>
        <w:pStyle w:val="DOR"/>
        <w:numPr>
          <w:ilvl w:val="0"/>
          <w:numId w:val="14"/>
        </w:numPr>
        <w:rPr>
          <w:sz w:val="24"/>
          <w:szCs w:val="24"/>
        </w:rPr>
      </w:pPr>
      <w:r w:rsidRPr="00E10713">
        <w:rPr>
          <w:sz w:val="24"/>
          <w:szCs w:val="24"/>
        </w:rPr>
        <w:t>45 – 54: $8,546</w:t>
      </w:r>
    </w:p>
    <w:p w14:paraId="0B8AC26F" w14:textId="77777777" w:rsidR="00EC184C" w:rsidRPr="00E10713" w:rsidRDefault="00EC184C" w:rsidP="00EC184C">
      <w:pPr>
        <w:pStyle w:val="DOR"/>
        <w:numPr>
          <w:ilvl w:val="0"/>
          <w:numId w:val="14"/>
        </w:numPr>
        <w:rPr>
          <w:sz w:val="24"/>
          <w:szCs w:val="24"/>
        </w:rPr>
      </w:pPr>
      <w:r w:rsidRPr="00E10713">
        <w:rPr>
          <w:sz w:val="24"/>
          <w:szCs w:val="24"/>
        </w:rPr>
        <w:t>55 – 59: $7,302</w:t>
      </w:r>
    </w:p>
    <w:p w14:paraId="6551C90E" w14:textId="77777777" w:rsidR="00EC184C" w:rsidRPr="00E10713" w:rsidRDefault="00EC184C" w:rsidP="00EC184C">
      <w:pPr>
        <w:pStyle w:val="DOR"/>
        <w:numPr>
          <w:ilvl w:val="0"/>
          <w:numId w:val="14"/>
        </w:numPr>
        <w:rPr>
          <w:sz w:val="24"/>
          <w:szCs w:val="24"/>
        </w:rPr>
      </w:pPr>
      <w:r w:rsidRPr="00E10713">
        <w:rPr>
          <w:sz w:val="24"/>
          <w:szCs w:val="24"/>
        </w:rPr>
        <w:t>60+: $7,124</w:t>
      </w:r>
    </w:p>
    <w:p w14:paraId="307BA45B" w14:textId="77777777" w:rsidR="00EC184C" w:rsidRDefault="00EC184C" w:rsidP="00EC184C">
      <w:pPr>
        <w:pStyle w:val="DOR"/>
        <w:rPr>
          <w:sz w:val="24"/>
          <w:szCs w:val="24"/>
        </w:rPr>
      </w:pPr>
    </w:p>
    <w:p w14:paraId="7BA8D5DD" w14:textId="77777777" w:rsidR="00EC184C" w:rsidRPr="00E10713" w:rsidRDefault="00EC184C" w:rsidP="00EC184C">
      <w:pPr>
        <w:pStyle w:val="DOR"/>
        <w:rPr>
          <w:sz w:val="24"/>
          <w:szCs w:val="24"/>
        </w:rPr>
      </w:pPr>
      <w:r w:rsidRPr="00E10713">
        <w:rPr>
          <w:sz w:val="24"/>
          <w:szCs w:val="24"/>
        </w:rPr>
        <w:t>Slide 13: Average Wages After Exit by Race/Ethnicity, 2023-24</w:t>
      </w:r>
    </w:p>
    <w:p w14:paraId="17218389" w14:textId="77777777" w:rsidR="00EC184C" w:rsidRPr="00E10713" w:rsidRDefault="00EC184C" w:rsidP="00EC184C">
      <w:pPr>
        <w:pStyle w:val="DOR"/>
        <w:numPr>
          <w:ilvl w:val="0"/>
          <w:numId w:val="15"/>
        </w:numPr>
        <w:rPr>
          <w:sz w:val="24"/>
          <w:szCs w:val="24"/>
        </w:rPr>
      </w:pPr>
      <w:r w:rsidRPr="00E10713">
        <w:rPr>
          <w:sz w:val="24"/>
          <w:szCs w:val="24"/>
        </w:rPr>
        <w:t>American Indian/Alaska Native: $7,453</w:t>
      </w:r>
    </w:p>
    <w:p w14:paraId="7BBFE92C" w14:textId="77777777" w:rsidR="00EC184C" w:rsidRPr="00E10713" w:rsidRDefault="00EC184C" w:rsidP="00EC184C">
      <w:pPr>
        <w:pStyle w:val="DOR"/>
        <w:numPr>
          <w:ilvl w:val="0"/>
          <w:numId w:val="15"/>
        </w:numPr>
        <w:rPr>
          <w:sz w:val="24"/>
          <w:szCs w:val="24"/>
        </w:rPr>
      </w:pPr>
      <w:r w:rsidRPr="00E10713">
        <w:rPr>
          <w:sz w:val="24"/>
          <w:szCs w:val="24"/>
        </w:rPr>
        <w:t>Asian: $7,307</w:t>
      </w:r>
    </w:p>
    <w:p w14:paraId="0C6124FD" w14:textId="77777777" w:rsidR="00EC184C" w:rsidRPr="00E10713" w:rsidRDefault="00EC184C" w:rsidP="00EC184C">
      <w:pPr>
        <w:pStyle w:val="DOR"/>
        <w:numPr>
          <w:ilvl w:val="0"/>
          <w:numId w:val="15"/>
        </w:numPr>
        <w:rPr>
          <w:sz w:val="24"/>
          <w:szCs w:val="24"/>
        </w:rPr>
      </w:pPr>
      <w:r w:rsidRPr="00E10713">
        <w:rPr>
          <w:sz w:val="24"/>
          <w:szCs w:val="24"/>
        </w:rPr>
        <w:t>Black/African American: $6,790</w:t>
      </w:r>
    </w:p>
    <w:p w14:paraId="05D4B5E3" w14:textId="77777777" w:rsidR="00EC184C" w:rsidRPr="00E10713" w:rsidRDefault="00EC184C" w:rsidP="00EC184C">
      <w:pPr>
        <w:pStyle w:val="DOR"/>
        <w:numPr>
          <w:ilvl w:val="0"/>
          <w:numId w:val="15"/>
        </w:numPr>
        <w:rPr>
          <w:sz w:val="24"/>
          <w:szCs w:val="24"/>
        </w:rPr>
      </w:pPr>
      <w:r w:rsidRPr="00E10713">
        <w:rPr>
          <w:sz w:val="24"/>
          <w:szCs w:val="24"/>
        </w:rPr>
        <w:t>Hispanic/Latino: $7,227</w:t>
      </w:r>
    </w:p>
    <w:p w14:paraId="4C526CE0" w14:textId="77777777" w:rsidR="00EC184C" w:rsidRPr="00E10713" w:rsidRDefault="00EC184C" w:rsidP="00EC184C">
      <w:pPr>
        <w:pStyle w:val="DOR"/>
        <w:numPr>
          <w:ilvl w:val="0"/>
          <w:numId w:val="15"/>
        </w:numPr>
        <w:rPr>
          <w:sz w:val="24"/>
          <w:szCs w:val="24"/>
        </w:rPr>
      </w:pPr>
      <w:r w:rsidRPr="00E10713">
        <w:rPr>
          <w:sz w:val="24"/>
          <w:szCs w:val="24"/>
        </w:rPr>
        <w:t>Native Hawaiian/Pacific Islander: $8,968</w:t>
      </w:r>
    </w:p>
    <w:p w14:paraId="1127BC0C" w14:textId="77777777" w:rsidR="00EC184C" w:rsidRPr="00E10713" w:rsidRDefault="00EC184C" w:rsidP="00EC184C">
      <w:pPr>
        <w:pStyle w:val="DOR"/>
        <w:numPr>
          <w:ilvl w:val="0"/>
          <w:numId w:val="15"/>
        </w:numPr>
        <w:rPr>
          <w:sz w:val="24"/>
          <w:szCs w:val="24"/>
        </w:rPr>
      </w:pPr>
      <w:r w:rsidRPr="00E10713">
        <w:rPr>
          <w:sz w:val="24"/>
          <w:szCs w:val="24"/>
        </w:rPr>
        <w:t>White: $6,973</w:t>
      </w:r>
    </w:p>
    <w:p w14:paraId="3C65D6B3" w14:textId="77777777" w:rsidR="00EC184C" w:rsidRPr="00E10713" w:rsidRDefault="00EC184C" w:rsidP="00EC184C">
      <w:pPr>
        <w:pStyle w:val="DOR"/>
        <w:numPr>
          <w:ilvl w:val="0"/>
          <w:numId w:val="15"/>
        </w:numPr>
        <w:rPr>
          <w:sz w:val="24"/>
          <w:szCs w:val="24"/>
        </w:rPr>
      </w:pPr>
      <w:r w:rsidRPr="00E10713">
        <w:rPr>
          <w:sz w:val="24"/>
          <w:szCs w:val="24"/>
        </w:rPr>
        <w:t>More than one race: $6,326</w:t>
      </w:r>
    </w:p>
    <w:p w14:paraId="29EA6FAA" w14:textId="77777777" w:rsidR="00EC184C" w:rsidRPr="00E10713" w:rsidRDefault="00EC184C" w:rsidP="00EC184C">
      <w:pPr>
        <w:pStyle w:val="DOR"/>
        <w:rPr>
          <w:sz w:val="24"/>
          <w:szCs w:val="24"/>
        </w:rPr>
      </w:pPr>
    </w:p>
    <w:p w14:paraId="21CA900C" w14:textId="77777777" w:rsidR="00EC184C" w:rsidRPr="00E10713" w:rsidRDefault="00EC184C" w:rsidP="00EC184C">
      <w:pPr>
        <w:pStyle w:val="DOR"/>
        <w:rPr>
          <w:sz w:val="24"/>
          <w:szCs w:val="24"/>
        </w:rPr>
      </w:pPr>
      <w:r w:rsidRPr="00E10713">
        <w:rPr>
          <w:sz w:val="24"/>
          <w:szCs w:val="24"/>
        </w:rPr>
        <w:t>Slide 14: Average Wages After Exit by Barrier, 2023-24</w:t>
      </w:r>
    </w:p>
    <w:p w14:paraId="7304D42E" w14:textId="758DB983" w:rsidR="00EC184C" w:rsidRPr="00E10713" w:rsidRDefault="00EC184C" w:rsidP="00EC184C">
      <w:pPr>
        <w:pStyle w:val="DOR"/>
        <w:numPr>
          <w:ilvl w:val="0"/>
          <w:numId w:val="16"/>
        </w:numPr>
        <w:rPr>
          <w:sz w:val="24"/>
          <w:szCs w:val="24"/>
        </w:rPr>
      </w:pPr>
      <w:r w:rsidRPr="00E10713">
        <w:rPr>
          <w:sz w:val="24"/>
          <w:szCs w:val="24"/>
        </w:rPr>
        <w:t xml:space="preserve">$7,391: </w:t>
      </w:r>
      <w:r>
        <w:rPr>
          <w:sz w:val="24"/>
          <w:szCs w:val="24"/>
        </w:rPr>
        <w:t>D</w:t>
      </w:r>
      <w:r w:rsidRPr="00E10713">
        <w:rPr>
          <w:sz w:val="24"/>
          <w:szCs w:val="24"/>
        </w:rPr>
        <w:t>isplaced homemakers</w:t>
      </w:r>
    </w:p>
    <w:p w14:paraId="1B4CCEEA" w14:textId="77777777" w:rsidR="00EC184C" w:rsidRPr="00E10713" w:rsidRDefault="00EC184C" w:rsidP="00EC184C">
      <w:pPr>
        <w:pStyle w:val="DOR"/>
        <w:numPr>
          <w:ilvl w:val="0"/>
          <w:numId w:val="16"/>
        </w:numPr>
        <w:rPr>
          <w:sz w:val="24"/>
          <w:szCs w:val="24"/>
        </w:rPr>
      </w:pPr>
      <w:r w:rsidRPr="00E10713">
        <w:rPr>
          <w:sz w:val="24"/>
          <w:szCs w:val="24"/>
        </w:rPr>
        <w:t>$6,241: English language learners</w:t>
      </w:r>
    </w:p>
    <w:p w14:paraId="6CAAB78E" w14:textId="77777777" w:rsidR="00EC184C" w:rsidRPr="00E10713" w:rsidRDefault="00EC184C" w:rsidP="00EC184C">
      <w:pPr>
        <w:pStyle w:val="DOR"/>
        <w:numPr>
          <w:ilvl w:val="0"/>
          <w:numId w:val="16"/>
        </w:numPr>
        <w:rPr>
          <w:sz w:val="24"/>
          <w:szCs w:val="24"/>
        </w:rPr>
      </w:pPr>
      <w:r w:rsidRPr="00E10713">
        <w:rPr>
          <w:sz w:val="24"/>
          <w:szCs w:val="24"/>
        </w:rPr>
        <w:t>$7,756: Exhausting TANF within 2 years</w:t>
      </w:r>
    </w:p>
    <w:p w14:paraId="6C50A68A" w14:textId="77777777" w:rsidR="00EC184C" w:rsidRPr="00E10713" w:rsidRDefault="00EC184C" w:rsidP="00EC184C">
      <w:pPr>
        <w:pStyle w:val="DOR"/>
        <w:numPr>
          <w:ilvl w:val="0"/>
          <w:numId w:val="16"/>
        </w:numPr>
        <w:rPr>
          <w:sz w:val="24"/>
          <w:szCs w:val="24"/>
        </w:rPr>
      </w:pPr>
      <w:r w:rsidRPr="00E10713">
        <w:rPr>
          <w:sz w:val="24"/>
          <w:szCs w:val="24"/>
        </w:rPr>
        <w:t xml:space="preserve">$8,533: Justice involved </w:t>
      </w:r>
    </w:p>
    <w:p w14:paraId="6D11E1F5" w14:textId="77777777" w:rsidR="00EC184C" w:rsidRPr="00E10713" w:rsidRDefault="00EC184C" w:rsidP="00EC184C">
      <w:pPr>
        <w:pStyle w:val="DOR"/>
        <w:numPr>
          <w:ilvl w:val="0"/>
          <w:numId w:val="16"/>
        </w:numPr>
        <w:rPr>
          <w:sz w:val="24"/>
          <w:szCs w:val="24"/>
        </w:rPr>
      </w:pPr>
      <w:r w:rsidRPr="00E10713">
        <w:rPr>
          <w:sz w:val="24"/>
          <w:szCs w:val="24"/>
        </w:rPr>
        <w:t>$7,815: Unhoused/runaway youth</w:t>
      </w:r>
    </w:p>
    <w:p w14:paraId="62166E83" w14:textId="77777777" w:rsidR="00EC184C" w:rsidRPr="00E10713" w:rsidRDefault="00EC184C" w:rsidP="00EC184C">
      <w:pPr>
        <w:pStyle w:val="DOR"/>
        <w:numPr>
          <w:ilvl w:val="0"/>
          <w:numId w:val="16"/>
        </w:numPr>
        <w:rPr>
          <w:sz w:val="24"/>
          <w:szCs w:val="24"/>
        </w:rPr>
      </w:pPr>
      <w:r w:rsidRPr="00E10713">
        <w:rPr>
          <w:sz w:val="24"/>
          <w:szCs w:val="24"/>
        </w:rPr>
        <w:t xml:space="preserve">$6,576: Long-term unemployed </w:t>
      </w:r>
    </w:p>
    <w:p w14:paraId="119A70D5" w14:textId="77777777" w:rsidR="00EC184C" w:rsidRPr="00E10713" w:rsidRDefault="00EC184C" w:rsidP="00EC184C">
      <w:pPr>
        <w:pStyle w:val="DOR"/>
        <w:numPr>
          <w:ilvl w:val="0"/>
          <w:numId w:val="16"/>
        </w:numPr>
        <w:rPr>
          <w:sz w:val="24"/>
          <w:szCs w:val="24"/>
        </w:rPr>
      </w:pPr>
      <w:r w:rsidRPr="00E10713">
        <w:rPr>
          <w:sz w:val="24"/>
          <w:szCs w:val="24"/>
        </w:rPr>
        <w:t>$5,632: Foster youth</w:t>
      </w:r>
    </w:p>
    <w:p w14:paraId="6CE75BAA" w14:textId="77777777" w:rsidR="00EC184C" w:rsidRPr="00E10713" w:rsidRDefault="00EC184C" w:rsidP="00EC184C">
      <w:pPr>
        <w:pStyle w:val="DOR"/>
        <w:rPr>
          <w:sz w:val="24"/>
          <w:szCs w:val="24"/>
        </w:rPr>
      </w:pPr>
    </w:p>
    <w:p w14:paraId="02B4831F" w14:textId="77777777" w:rsidR="00EC184C" w:rsidRPr="00E10713" w:rsidRDefault="00EC184C" w:rsidP="00EC184C">
      <w:pPr>
        <w:pStyle w:val="DOR"/>
        <w:rPr>
          <w:sz w:val="24"/>
          <w:szCs w:val="24"/>
        </w:rPr>
      </w:pPr>
      <w:r w:rsidRPr="00E10713">
        <w:rPr>
          <w:sz w:val="24"/>
          <w:szCs w:val="24"/>
        </w:rPr>
        <w:t>Slide 15: Contact</w:t>
      </w:r>
    </w:p>
    <w:p w14:paraId="6216E133" w14:textId="77777777" w:rsidR="00EC184C" w:rsidRPr="00E10713" w:rsidRDefault="00EC184C" w:rsidP="00EC184C">
      <w:pPr>
        <w:pStyle w:val="DOR"/>
        <w:rPr>
          <w:sz w:val="24"/>
          <w:szCs w:val="24"/>
        </w:rPr>
      </w:pPr>
      <w:r w:rsidRPr="00E10713">
        <w:rPr>
          <w:sz w:val="24"/>
          <w:szCs w:val="24"/>
        </w:rPr>
        <w:t xml:space="preserve">Performance Team </w:t>
      </w:r>
    </w:p>
    <w:p w14:paraId="467C297C" w14:textId="26BFFA1D" w:rsidR="00EC184C" w:rsidRPr="00E10713" w:rsidRDefault="00EC184C" w:rsidP="00EC184C">
      <w:pPr>
        <w:pStyle w:val="DOR"/>
        <w:rPr>
          <w:sz w:val="24"/>
          <w:szCs w:val="24"/>
        </w:rPr>
      </w:pPr>
      <w:r w:rsidRPr="00E10713">
        <w:rPr>
          <w:sz w:val="24"/>
          <w:szCs w:val="24"/>
        </w:rPr>
        <w:t xml:space="preserve">Peter Frangel </w:t>
      </w:r>
      <w:r>
        <w:rPr>
          <w:sz w:val="24"/>
          <w:szCs w:val="24"/>
        </w:rPr>
        <w:t>–</w:t>
      </w:r>
      <w:r w:rsidRPr="00E10713">
        <w:rPr>
          <w:sz w:val="24"/>
          <w:szCs w:val="24"/>
        </w:rPr>
        <w:t xml:space="preserve"> Manager</w:t>
      </w:r>
      <w:r>
        <w:rPr>
          <w:sz w:val="24"/>
          <w:szCs w:val="24"/>
        </w:rPr>
        <w:t xml:space="preserve">, </w:t>
      </w:r>
      <w:r w:rsidRPr="00E10713">
        <w:rPr>
          <w:sz w:val="24"/>
          <w:szCs w:val="24"/>
        </w:rPr>
        <w:t>Peter.Frangel@dor.ca.gov</w:t>
      </w:r>
    </w:p>
    <w:p w14:paraId="3630D9D9" w14:textId="59F8DFEE" w:rsidR="00EC184C" w:rsidRPr="00E10713" w:rsidRDefault="00EC184C" w:rsidP="00EC184C">
      <w:pPr>
        <w:pStyle w:val="DOR"/>
        <w:rPr>
          <w:sz w:val="24"/>
          <w:szCs w:val="24"/>
        </w:rPr>
      </w:pPr>
      <w:r w:rsidRPr="00E10713">
        <w:rPr>
          <w:sz w:val="24"/>
          <w:szCs w:val="24"/>
        </w:rPr>
        <w:t xml:space="preserve">Antoinette deBoisblanc </w:t>
      </w:r>
      <w:r>
        <w:rPr>
          <w:sz w:val="24"/>
          <w:szCs w:val="24"/>
        </w:rPr>
        <w:t>–</w:t>
      </w:r>
      <w:r w:rsidRPr="00E10713">
        <w:rPr>
          <w:sz w:val="24"/>
          <w:szCs w:val="24"/>
        </w:rPr>
        <w:t xml:space="preserve"> Analyst</w:t>
      </w:r>
      <w:r>
        <w:rPr>
          <w:sz w:val="24"/>
          <w:szCs w:val="24"/>
        </w:rPr>
        <w:t xml:space="preserve">, </w:t>
      </w:r>
      <w:r w:rsidRPr="00E10713">
        <w:rPr>
          <w:sz w:val="24"/>
          <w:szCs w:val="24"/>
        </w:rPr>
        <w:t>Antoinette.DeBoisblanc@dor.ca.gov</w:t>
      </w:r>
    </w:p>
    <w:p w14:paraId="0B222D61" w14:textId="77777777" w:rsidR="00EC184C" w:rsidRPr="00E10713" w:rsidRDefault="00EC184C" w:rsidP="00EC184C">
      <w:pPr>
        <w:pStyle w:val="DOR"/>
        <w:rPr>
          <w:sz w:val="24"/>
          <w:szCs w:val="24"/>
        </w:rPr>
      </w:pPr>
    </w:p>
    <w:p w14:paraId="48B5A5DC" w14:textId="77777777" w:rsidR="00EC184C" w:rsidRPr="00EC184C" w:rsidRDefault="00EC184C" w:rsidP="00EC184C">
      <w:pPr>
        <w:pStyle w:val="DOR"/>
        <w:rPr>
          <w:sz w:val="24"/>
          <w:szCs w:val="24"/>
        </w:rPr>
      </w:pPr>
    </w:p>
    <w:p w14:paraId="5FAC5062" w14:textId="77777777" w:rsidR="00EC184C" w:rsidRPr="00AE6C4E" w:rsidRDefault="00EC184C" w:rsidP="00AE6C4E">
      <w:pPr>
        <w:pStyle w:val="DOR"/>
        <w:rPr>
          <w:sz w:val="24"/>
          <w:szCs w:val="24"/>
        </w:rPr>
      </w:pPr>
    </w:p>
    <w:sectPr w:rsidR="00EC184C" w:rsidRPr="00AE6C4E" w:rsidSect="00F84561">
      <w:footerReference w:type="default" r:id="rId7"/>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B5C928" w14:textId="77777777" w:rsidR="00EC184C" w:rsidRDefault="00EC184C" w:rsidP="00EC184C">
      <w:pPr>
        <w:spacing w:after="0" w:line="240" w:lineRule="auto"/>
      </w:pPr>
      <w:r>
        <w:separator/>
      </w:r>
    </w:p>
  </w:endnote>
  <w:endnote w:type="continuationSeparator" w:id="0">
    <w:p w14:paraId="2A97FE4A" w14:textId="77777777" w:rsidR="00EC184C" w:rsidRDefault="00EC184C" w:rsidP="00EC18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E4F119" w14:textId="4F80420C" w:rsidR="00EC184C" w:rsidRPr="00EC184C" w:rsidRDefault="003025EF">
    <w:pPr>
      <w:pStyle w:val="Footer"/>
      <w:jc w:val="right"/>
      <w:rPr>
        <w:rFonts w:ascii="Arial" w:hAnsi="Arial" w:cs="Arial"/>
      </w:rPr>
    </w:pPr>
    <w:r>
      <w:rPr>
        <w:rFonts w:ascii="Arial" w:hAnsi="Arial" w:cs="Arial"/>
      </w:rPr>
      <w:tab/>
    </w:r>
    <w:r>
      <w:rPr>
        <w:rFonts w:ascii="Arial" w:hAnsi="Arial" w:cs="Arial"/>
      </w:rPr>
      <w:tab/>
    </w:r>
    <w:r w:rsidR="00EC184C" w:rsidRPr="00EC184C">
      <w:rPr>
        <w:rFonts w:ascii="Arial" w:hAnsi="Arial" w:cs="Arial"/>
      </w:rPr>
      <w:t xml:space="preserve">Page </w:t>
    </w:r>
    <w:sdt>
      <w:sdtPr>
        <w:rPr>
          <w:rFonts w:ascii="Arial" w:hAnsi="Arial" w:cs="Arial"/>
        </w:rPr>
        <w:id w:val="-2021465484"/>
        <w:docPartObj>
          <w:docPartGallery w:val="Page Numbers (Bottom of Page)"/>
          <w:docPartUnique/>
        </w:docPartObj>
      </w:sdtPr>
      <w:sdtEndPr>
        <w:rPr>
          <w:noProof/>
        </w:rPr>
      </w:sdtEndPr>
      <w:sdtContent>
        <w:r w:rsidR="00EC184C" w:rsidRPr="00EC184C">
          <w:rPr>
            <w:rFonts w:ascii="Arial" w:hAnsi="Arial" w:cs="Arial"/>
          </w:rPr>
          <w:fldChar w:fldCharType="begin"/>
        </w:r>
        <w:r w:rsidR="00EC184C" w:rsidRPr="00EC184C">
          <w:rPr>
            <w:rFonts w:ascii="Arial" w:hAnsi="Arial" w:cs="Arial"/>
          </w:rPr>
          <w:instrText xml:space="preserve"> PAGE   \* MERGEFORMAT </w:instrText>
        </w:r>
        <w:r w:rsidR="00EC184C" w:rsidRPr="00EC184C">
          <w:rPr>
            <w:rFonts w:ascii="Arial" w:hAnsi="Arial" w:cs="Arial"/>
          </w:rPr>
          <w:fldChar w:fldCharType="separate"/>
        </w:r>
        <w:r w:rsidR="00EC184C" w:rsidRPr="00EC184C">
          <w:rPr>
            <w:rFonts w:ascii="Arial" w:hAnsi="Arial" w:cs="Arial"/>
            <w:noProof/>
          </w:rPr>
          <w:t>2</w:t>
        </w:r>
        <w:r w:rsidR="00EC184C" w:rsidRPr="00EC184C">
          <w:rPr>
            <w:rFonts w:ascii="Arial" w:hAnsi="Arial" w:cs="Arial"/>
            <w:noProof/>
          </w:rPr>
          <w:fldChar w:fldCharType="end"/>
        </w:r>
      </w:sdtContent>
    </w:sdt>
  </w:p>
  <w:p w14:paraId="607CB232" w14:textId="77777777" w:rsidR="00EC184C" w:rsidRPr="00EC184C" w:rsidRDefault="00EC184C">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8EE215" w14:textId="77777777" w:rsidR="00EC184C" w:rsidRDefault="00EC184C" w:rsidP="00EC184C">
      <w:pPr>
        <w:spacing w:after="0" w:line="240" w:lineRule="auto"/>
      </w:pPr>
      <w:r>
        <w:separator/>
      </w:r>
    </w:p>
  </w:footnote>
  <w:footnote w:type="continuationSeparator" w:id="0">
    <w:p w14:paraId="5397DCCE" w14:textId="77777777" w:rsidR="00EC184C" w:rsidRDefault="00EC184C" w:rsidP="00EC18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36565"/>
    <w:multiLevelType w:val="multilevel"/>
    <w:tmpl w:val="175A366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 w15:restartNumberingAfterBreak="0">
    <w:nsid w:val="053B5727"/>
    <w:multiLevelType w:val="multilevel"/>
    <w:tmpl w:val="175A36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D30030"/>
    <w:multiLevelType w:val="hybridMultilevel"/>
    <w:tmpl w:val="9CBC5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AC655F"/>
    <w:multiLevelType w:val="hybridMultilevel"/>
    <w:tmpl w:val="610C7A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067D47"/>
    <w:multiLevelType w:val="hybridMultilevel"/>
    <w:tmpl w:val="C6588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8602AD"/>
    <w:multiLevelType w:val="multilevel"/>
    <w:tmpl w:val="175A3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8A760C"/>
    <w:multiLevelType w:val="hybridMultilevel"/>
    <w:tmpl w:val="01520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EA19C4"/>
    <w:multiLevelType w:val="multilevel"/>
    <w:tmpl w:val="175A3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704549A"/>
    <w:multiLevelType w:val="multilevel"/>
    <w:tmpl w:val="BE0A2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BB54D88"/>
    <w:multiLevelType w:val="hybridMultilevel"/>
    <w:tmpl w:val="37B0B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A15CEF"/>
    <w:multiLevelType w:val="multilevel"/>
    <w:tmpl w:val="175A3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F3937EE"/>
    <w:multiLevelType w:val="multilevel"/>
    <w:tmpl w:val="175A3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95C237D"/>
    <w:multiLevelType w:val="hybridMultilevel"/>
    <w:tmpl w:val="684E190A"/>
    <w:lvl w:ilvl="0" w:tplc="0C6AA8B6">
      <w:start w:val="1"/>
      <w:numFmt w:val="bullet"/>
      <w:lvlText w:val="•"/>
      <w:lvlJc w:val="left"/>
      <w:pPr>
        <w:tabs>
          <w:tab w:val="num" w:pos="720"/>
        </w:tabs>
        <w:ind w:left="720" w:hanging="360"/>
      </w:pPr>
      <w:rPr>
        <w:rFonts w:ascii="Arial" w:hAnsi="Arial" w:hint="default"/>
      </w:rPr>
    </w:lvl>
    <w:lvl w:ilvl="1" w:tplc="ED8EE992">
      <w:start w:val="1"/>
      <w:numFmt w:val="bullet"/>
      <w:lvlText w:val="•"/>
      <w:lvlJc w:val="left"/>
      <w:pPr>
        <w:tabs>
          <w:tab w:val="num" w:pos="1440"/>
        </w:tabs>
        <w:ind w:left="1440" w:hanging="360"/>
      </w:pPr>
      <w:rPr>
        <w:rFonts w:ascii="Arial" w:hAnsi="Arial" w:hint="default"/>
      </w:rPr>
    </w:lvl>
    <w:lvl w:ilvl="2" w:tplc="1E38AC5C" w:tentative="1">
      <w:start w:val="1"/>
      <w:numFmt w:val="bullet"/>
      <w:lvlText w:val="•"/>
      <w:lvlJc w:val="left"/>
      <w:pPr>
        <w:tabs>
          <w:tab w:val="num" w:pos="2160"/>
        </w:tabs>
        <w:ind w:left="2160" w:hanging="360"/>
      </w:pPr>
      <w:rPr>
        <w:rFonts w:ascii="Arial" w:hAnsi="Arial" w:hint="default"/>
      </w:rPr>
    </w:lvl>
    <w:lvl w:ilvl="3" w:tplc="D9E22FD2" w:tentative="1">
      <w:start w:val="1"/>
      <w:numFmt w:val="bullet"/>
      <w:lvlText w:val="•"/>
      <w:lvlJc w:val="left"/>
      <w:pPr>
        <w:tabs>
          <w:tab w:val="num" w:pos="2880"/>
        </w:tabs>
        <w:ind w:left="2880" w:hanging="360"/>
      </w:pPr>
      <w:rPr>
        <w:rFonts w:ascii="Arial" w:hAnsi="Arial" w:hint="default"/>
      </w:rPr>
    </w:lvl>
    <w:lvl w:ilvl="4" w:tplc="DA8851BE" w:tentative="1">
      <w:start w:val="1"/>
      <w:numFmt w:val="bullet"/>
      <w:lvlText w:val="•"/>
      <w:lvlJc w:val="left"/>
      <w:pPr>
        <w:tabs>
          <w:tab w:val="num" w:pos="3600"/>
        </w:tabs>
        <w:ind w:left="3600" w:hanging="360"/>
      </w:pPr>
      <w:rPr>
        <w:rFonts w:ascii="Arial" w:hAnsi="Arial" w:hint="default"/>
      </w:rPr>
    </w:lvl>
    <w:lvl w:ilvl="5" w:tplc="5922C6B6" w:tentative="1">
      <w:start w:val="1"/>
      <w:numFmt w:val="bullet"/>
      <w:lvlText w:val="•"/>
      <w:lvlJc w:val="left"/>
      <w:pPr>
        <w:tabs>
          <w:tab w:val="num" w:pos="4320"/>
        </w:tabs>
        <w:ind w:left="4320" w:hanging="360"/>
      </w:pPr>
      <w:rPr>
        <w:rFonts w:ascii="Arial" w:hAnsi="Arial" w:hint="default"/>
      </w:rPr>
    </w:lvl>
    <w:lvl w:ilvl="6" w:tplc="DEFE47FA" w:tentative="1">
      <w:start w:val="1"/>
      <w:numFmt w:val="bullet"/>
      <w:lvlText w:val="•"/>
      <w:lvlJc w:val="left"/>
      <w:pPr>
        <w:tabs>
          <w:tab w:val="num" w:pos="5040"/>
        </w:tabs>
        <w:ind w:left="5040" w:hanging="360"/>
      </w:pPr>
      <w:rPr>
        <w:rFonts w:ascii="Arial" w:hAnsi="Arial" w:hint="default"/>
      </w:rPr>
    </w:lvl>
    <w:lvl w:ilvl="7" w:tplc="B9242E34" w:tentative="1">
      <w:start w:val="1"/>
      <w:numFmt w:val="bullet"/>
      <w:lvlText w:val="•"/>
      <w:lvlJc w:val="left"/>
      <w:pPr>
        <w:tabs>
          <w:tab w:val="num" w:pos="5760"/>
        </w:tabs>
        <w:ind w:left="5760" w:hanging="360"/>
      </w:pPr>
      <w:rPr>
        <w:rFonts w:ascii="Arial" w:hAnsi="Arial" w:hint="default"/>
      </w:rPr>
    </w:lvl>
    <w:lvl w:ilvl="8" w:tplc="D4D0E91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E4F041E"/>
    <w:multiLevelType w:val="multilevel"/>
    <w:tmpl w:val="175A3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EDD43D3"/>
    <w:multiLevelType w:val="multilevel"/>
    <w:tmpl w:val="71F2E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19762D6"/>
    <w:multiLevelType w:val="hybridMultilevel"/>
    <w:tmpl w:val="F6D85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642B9B"/>
    <w:multiLevelType w:val="hybridMultilevel"/>
    <w:tmpl w:val="04989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1E1275"/>
    <w:multiLevelType w:val="multilevel"/>
    <w:tmpl w:val="175A36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8C75AE6"/>
    <w:multiLevelType w:val="multilevel"/>
    <w:tmpl w:val="C4824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30B3505"/>
    <w:multiLevelType w:val="multilevel"/>
    <w:tmpl w:val="175A3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51031F5"/>
    <w:multiLevelType w:val="hybridMultilevel"/>
    <w:tmpl w:val="5FEE8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9E3406"/>
    <w:multiLevelType w:val="multilevel"/>
    <w:tmpl w:val="175A3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F733DF7"/>
    <w:multiLevelType w:val="hybridMultilevel"/>
    <w:tmpl w:val="E7544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2939566">
    <w:abstractNumId w:val="14"/>
  </w:num>
  <w:num w:numId="2" w16cid:durableId="497772466">
    <w:abstractNumId w:val="8"/>
  </w:num>
  <w:num w:numId="3" w16cid:durableId="703139182">
    <w:abstractNumId w:val="18"/>
  </w:num>
  <w:num w:numId="4" w16cid:durableId="2118399962">
    <w:abstractNumId w:val="12"/>
  </w:num>
  <w:num w:numId="5" w16cid:durableId="990791059">
    <w:abstractNumId w:val="17"/>
  </w:num>
  <w:num w:numId="6" w16cid:durableId="1102528503">
    <w:abstractNumId w:val="6"/>
  </w:num>
  <w:num w:numId="7" w16cid:durableId="284578453">
    <w:abstractNumId w:val="20"/>
  </w:num>
  <w:num w:numId="8" w16cid:durableId="1646397152">
    <w:abstractNumId w:val="0"/>
  </w:num>
  <w:num w:numId="9" w16cid:durableId="841817886">
    <w:abstractNumId w:val="1"/>
  </w:num>
  <w:num w:numId="10" w16cid:durableId="1394742835">
    <w:abstractNumId w:val="13"/>
  </w:num>
  <w:num w:numId="11" w16cid:durableId="702750175">
    <w:abstractNumId w:val="5"/>
  </w:num>
  <w:num w:numId="12" w16cid:durableId="953632410">
    <w:abstractNumId w:val="11"/>
  </w:num>
  <w:num w:numId="13" w16cid:durableId="2139105246">
    <w:abstractNumId w:val="7"/>
  </w:num>
  <w:num w:numId="14" w16cid:durableId="619916188">
    <w:abstractNumId w:val="10"/>
  </w:num>
  <w:num w:numId="15" w16cid:durableId="134492172">
    <w:abstractNumId w:val="21"/>
  </w:num>
  <w:num w:numId="16" w16cid:durableId="1430200731">
    <w:abstractNumId w:val="19"/>
  </w:num>
  <w:num w:numId="17" w16cid:durableId="2019652379">
    <w:abstractNumId w:val="4"/>
  </w:num>
  <w:num w:numId="18" w16cid:durableId="937786549">
    <w:abstractNumId w:val="2"/>
  </w:num>
  <w:num w:numId="19" w16cid:durableId="1469515132">
    <w:abstractNumId w:val="3"/>
  </w:num>
  <w:num w:numId="20" w16cid:durableId="8142493">
    <w:abstractNumId w:val="9"/>
  </w:num>
  <w:num w:numId="21" w16cid:durableId="311637917">
    <w:abstractNumId w:val="15"/>
  </w:num>
  <w:num w:numId="22" w16cid:durableId="771587325">
    <w:abstractNumId w:val="16"/>
  </w:num>
  <w:num w:numId="23" w16cid:durableId="11837771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323"/>
    <w:rsid w:val="0014580C"/>
    <w:rsid w:val="003025EF"/>
    <w:rsid w:val="00401A6C"/>
    <w:rsid w:val="004D075D"/>
    <w:rsid w:val="00645510"/>
    <w:rsid w:val="0066789A"/>
    <w:rsid w:val="006D59EC"/>
    <w:rsid w:val="006F4C97"/>
    <w:rsid w:val="00791EDD"/>
    <w:rsid w:val="00792068"/>
    <w:rsid w:val="008201D0"/>
    <w:rsid w:val="008C40D1"/>
    <w:rsid w:val="00976845"/>
    <w:rsid w:val="009F41ED"/>
    <w:rsid w:val="00A0390B"/>
    <w:rsid w:val="00A06323"/>
    <w:rsid w:val="00A64E5F"/>
    <w:rsid w:val="00AE6C4E"/>
    <w:rsid w:val="00C922F0"/>
    <w:rsid w:val="00CC3F75"/>
    <w:rsid w:val="00EC184C"/>
    <w:rsid w:val="00F32273"/>
    <w:rsid w:val="00F335DF"/>
    <w:rsid w:val="00F40BF2"/>
    <w:rsid w:val="00F845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A331C"/>
  <w15:chartTrackingRefBased/>
  <w15:docId w15:val="{8E3E64C0-6E47-45E8-8F05-74E1ACB43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063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91EDD"/>
    <w:pPr>
      <w:keepNext/>
      <w:keepLines/>
      <w:spacing w:after="0" w:line="240" w:lineRule="auto"/>
      <w:outlineLvl w:val="1"/>
    </w:pPr>
    <w:rPr>
      <w:rFonts w:ascii="Arial" w:eastAsiaTheme="majorEastAsia" w:hAnsi="Arial" w:cstheme="majorBidi"/>
      <w:b/>
      <w:sz w:val="28"/>
      <w:szCs w:val="32"/>
    </w:rPr>
  </w:style>
  <w:style w:type="paragraph" w:styleId="Heading3">
    <w:name w:val="heading 3"/>
    <w:basedOn w:val="Normal"/>
    <w:next w:val="Normal"/>
    <w:link w:val="Heading3Char"/>
    <w:uiPriority w:val="9"/>
    <w:semiHidden/>
    <w:unhideWhenUsed/>
    <w:qFormat/>
    <w:rsid w:val="00A0632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0632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0632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0632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0632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0632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0632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R">
    <w:name w:val="DOR"/>
    <w:basedOn w:val="Normal"/>
    <w:link w:val="DORChar"/>
    <w:autoRedefine/>
    <w:qFormat/>
    <w:rsid w:val="00A64E5F"/>
    <w:pPr>
      <w:spacing w:after="0" w:line="240" w:lineRule="auto"/>
    </w:pPr>
    <w:rPr>
      <w:rFonts w:ascii="Arial" w:hAnsi="Arial" w:cs="Calibri"/>
      <w:kern w:val="0"/>
      <w:sz w:val="28"/>
    </w:rPr>
  </w:style>
  <w:style w:type="character" w:customStyle="1" w:styleId="DORChar">
    <w:name w:val="DOR Char"/>
    <w:basedOn w:val="DefaultParagraphFont"/>
    <w:link w:val="DOR"/>
    <w:rsid w:val="00A64E5F"/>
    <w:rPr>
      <w:rFonts w:ascii="Arial" w:hAnsi="Arial" w:cs="Calibri"/>
      <w:kern w:val="0"/>
      <w:sz w:val="28"/>
    </w:rPr>
  </w:style>
  <w:style w:type="paragraph" w:customStyle="1" w:styleId="Kate">
    <w:name w:val="Kate"/>
    <w:basedOn w:val="DOR"/>
    <w:qFormat/>
    <w:rsid w:val="00791EDD"/>
  </w:style>
  <w:style w:type="character" w:customStyle="1" w:styleId="Heading2Char">
    <w:name w:val="Heading 2 Char"/>
    <w:basedOn w:val="DefaultParagraphFont"/>
    <w:link w:val="Heading2"/>
    <w:uiPriority w:val="9"/>
    <w:semiHidden/>
    <w:rsid w:val="00791EDD"/>
    <w:rPr>
      <w:rFonts w:ascii="Arial" w:eastAsiaTheme="majorEastAsia" w:hAnsi="Arial" w:cstheme="majorBidi"/>
      <w:b/>
      <w:sz w:val="28"/>
      <w:szCs w:val="32"/>
    </w:rPr>
  </w:style>
  <w:style w:type="character" w:customStyle="1" w:styleId="Heading1Char">
    <w:name w:val="Heading 1 Char"/>
    <w:basedOn w:val="DefaultParagraphFont"/>
    <w:link w:val="Heading1"/>
    <w:uiPriority w:val="9"/>
    <w:rsid w:val="00A06323"/>
    <w:rPr>
      <w:rFonts w:asciiTheme="majorHAnsi" w:eastAsiaTheme="majorEastAsia" w:hAnsiTheme="majorHAnsi" w:cstheme="majorBidi"/>
      <w:color w:val="0F4761" w:themeColor="accent1" w:themeShade="BF"/>
      <w:sz w:val="40"/>
      <w:szCs w:val="40"/>
    </w:rPr>
  </w:style>
  <w:style w:type="character" w:customStyle="1" w:styleId="Heading3Char">
    <w:name w:val="Heading 3 Char"/>
    <w:basedOn w:val="DefaultParagraphFont"/>
    <w:link w:val="Heading3"/>
    <w:uiPriority w:val="9"/>
    <w:semiHidden/>
    <w:rsid w:val="00A0632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0632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0632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063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063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063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06323"/>
    <w:rPr>
      <w:rFonts w:eastAsiaTheme="majorEastAsia" w:cstheme="majorBidi"/>
      <w:color w:val="272727" w:themeColor="text1" w:themeTint="D8"/>
    </w:rPr>
  </w:style>
  <w:style w:type="paragraph" w:styleId="Title">
    <w:name w:val="Title"/>
    <w:basedOn w:val="Normal"/>
    <w:next w:val="Normal"/>
    <w:link w:val="TitleChar"/>
    <w:uiPriority w:val="10"/>
    <w:qFormat/>
    <w:rsid w:val="00A063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63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0632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063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06323"/>
    <w:pPr>
      <w:spacing w:before="160"/>
      <w:jc w:val="center"/>
    </w:pPr>
    <w:rPr>
      <w:i/>
      <w:iCs/>
      <w:color w:val="404040" w:themeColor="text1" w:themeTint="BF"/>
    </w:rPr>
  </w:style>
  <w:style w:type="character" w:customStyle="1" w:styleId="QuoteChar">
    <w:name w:val="Quote Char"/>
    <w:basedOn w:val="DefaultParagraphFont"/>
    <w:link w:val="Quote"/>
    <w:uiPriority w:val="29"/>
    <w:rsid w:val="00A06323"/>
    <w:rPr>
      <w:i/>
      <w:iCs/>
      <w:color w:val="404040" w:themeColor="text1" w:themeTint="BF"/>
    </w:rPr>
  </w:style>
  <w:style w:type="paragraph" w:styleId="ListParagraph">
    <w:name w:val="List Paragraph"/>
    <w:aliases w:val="Bullets"/>
    <w:basedOn w:val="Normal"/>
    <w:uiPriority w:val="1"/>
    <w:qFormat/>
    <w:rsid w:val="00A06323"/>
    <w:pPr>
      <w:ind w:left="720"/>
      <w:contextualSpacing/>
    </w:pPr>
  </w:style>
  <w:style w:type="character" w:styleId="IntenseEmphasis">
    <w:name w:val="Intense Emphasis"/>
    <w:basedOn w:val="DefaultParagraphFont"/>
    <w:uiPriority w:val="21"/>
    <w:qFormat/>
    <w:rsid w:val="00A06323"/>
    <w:rPr>
      <w:i/>
      <w:iCs/>
      <w:color w:val="0F4761" w:themeColor="accent1" w:themeShade="BF"/>
    </w:rPr>
  </w:style>
  <w:style w:type="paragraph" w:styleId="IntenseQuote">
    <w:name w:val="Intense Quote"/>
    <w:basedOn w:val="Normal"/>
    <w:next w:val="Normal"/>
    <w:link w:val="IntenseQuoteChar"/>
    <w:uiPriority w:val="30"/>
    <w:qFormat/>
    <w:rsid w:val="00A063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06323"/>
    <w:rPr>
      <w:i/>
      <w:iCs/>
      <w:color w:val="0F4761" w:themeColor="accent1" w:themeShade="BF"/>
    </w:rPr>
  </w:style>
  <w:style w:type="character" w:styleId="IntenseReference">
    <w:name w:val="Intense Reference"/>
    <w:basedOn w:val="DefaultParagraphFont"/>
    <w:uiPriority w:val="32"/>
    <w:qFormat/>
    <w:rsid w:val="00A06323"/>
    <w:rPr>
      <w:b/>
      <w:bCs/>
      <w:smallCaps/>
      <w:color w:val="0F4761" w:themeColor="accent1" w:themeShade="BF"/>
      <w:spacing w:val="5"/>
    </w:rPr>
  </w:style>
  <w:style w:type="paragraph" w:styleId="NormalWeb">
    <w:name w:val="Normal (Web)"/>
    <w:basedOn w:val="Normal"/>
    <w:uiPriority w:val="99"/>
    <w:semiHidden/>
    <w:unhideWhenUsed/>
    <w:rsid w:val="00AE6C4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table" w:styleId="TableGrid">
    <w:name w:val="Table Grid"/>
    <w:basedOn w:val="TableNormal"/>
    <w:uiPriority w:val="39"/>
    <w:rsid w:val="00AE6C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C18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184C"/>
  </w:style>
  <w:style w:type="paragraph" w:styleId="Footer">
    <w:name w:val="footer"/>
    <w:basedOn w:val="Normal"/>
    <w:link w:val="FooterChar"/>
    <w:uiPriority w:val="99"/>
    <w:unhideWhenUsed/>
    <w:rsid w:val="00EC18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184C"/>
  </w:style>
  <w:style w:type="character" w:styleId="Hyperlink">
    <w:name w:val="Hyperlink"/>
    <w:basedOn w:val="DefaultParagraphFont"/>
    <w:uiPriority w:val="99"/>
    <w:unhideWhenUsed/>
    <w:rsid w:val="00CC3F75"/>
    <w:rPr>
      <w:color w:val="467886" w:themeColor="hyperlink"/>
      <w:u w:val="single"/>
    </w:rPr>
  </w:style>
  <w:style w:type="character" w:styleId="UnresolvedMention">
    <w:name w:val="Unresolved Mention"/>
    <w:basedOn w:val="DefaultParagraphFont"/>
    <w:uiPriority w:val="99"/>
    <w:semiHidden/>
    <w:unhideWhenUsed/>
    <w:rsid w:val="00CC3F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826574">
      <w:bodyDiv w:val="1"/>
      <w:marLeft w:val="0"/>
      <w:marRight w:val="0"/>
      <w:marTop w:val="0"/>
      <w:marBottom w:val="0"/>
      <w:divBdr>
        <w:top w:val="none" w:sz="0" w:space="0" w:color="auto"/>
        <w:left w:val="none" w:sz="0" w:space="0" w:color="auto"/>
        <w:bottom w:val="none" w:sz="0" w:space="0" w:color="auto"/>
        <w:right w:val="none" w:sz="0" w:space="0" w:color="auto"/>
      </w:divBdr>
    </w:div>
    <w:div w:id="368991705">
      <w:bodyDiv w:val="1"/>
      <w:marLeft w:val="0"/>
      <w:marRight w:val="0"/>
      <w:marTop w:val="0"/>
      <w:marBottom w:val="0"/>
      <w:divBdr>
        <w:top w:val="none" w:sz="0" w:space="0" w:color="auto"/>
        <w:left w:val="none" w:sz="0" w:space="0" w:color="auto"/>
        <w:bottom w:val="none" w:sz="0" w:space="0" w:color="auto"/>
        <w:right w:val="none" w:sz="0" w:space="0" w:color="auto"/>
      </w:divBdr>
    </w:div>
    <w:div w:id="369651530">
      <w:bodyDiv w:val="1"/>
      <w:marLeft w:val="0"/>
      <w:marRight w:val="0"/>
      <w:marTop w:val="0"/>
      <w:marBottom w:val="0"/>
      <w:divBdr>
        <w:top w:val="none" w:sz="0" w:space="0" w:color="auto"/>
        <w:left w:val="none" w:sz="0" w:space="0" w:color="auto"/>
        <w:bottom w:val="none" w:sz="0" w:space="0" w:color="auto"/>
        <w:right w:val="none" w:sz="0" w:space="0" w:color="auto"/>
      </w:divBdr>
    </w:div>
    <w:div w:id="600798897">
      <w:bodyDiv w:val="1"/>
      <w:marLeft w:val="0"/>
      <w:marRight w:val="0"/>
      <w:marTop w:val="0"/>
      <w:marBottom w:val="0"/>
      <w:divBdr>
        <w:top w:val="none" w:sz="0" w:space="0" w:color="auto"/>
        <w:left w:val="none" w:sz="0" w:space="0" w:color="auto"/>
        <w:bottom w:val="none" w:sz="0" w:space="0" w:color="auto"/>
        <w:right w:val="none" w:sz="0" w:space="0" w:color="auto"/>
      </w:divBdr>
    </w:div>
    <w:div w:id="679357924">
      <w:bodyDiv w:val="1"/>
      <w:marLeft w:val="0"/>
      <w:marRight w:val="0"/>
      <w:marTop w:val="0"/>
      <w:marBottom w:val="0"/>
      <w:divBdr>
        <w:top w:val="none" w:sz="0" w:space="0" w:color="auto"/>
        <w:left w:val="none" w:sz="0" w:space="0" w:color="auto"/>
        <w:bottom w:val="none" w:sz="0" w:space="0" w:color="auto"/>
        <w:right w:val="none" w:sz="0" w:space="0" w:color="auto"/>
      </w:divBdr>
      <w:divsChild>
        <w:div w:id="436563263">
          <w:marLeft w:val="850"/>
          <w:marRight w:val="0"/>
          <w:marTop w:val="0"/>
          <w:marBottom w:val="0"/>
          <w:divBdr>
            <w:top w:val="none" w:sz="0" w:space="0" w:color="auto"/>
            <w:left w:val="none" w:sz="0" w:space="0" w:color="auto"/>
            <w:bottom w:val="none" w:sz="0" w:space="0" w:color="auto"/>
            <w:right w:val="none" w:sz="0" w:space="0" w:color="auto"/>
          </w:divBdr>
        </w:div>
        <w:div w:id="512382423">
          <w:marLeft w:val="850"/>
          <w:marRight w:val="0"/>
          <w:marTop w:val="0"/>
          <w:marBottom w:val="0"/>
          <w:divBdr>
            <w:top w:val="none" w:sz="0" w:space="0" w:color="auto"/>
            <w:left w:val="none" w:sz="0" w:space="0" w:color="auto"/>
            <w:bottom w:val="none" w:sz="0" w:space="0" w:color="auto"/>
            <w:right w:val="none" w:sz="0" w:space="0" w:color="auto"/>
          </w:divBdr>
        </w:div>
        <w:div w:id="1197233279">
          <w:marLeft w:val="850"/>
          <w:marRight w:val="0"/>
          <w:marTop w:val="0"/>
          <w:marBottom w:val="0"/>
          <w:divBdr>
            <w:top w:val="none" w:sz="0" w:space="0" w:color="auto"/>
            <w:left w:val="none" w:sz="0" w:space="0" w:color="auto"/>
            <w:bottom w:val="none" w:sz="0" w:space="0" w:color="auto"/>
            <w:right w:val="none" w:sz="0" w:space="0" w:color="auto"/>
          </w:divBdr>
        </w:div>
      </w:divsChild>
    </w:div>
    <w:div w:id="1061708920">
      <w:bodyDiv w:val="1"/>
      <w:marLeft w:val="0"/>
      <w:marRight w:val="0"/>
      <w:marTop w:val="0"/>
      <w:marBottom w:val="0"/>
      <w:divBdr>
        <w:top w:val="none" w:sz="0" w:space="0" w:color="auto"/>
        <w:left w:val="none" w:sz="0" w:space="0" w:color="auto"/>
        <w:bottom w:val="none" w:sz="0" w:space="0" w:color="auto"/>
        <w:right w:val="none" w:sz="0" w:space="0" w:color="auto"/>
      </w:divBdr>
    </w:div>
    <w:div w:id="1433210861">
      <w:bodyDiv w:val="1"/>
      <w:marLeft w:val="0"/>
      <w:marRight w:val="0"/>
      <w:marTop w:val="0"/>
      <w:marBottom w:val="0"/>
      <w:divBdr>
        <w:top w:val="none" w:sz="0" w:space="0" w:color="auto"/>
        <w:left w:val="none" w:sz="0" w:space="0" w:color="auto"/>
        <w:bottom w:val="none" w:sz="0" w:space="0" w:color="auto"/>
        <w:right w:val="none" w:sz="0" w:space="0" w:color="auto"/>
      </w:divBdr>
    </w:div>
    <w:div w:id="1524786093">
      <w:bodyDiv w:val="1"/>
      <w:marLeft w:val="0"/>
      <w:marRight w:val="0"/>
      <w:marTop w:val="0"/>
      <w:marBottom w:val="0"/>
      <w:divBdr>
        <w:top w:val="none" w:sz="0" w:space="0" w:color="auto"/>
        <w:left w:val="none" w:sz="0" w:space="0" w:color="auto"/>
        <w:bottom w:val="none" w:sz="0" w:space="0" w:color="auto"/>
        <w:right w:val="none" w:sz="0" w:space="0" w:color="auto"/>
      </w:divBdr>
    </w:div>
    <w:div w:id="1708216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daa842e6-9257-4536-8577-77b8f34f9507}" enabled="1" method="Standard" siteId="{19ed7054-9d97-43c7-92b1-6781b6b95b68}" contentBits="0" removed="0"/>
</clbl:labelList>
</file>

<file path=docProps/app.xml><?xml version="1.0" encoding="utf-8"?>
<Properties xmlns="http://schemas.openxmlformats.org/officeDocument/2006/extended-properties" xmlns:vt="http://schemas.openxmlformats.org/officeDocument/2006/docPropsVTypes">
  <Template>Normal</Template>
  <TotalTime>127</TotalTime>
  <Pages>7</Pages>
  <Words>1803</Words>
  <Characters>10279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Bjerke, Kate@DOR</dc:creator>
  <cp:keywords/>
  <dc:description/>
  <cp:lastModifiedBy>Bjerke, Kate@DOR</cp:lastModifiedBy>
  <cp:revision>7</cp:revision>
  <dcterms:created xsi:type="dcterms:W3CDTF">2025-05-06T22:50:00Z</dcterms:created>
  <dcterms:modified xsi:type="dcterms:W3CDTF">2025-07-30T20:46:00Z</dcterms:modified>
</cp:coreProperties>
</file>