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C148" w14:textId="0E95CE69" w:rsidR="00505766" w:rsidRPr="00505766" w:rsidRDefault="00505766" w:rsidP="00505766">
      <w:pPr>
        <w:pStyle w:val="DOR"/>
        <w:rPr>
          <w:b/>
          <w:bCs/>
        </w:rPr>
      </w:pPr>
      <w:r w:rsidRPr="00505766">
        <w:rPr>
          <w:b/>
          <w:bCs/>
        </w:rPr>
        <w:t>February 2, 2024 SRC Policy Committee Meeting</w:t>
      </w:r>
    </w:p>
    <w:p w14:paraId="2358F705" w14:textId="72A822A4" w:rsidR="00505766" w:rsidRPr="00505766" w:rsidRDefault="00505766" w:rsidP="00505766">
      <w:pPr>
        <w:pStyle w:val="DOR"/>
        <w:rPr>
          <w:i/>
          <w:iCs/>
        </w:rPr>
      </w:pPr>
      <w:r w:rsidRPr="00505766">
        <w:rPr>
          <w:i/>
          <w:iCs/>
        </w:rPr>
        <w:t>Questions Regarding Administrative Law Judges and the Consumer Mediation/Fair Hearing Process</w:t>
      </w:r>
    </w:p>
    <w:p w14:paraId="57AEC07C" w14:textId="77777777" w:rsidR="00505766" w:rsidRDefault="00505766" w:rsidP="00505766">
      <w:pPr>
        <w:pStyle w:val="DOR"/>
        <w:pBdr>
          <w:bottom w:val="single" w:sz="6" w:space="1" w:color="auto"/>
        </w:pBdr>
      </w:pPr>
    </w:p>
    <w:p w14:paraId="4CC170C6" w14:textId="77777777" w:rsidR="00505766" w:rsidRDefault="00505766" w:rsidP="00505766">
      <w:pPr>
        <w:pStyle w:val="DOR"/>
      </w:pPr>
    </w:p>
    <w:p w14:paraId="535132A4" w14:textId="77777777" w:rsidR="00505766" w:rsidRDefault="00505766" w:rsidP="00505766">
      <w:pPr>
        <w:pStyle w:val="Heading1"/>
      </w:pPr>
      <w:r w:rsidRPr="00505766">
        <w:t>SRC Policy Committee Question #1</w:t>
      </w:r>
      <w:r>
        <w:t xml:space="preserve">: </w:t>
      </w:r>
    </w:p>
    <w:p w14:paraId="201CE6AC" w14:textId="08AFA0A2" w:rsidR="00505766" w:rsidRDefault="00505766" w:rsidP="00505766">
      <w:pPr>
        <w:spacing w:after="0"/>
        <w:rPr>
          <w:rFonts w:ascii="Arial" w:hAnsi="Arial" w:cs="Arial"/>
          <w:sz w:val="28"/>
          <w:szCs w:val="28"/>
        </w:rPr>
      </w:pPr>
      <w:r>
        <w:rPr>
          <w:rFonts w:ascii="Arial" w:hAnsi="Arial" w:cs="Arial"/>
          <w:sz w:val="28"/>
          <w:szCs w:val="28"/>
        </w:rPr>
        <w:t>Does DOR have a handout in plain language that is provided to consumers that explains the right and remedies process and outlines all of the steps? If so, can the SRC please have a copy.</w:t>
      </w:r>
    </w:p>
    <w:p w14:paraId="7032CCAD" w14:textId="77777777" w:rsidR="00505766" w:rsidRPr="00505766" w:rsidRDefault="00505766" w:rsidP="00505766">
      <w:pPr>
        <w:spacing w:after="0"/>
        <w:rPr>
          <w:rFonts w:ascii="Arial" w:hAnsi="Arial" w:cs="Arial"/>
          <w:sz w:val="16"/>
          <w:szCs w:val="16"/>
        </w:rPr>
      </w:pPr>
    </w:p>
    <w:p w14:paraId="2F09A701" w14:textId="77777777" w:rsidR="00505766" w:rsidRDefault="00505766" w:rsidP="00505766">
      <w:pPr>
        <w:spacing w:after="0"/>
        <w:rPr>
          <w:rFonts w:ascii="Arial" w:hAnsi="Arial" w:cs="Arial"/>
          <w:b/>
          <w:bCs/>
          <w:sz w:val="28"/>
          <w:szCs w:val="28"/>
        </w:rPr>
      </w:pPr>
      <w:r w:rsidRPr="00505766">
        <w:rPr>
          <w:rFonts w:ascii="Arial" w:hAnsi="Arial" w:cs="Arial"/>
          <w:sz w:val="28"/>
          <w:szCs w:val="28"/>
          <w:u w:val="single"/>
        </w:rPr>
        <w:t>DOR Response:</w:t>
      </w:r>
      <w:r>
        <w:rPr>
          <w:rFonts w:ascii="Arial" w:hAnsi="Arial" w:cs="Arial"/>
          <w:b/>
          <w:bCs/>
          <w:sz w:val="28"/>
          <w:szCs w:val="28"/>
        </w:rPr>
        <w:t xml:space="preserve"> </w:t>
      </w:r>
    </w:p>
    <w:p w14:paraId="580FD277" w14:textId="20DE638E" w:rsidR="00505766" w:rsidRDefault="00505766" w:rsidP="00505766">
      <w:pPr>
        <w:spacing w:after="0"/>
        <w:rPr>
          <w:rFonts w:ascii="Arial" w:hAnsi="Arial" w:cs="Arial"/>
          <w:sz w:val="28"/>
          <w:szCs w:val="28"/>
        </w:rPr>
      </w:pPr>
      <w:r w:rsidRPr="00505766">
        <w:rPr>
          <w:rFonts w:ascii="Arial" w:hAnsi="Arial" w:cs="Arial"/>
          <w:sz w:val="28"/>
          <w:szCs w:val="28"/>
        </w:rPr>
        <w:t xml:space="preserve">These handouts are DOR forms that have been available to the public and consumers for many years. These handouts are the </w:t>
      </w:r>
      <w:hyperlink r:id="rId5" w:history="1">
        <w:r w:rsidRPr="00E33CA1">
          <w:rPr>
            <w:rStyle w:val="Hyperlink"/>
            <w:rFonts w:ascii="Arial" w:hAnsi="Arial" w:cs="Arial"/>
            <w:sz w:val="28"/>
            <w:szCs w:val="28"/>
          </w:rPr>
          <w:t>DR 1000</w:t>
        </w:r>
      </w:hyperlink>
      <w:r w:rsidR="00144C8A">
        <w:rPr>
          <w:rFonts w:ascii="Arial" w:hAnsi="Arial" w:cs="Arial"/>
          <w:sz w:val="28"/>
          <w:szCs w:val="28"/>
        </w:rPr>
        <w:t xml:space="preserve"> </w:t>
      </w:r>
      <w:r w:rsidRPr="00505766">
        <w:rPr>
          <w:rFonts w:ascii="Arial" w:hAnsi="Arial" w:cs="Arial"/>
          <w:sz w:val="28"/>
          <w:szCs w:val="28"/>
        </w:rPr>
        <w:t xml:space="preserve">and </w:t>
      </w:r>
      <w:hyperlink r:id="rId6" w:history="1">
        <w:r w:rsidRPr="00E33CA1">
          <w:rPr>
            <w:rStyle w:val="Hyperlink"/>
            <w:rFonts w:ascii="Arial" w:hAnsi="Arial" w:cs="Arial"/>
            <w:sz w:val="28"/>
            <w:szCs w:val="28"/>
          </w:rPr>
          <w:t>DR 107</w:t>
        </w:r>
      </w:hyperlink>
      <w:r w:rsidR="00144C8A">
        <w:rPr>
          <w:rFonts w:ascii="Arial" w:hAnsi="Arial" w:cs="Arial"/>
          <w:sz w:val="28"/>
          <w:szCs w:val="28"/>
        </w:rPr>
        <w:t xml:space="preserve"> </w:t>
      </w:r>
      <w:r w:rsidRPr="00505766">
        <w:rPr>
          <w:rFonts w:ascii="Arial" w:hAnsi="Arial" w:cs="Arial"/>
          <w:sz w:val="28"/>
          <w:szCs w:val="28"/>
        </w:rPr>
        <w:t xml:space="preserve">forms. They are available on the </w:t>
      </w:r>
      <w:hyperlink r:id="rId7" w:history="1">
        <w:r w:rsidRPr="00E33CA1">
          <w:rPr>
            <w:rStyle w:val="Hyperlink"/>
            <w:rFonts w:ascii="Arial" w:hAnsi="Arial" w:cs="Arial"/>
            <w:sz w:val="28"/>
            <w:szCs w:val="28"/>
          </w:rPr>
          <w:t>DOR public website</w:t>
        </w:r>
      </w:hyperlink>
      <w:r w:rsidRPr="00505766">
        <w:rPr>
          <w:rFonts w:ascii="Arial" w:hAnsi="Arial" w:cs="Arial"/>
          <w:sz w:val="28"/>
          <w:szCs w:val="28"/>
        </w:rPr>
        <w:t xml:space="preserve"> and are provided to consumers as necessary by either DOR staff or the DOR Mediation and Fair Hearing Office. The DR 1000 form explains consumer rights and remedies. The consumer submits an appeal with the DR 107 form. Both forms address how to proceed when they disagree with a DOR action or decision regarding an application for or receipt of DOR vocational rehabilitation services.  These forms are attached to these responses.</w:t>
      </w:r>
    </w:p>
    <w:p w14:paraId="77702B0B" w14:textId="77777777" w:rsidR="00505766" w:rsidRPr="003D0B97" w:rsidRDefault="00505766" w:rsidP="00505766">
      <w:pPr>
        <w:spacing w:after="0"/>
        <w:rPr>
          <w:rFonts w:ascii="Arial" w:hAnsi="Arial" w:cs="Arial"/>
          <w:sz w:val="36"/>
          <w:szCs w:val="36"/>
          <w:u w:val="single"/>
        </w:rPr>
      </w:pPr>
    </w:p>
    <w:p w14:paraId="01C15D31" w14:textId="77777777" w:rsidR="00505766" w:rsidRDefault="00505766" w:rsidP="00505766">
      <w:pPr>
        <w:pStyle w:val="Heading1"/>
      </w:pPr>
      <w:r w:rsidRPr="00505766">
        <w:t>SRC Policy Committee Question #2</w:t>
      </w:r>
      <w:r>
        <w:t xml:space="preserve">: </w:t>
      </w:r>
    </w:p>
    <w:p w14:paraId="7209FD90" w14:textId="205897B9" w:rsidR="00505766" w:rsidRDefault="00505766" w:rsidP="00505766">
      <w:pPr>
        <w:spacing w:after="0"/>
        <w:rPr>
          <w:rFonts w:ascii="Arial" w:hAnsi="Arial" w:cs="Arial"/>
          <w:sz w:val="28"/>
          <w:szCs w:val="28"/>
        </w:rPr>
      </w:pPr>
      <w:r>
        <w:rPr>
          <w:rFonts w:ascii="Arial" w:hAnsi="Arial" w:cs="Arial"/>
          <w:sz w:val="28"/>
          <w:szCs w:val="28"/>
        </w:rPr>
        <w:t>Can the SRC please have a copy of the implicit bias training that is given to the ALJs?</w:t>
      </w:r>
    </w:p>
    <w:p w14:paraId="7429F630" w14:textId="77777777" w:rsidR="00505766" w:rsidRPr="00505766" w:rsidRDefault="00505766" w:rsidP="00505766">
      <w:pPr>
        <w:spacing w:after="0"/>
        <w:rPr>
          <w:rFonts w:ascii="Arial" w:hAnsi="Arial" w:cs="Arial"/>
          <w:sz w:val="16"/>
          <w:szCs w:val="16"/>
          <w:u w:val="single"/>
        </w:rPr>
      </w:pPr>
    </w:p>
    <w:p w14:paraId="7003BEE5" w14:textId="73E35B14" w:rsidR="00505766" w:rsidRDefault="00505766" w:rsidP="00505766">
      <w:pPr>
        <w:spacing w:after="0"/>
        <w:rPr>
          <w:rFonts w:ascii="Arial" w:hAnsi="Arial" w:cs="Arial"/>
          <w:sz w:val="28"/>
          <w:szCs w:val="28"/>
        </w:rPr>
      </w:pPr>
      <w:r w:rsidRPr="00505766">
        <w:rPr>
          <w:rFonts w:ascii="Arial" w:hAnsi="Arial" w:cs="Arial"/>
          <w:sz w:val="28"/>
          <w:szCs w:val="28"/>
          <w:u w:val="single"/>
        </w:rPr>
        <w:t>DOR Response</w:t>
      </w:r>
      <w:r w:rsidRPr="00505766">
        <w:rPr>
          <w:rFonts w:ascii="Arial" w:hAnsi="Arial" w:cs="Arial"/>
          <w:sz w:val="28"/>
          <w:szCs w:val="28"/>
        </w:rPr>
        <w:t xml:space="preserve">: </w:t>
      </w:r>
    </w:p>
    <w:p w14:paraId="06D33687" w14:textId="0F218CE7" w:rsidR="00505766" w:rsidRDefault="00505766" w:rsidP="00505766">
      <w:pPr>
        <w:spacing w:after="0"/>
        <w:rPr>
          <w:rFonts w:ascii="Arial" w:hAnsi="Arial" w:cs="Arial"/>
          <w:sz w:val="28"/>
          <w:szCs w:val="28"/>
        </w:rPr>
      </w:pPr>
      <w:r>
        <w:rPr>
          <w:rFonts w:ascii="Arial" w:hAnsi="Arial" w:cs="Arial"/>
          <w:sz w:val="28"/>
          <w:szCs w:val="28"/>
        </w:rPr>
        <w:t>P</w:t>
      </w:r>
      <w:r w:rsidRPr="00505766">
        <w:rPr>
          <w:rFonts w:ascii="Arial" w:hAnsi="Arial" w:cs="Arial"/>
          <w:sz w:val="28"/>
          <w:szCs w:val="28"/>
        </w:rPr>
        <w:t>lease reference</w:t>
      </w:r>
      <w:r w:rsidR="00E33CA1">
        <w:rPr>
          <w:rFonts w:ascii="Arial" w:hAnsi="Arial" w:cs="Arial"/>
          <w:sz w:val="28"/>
          <w:szCs w:val="28"/>
        </w:rPr>
        <w:t xml:space="preserve"> the training entitled </w:t>
      </w:r>
      <w:r w:rsidRPr="00505766">
        <w:rPr>
          <w:rFonts w:ascii="Arial" w:hAnsi="Arial" w:cs="Arial"/>
          <w:sz w:val="28"/>
          <w:szCs w:val="28"/>
        </w:rPr>
        <w:t>“SHD Engaged Neutrality in Hearings</w:t>
      </w:r>
      <w:r w:rsidR="00E33CA1">
        <w:rPr>
          <w:rFonts w:ascii="Arial" w:hAnsi="Arial" w:cs="Arial"/>
          <w:sz w:val="28"/>
          <w:szCs w:val="28"/>
        </w:rPr>
        <w:t>.</w:t>
      </w:r>
      <w:r w:rsidRPr="00505766">
        <w:rPr>
          <w:rFonts w:ascii="Arial" w:hAnsi="Arial" w:cs="Arial"/>
          <w:sz w:val="28"/>
          <w:szCs w:val="28"/>
        </w:rPr>
        <w:t xml:space="preserve">” </w:t>
      </w:r>
    </w:p>
    <w:p w14:paraId="28486162" w14:textId="77777777" w:rsidR="00505766" w:rsidRPr="003D0B97" w:rsidRDefault="00505766" w:rsidP="00505766">
      <w:pPr>
        <w:spacing w:after="0"/>
        <w:rPr>
          <w:rFonts w:ascii="Arial" w:hAnsi="Arial" w:cs="Arial"/>
          <w:sz w:val="36"/>
          <w:szCs w:val="36"/>
        </w:rPr>
      </w:pPr>
    </w:p>
    <w:p w14:paraId="29F55C77" w14:textId="77777777" w:rsidR="00505766" w:rsidRDefault="00505766" w:rsidP="00505766">
      <w:pPr>
        <w:spacing w:after="0"/>
        <w:rPr>
          <w:rFonts w:ascii="Arial" w:hAnsi="Arial" w:cs="Arial"/>
          <w:sz w:val="28"/>
          <w:szCs w:val="28"/>
        </w:rPr>
      </w:pPr>
      <w:r w:rsidRPr="00505766">
        <w:rPr>
          <w:rFonts w:ascii="Arial" w:hAnsi="Arial" w:cs="Arial"/>
          <w:b/>
          <w:bCs/>
          <w:sz w:val="28"/>
          <w:szCs w:val="28"/>
          <w:u w:val="single"/>
        </w:rPr>
        <w:t>SRC Policy Committee Question #3</w:t>
      </w:r>
      <w:r w:rsidRPr="00505766">
        <w:rPr>
          <w:rFonts w:ascii="Arial" w:hAnsi="Arial" w:cs="Arial"/>
          <w:b/>
          <w:bCs/>
          <w:sz w:val="28"/>
          <w:szCs w:val="28"/>
        </w:rPr>
        <w:t>:</w:t>
      </w:r>
      <w:r>
        <w:rPr>
          <w:rFonts w:ascii="Arial" w:hAnsi="Arial" w:cs="Arial"/>
          <w:sz w:val="28"/>
          <w:szCs w:val="28"/>
        </w:rPr>
        <w:t xml:space="preserve"> </w:t>
      </w:r>
    </w:p>
    <w:p w14:paraId="42B3B4DC" w14:textId="08D68D3F" w:rsidR="00505766" w:rsidRDefault="00505766" w:rsidP="00505766">
      <w:pPr>
        <w:spacing w:after="0"/>
        <w:rPr>
          <w:rFonts w:ascii="Arial" w:hAnsi="Arial" w:cs="Arial"/>
          <w:sz w:val="28"/>
          <w:szCs w:val="28"/>
        </w:rPr>
      </w:pPr>
      <w:r>
        <w:rPr>
          <w:rFonts w:ascii="Arial" w:hAnsi="Arial" w:cs="Arial"/>
          <w:sz w:val="28"/>
          <w:szCs w:val="28"/>
        </w:rPr>
        <w:t>During today’s [February 2, 2024] meeting, Lisa referenced the regulations that govern the mediation and fair hearing process. Would it be possible to please get a link to those regs?</w:t>
      </w:r>
    </w:p>
    <w:p w14:paraId="3B7E8D35" w14:textId="77777777" w:rsidR="00505766" w:rsidRPr="00505766" w:rsidRDefault="00505766" w:rsidP="00505766">
      <w:pPr>
        <w:spacing w:after="0"/>
        <w:rPr>
          <w:rFonts w:ascii="Arial" w:hAnsi="Arial" w:cs="Arial"/>
          <w:sz w:val="16"/>
          <w:szCs w:val="16"/>
          <w:u w:val="single"/>
        </w:rPr>
      </w:pPr>
    </w:p>
    <w:p w14:paraId="69B5929C" w14:textId="77777777" w:rsidR="00505766" w:rsidRDefault="00505766" w:rsidP="00505766">
      <w:pPr>
        <w:spacing w:after="0"/>
        <w:rPr>
          <w:rFonts w:ascii="Arial" w:hAnsi="Arial" w:cs="Arial"/>
          <w:sz w:val="28"/>
          <w:szCs w:val="28"/>
        </w:rPr>
      </w:pPr>
      <w:r w:rsidRPr="00505766">
        <w:rPr>
          <w:rFonts w:ascii="Arial" w:hAnsi="Arial" w:cs="Arial"/>
          <w:sz w:val="28"/>
          <w:szCs w:val="28"/>
          <w:u w:val="single"/>
        </w:rPr>
        <w:t>DOR Response</w:t>
      </w:r>
      <w:r w:rsidRPr="00505766">
        <w:rPr>
          <w:rFonts w:ascii="Arial" w:hAnsi="Arial" w:cs="Arial"/>
          <w:sz w:val="28"/>
          <w:szCs w:val="28"/>
        </w:rPr>
        <w:t xml:space="preserve">: </w:t>
      </w:r>
    </w:p>
    <w:p w14:paraId="032E3251" w14:textId="4ACE5C3E" w:rsidR="00505766" w:rsidRPr="00505766" w:rsidRDefault="00505766" w:rsidP="00505766">
      <w:pPr>
        <w:spacing w:after="0"/>
        <w:rPr>
          <w:rFonts w:ascii="Arial" w:hAnsi="Arial" w:cs="Arial"/>
          <w:sz w:val="28"/>
          <w:szCs w:val="28"/>
        </w:rPr>
      </w:pPr>
      <w:r w:rsidRPr="00505766">
        <w:rPr>
          <w:rFonts w:ascii="Arial" w:hAnsi="Arial" w:cs="Arial"/>
          <w:sz w:val="28"/>
          <w:szCs w:val="28"/>
        </w:rPr>
        <w:t xml:space="preserve">Please </w:t>
      </w:r>
      <w:r>
        <w:rPr>
          <w:rFonts w:ascii="Arial" w:hAnsi="Arial" w:cs="Arial"/>
          <w:sz w:val="28"/>
          <w:szCs w:val="28"/>
        </w:rPr>
        <w:t>reference</w:t>
      </w:r>
      <w:r w:rsidRPr="00505766">
        <w:rPr>
          <w:rFonts w:ascii="Arial" w:hAnsi="Arial" w:cs="Arial"/>
          <w:sz w:val="28"/>
          <w:szCs w:val="28"/>
        </w:rPr>
        <w:t xml:space="preserve"> the links below:</w:t>
      </w:r>
    </w:p>
    <w:p w14:paraId="1E4D1177" w14:textId="77777777" w:rsidR="00505766" w:rsidRDefault="00E33CA1" w:rsidP="00505766">
      <w:pPr>
        <w:spacing w:after="0"/>
        <w:rPr>
          <w:rFonts w:ascii="Arial" w:hAnsi="Arial" w:cs="Arial"/>
          <w:sz w:val="28"/>
          <w:szCs w:val="28"/>
        </w:rPr>
      </w:pPr>
      <w:hyperlink r:id="rId8" w:history="1">
        <w:r w:rsidR="00505766">
          <w:rPr>
            <w:rStyle w:val="Hyperlink"/>
            <w:rFonts w:ascii="Arial" w:hAnsi="Arial" w:cs="Arial"/>
            <w:sz w:val="28"/>
            <w:szCs w:val="28"/>
          </w:rPr>
          <w:t>Title 34 of the Code of Federal Regulations part 361.57</w:t>
        </w:r>
      </w:hyperlink>
    </w:p>
    <w:p w14:paraId="0DA3B304" w14:textId="77777777" w:rsidR="00505766" w:rsidRDefault="00E33CA1" w:rsidP="00505766">
      <w:pPr>
        <w:spacing w:after="0"/>
        <w:rPr>
          <w:rFonts w:ascii="Arial" w:hAnsi="Arial" w:cs="Arial"/>
          <w:sz w:val="28"/>
          <w:szCs w:val="28"/>
        </w:rPr>
      </w:pPr>
      <w:hyperlink r:id="rId9" w:history="1">
        <w:r w:rsidR="00505766">
          <w:rPr>
            <w:rStyle w:val="Hyperlink"/>
            <w:rFonts w:ascii="Arial" w:hAnsi="Arial" w:cs="Arial"/>
            <w:sz w:val="28"/>
            <w:szCs w:val="28"/>
          </w:rPr>
          <w:t>Welfare and Institutions Code section 19705</w:t>
        </w:r>
      </w:hyperlink>
    </w:p>
    <w:p w14:paraId="051B6D39" w14:textId="75C64D93" w:rsidR="00505766" w:rsidRDefault="00E33CA1" w:rsidP="00505766">
      <w:pPr>
        <w:spacing w:after="0"/>
      </w:pPr>
      <w:hyperlink r:id="rId10" w:history="1">
        <w:r w:rsidR="00505766">
          <w:rPr>
            <w:rStyle w:val="Hyperlink"/>
            <w:rFonts w:ascii="Arial" w:hAnsi="Arial" w:cs="Arial"/>
            <w:sz w:val="28"/>
            <w:szCs w:val="28"/>
          </w:rPr>
          <w:t>California Code of Regulations, title 9, sections 7354 through 7361</w:t>
        </w:r>
      </w:hyperlink>
    </w:p>
    <w:p w14:paraId="78953F3C" w14:textId="77777777" w:rsidR="003D0B97" w:rsidRDefault="003D0B97" w:rsidP="00505766">
      <w:pPr>
        <w:spacing w:after="0"/>
        <w:rPr>
          <w:rFonts w:ascii="Arial" w:hAnsi="Arial" w:cs="Arial"/>
          <w:sz w:val="28"/>
          <w:szCs w:val="28"/>
        </w:rPr>
      </w:pPr>
    </w:p>
    <w:p w14:paraId="27362C58" w14:textId="77777777" w:rsidR="00834A81" w:rsidRDefault="00505766" w:rsidP="00834A81">
      <w:pPr>
        <w:pStyle w:val="Heading1"/>
      </w:pPr>
      <w:r w:rsidRPr="00505766">
        <w:lastRenderedPageBreak/>
        <w:t>SRC Policy Committee Question #4</w:t>
      </w:r>
      <w:r>
        <w:t xml:space="preserve">: </w:t>
      </w:r>
    </w:p>
    <w:p w14:paraId="0839E546" w14:textId="7D906316" w:rsidR="00505766" w:rsidRDefault="00505766" w:rsidP="00505766">
      <w:pPr>
        <w:spacing w:after="0"/>
        <w:rPr>
          <w:rFonts w:ascii="Arial" w:hAnsi="Arial" w:cs="Arial"/>
          <w:sz w:val="28"/>
          <w:szCs w:val="28"/>
        </w:rPr>
      </w:pPr>
      <w:r>
        <w:rPr>
          <w:rFonts w:ascii="Arial" w:hAnsi="Arial" w:cs="Arial"/>
          <w:sz w:val="28"/>
          <w:szCs w:val="28"/>
        </w:rPr>
        <w:t>When a consumer files for mediation or fair hearing, are they given info on or referred to CAP?</w:t>
      </w:r>
    </w:p>
    <w:p w14:paraId="052791EC" w14:textId="77777777" w:rsidR="003D0B97" w:rsidRPr="003D0B97" w:rsidRDefault="003D0B97" w:rsidP="00505766">
      <w:pPr>
        <w:spacing w:after="0"/>
        <w:rPr>
          <w:rFonts w:ascii="Arial" w:hAnsi="Arial" w:cs="Arial"/>
          <w:sz w:val="16"/>
          <w:szCs w:val="16"/>
        </w:rPr>
      </w:pPr>
    </w:p>
    <w:p w14:paraId="301D5F6F" w14:textId="48C7BB83" w:rsidR="00505766" w:rsidRPr="00505766" w:rsidRDefault="00505766" w:rsidP="00505766">
      <w:pPr>
        <w:pStyle w:val="DOR"/>
      </w:pPr>
      <w:r w:rsidRPr="00505766">
        <w:rPr>
          <w:u w:val="single"/>
        </w:rPr>
        <w:t>DOR Response</w:t>
      </w:r>
      <w:r w:rsidRPr="00505766">
        <w:t>: The DR 107 form, which is utilized by our consumers when filing an appeal, contains the Client Assistance Program (“CAP”) information directly on the form. The DOR Mediation and Fair Hearing Office also acknowledges appeal requests, DR 107 forms, and requests for information and provides consumers with the DR 1000 form. The DR 1000 form also contains CAP information. In addition, if the consumer requests representation, CAP information and referral is sent out to the consumer.</w:t>
      </w:r>
    </w:p>
    <w:p w14:paraId="71E2F738" w14:textId="77777777" w:rsidR="00505766" w:rsidRPr="003D0B97" w:rsidRDefault="00505766" w:rsidP="00505766">
      <w:pPr>
        <w:spacing w:after="0"/>
        <w:rPr>
          <w:rFonts w:ascii="Arial" w:hAnsi="Arial" w:cs="Arial"/>
          <w:sz w:val="36"/>
          <w:szCs w:val="36"/>
        </w:rPr>
      </w:pPr>
    </w:p>
    <w:p w14:paraId="48E25161" w14:textId="77777777" w:rsidR="00834A81" w:rsidRDefault="00505766" w:rsidP="00834A81">
      <w:pPr>
        <w:pStyle w:val="Heading1"/>
      </w:pPr>
      <w:r w:rsidRPr="00505766">
        <w:t>SRC Policy Committee Question #5</w:t>
      </w:r>
      <w:r>
        <w:t xml:space="preserve">: </w:t>
      </w:r>
    </w:p>
    <w:p w14:paraId="2B330DA4" w14:textId="2792E184" w:rsidR="00505766" w:rsidRDefault="00505766" w:rsidP="00505766">
      <w:pPr>
        <w:spacing w:after="0"/>
        <w:rPr>
          <w:rFonts w:ascii="Arial" w:hAnsi="Arial" w:cs="Arial"/>
          <w:sz w:val="28"/>
          <w:szCs w:val="28"/>
        </w:rPr>
      </w:pPr>
      <w:r>
        <w:rPr>
          <w:rFonts w:ascii="Arial" w:hAnsi="Arial" w:cs="Arial"/>
          <w:sz w:val="28"/>
          <w:szCs w:val="28"/>
        </w:rPr>
        <w:t>Who at DOR explains all the steps to a consumer about fair hearings and mediations? Is the counselor involved? Does the relationship between the counselor and the client tend to turn adversarial if the consumer files?</w:t>
      </w:r>
    </w:p>
    <w:p w14:paraId="113FD77F" w14:textId="77777777" w:rsidR="003D0B97" w:rsidRPr="003D0B97" w:rsidRDefault="003D0B97" w:rsidP="00505766">
      <w:pPr>
        <w:spacing w:after="0"/>
        <w:rPr>
          <w:rFonts w:ascii="Arial" w:hAnsi="Arial" w:cs="Arial"/>
          <w:sz w:val="16"/>
          <w:szCs w:val="16"/>
        </w:rPr>
      </w:pPr>
    </w:p>
    <w:p w14:paraId="609F0E70" w14:textId="665A97A6" w:rsidR="00505766" w:rsidRPr="00505766" w:rsidRDefault="00505766" w:rsidP="00505766">
      <w:pPr>
        <w:spacing w:after="0"/>
        <w:rPr>
          <w:rFonts w:ascii="Arial" w:hAnsi="Arial" w:cs="Arial"/>
          <w:sz w:val="28"/>
          <w:szCs w:val="28"/>
        </w:rPr>
      </w:pPr>
      <w:r w:rsidRPr="00505766">
        <w:rPr>
          <w:rFonts w:ascii="Arial" w:hAnsi="Arial" w:cs="Arial"/>
          <w:sz w:val="28"/>
          <w:szCs w:val="28"/>
          <w:u w:val="single"/>
        </w:rPr>
        <w:t>DOR Response</w:t>
      </w:r>
      <w:r w:rsidRPr="00505766">
        <w:rPr>
          <w:rFonts w:ascii="Arial" w:hAnsi="Arial" w:cs="Arial"/>
          <w:sz w:val="28"/>
          <w:szCs w:val="28"/>
        </w:rPr>
        <w:t>: The DR 1000</w:t>
      </w:r>
      <w:r w:rsidR="003D0B97">
        <w:rPr>
          <w:rFonts w:ascii="Arial" w:hAnsi="Arial" w:cs="Arial"/>
          <w:sz w:val="28"/>
          <w:szCs w:val="28"/>
        </w:rPr>
        <w:t xml:space="preserve"> </w:t>
      </w:r>
      <w:r w:rsidRPr="00505766">
        <w:rPr>
          <w:rFonts w:ascii="Arial" w:hAnsi="Arial" w:cs="Arial"/>
          <w:sz w:val="28"/>
          <w:szCs w:val="28"/>
        </w:rPr>
        <w:t>provides information about rights and remedies, including the availability of the Client Assistance Program. The DOR Mediation and Fair Hearing Office is also available to provide information to appellants and answer questions. Regarding the counselor-consumer relationship, DOR respects and supports a consumer’s right to exercise their rights in relation to administrative reviews, mediations, and fair hearings. Further, DOR respects and supports a collaborative counselor-consumer relationship, which is an important aspect of the vocational rehabilitation services. On a case-by-case basis, DOR considers consumer requests for counselor changes.</w:t>
      </w:r>
    </w:p>
    <w:p w14:paraId="50F9D1ED" w14:textId="77777777" w:rsidR="00505766" w:rsidRDefault="00505766" w:rsidP="00505766">
      <w:pPr>
        <w:spacing w:after="0"/>
        <w:rPr>
          <w:rFonts w:ascii="Arial" w:hAnsi="Arial" w:cs="Arial"/>
          <w:sz w:val="28"/>
          <w:szCs w:val="28"/>
        </w:rPr>
      </w:pPr>
    </w:p>
    <w:p w14:paraId="6CA0DB99" w14:textId="77777777" w:rsidR="00505766" w:rsidRDefault="00505766" w:rsidP="00505766">
      <w:pPr>
        <w:pStyle w:val="DOR"/>
      </w:pPr>
    </w:p>
    <w:sectPr w:rsidR="00505766" w:rsidSect="0050576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66"/>
    <w:rsid w:val="00144C8A"/>
    <w:rsid w:val="003D0B97"/>
    <w:rsid w:val="00505766"/>
    <w:rsid w:val="006F4C97"/>
    <w:rsid w:val="00834A81"/>
    <w:rsid w:val="00A64E5F"/>
    <w:rsid w:val="00E3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79AE"/>
  <w15:chartTrackingRefBased/>
  <w15:docId w15:val="{57E6DC86-4828-4D82-BF2D-860A20DC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766"/>
    <w:pPr>
      <w:keepNext/>
      <w:keepLines/>
      <w:spacing w:after="0" w:line="240" w:lineRule="auto"/>
      <w:outlineLvl w:val="0"/>
    </w:pPr>
    <w:rPr>
      <w:rFonts w:ascii="Arial" w:eastAsiaTheme="majorEastAsia" w:hAnsi="Arial"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basedOn w:val="Normal"/>
    <w:link w:val="DORChar"/>
    <w:autoRedefine/>
    <w:qFormat/>
    <w:rsid w:val="00A64E5F"/>
    <w:pPr>
      <w:spacing w:after="0" w:line="240" w:lineRule="auto"/>
    </w:pPr>
    <w:rPr>
      <w:rFonts w:ascii="Arial" w:hAnsi="Arial" w:cs="Calibri"/>
      <w:kern w:val="0"/>
      <w:sz w:val="28"/>
    </w:rPr>
  </w:style>
  <w:style w:type="character" w:customStyle="1" w:styleId="DORChar">
    <w:name w:val="DOR Char"/>
    <w:basedOn w:val="DefaultParagraphFont"/>
    <w:link w:val="DOR"/>
    <w:rsid w:val="00A64E5F"/>
    <w:rPr>
      <w:rFonts w:ascii="Arial" w:hAnsi="Arial" w:cs="Calibri"/>
      <w:kern w:val="0"/>
      <w:sz w:val="28"/>
    </w:rPr>
  </w:style>
  <w:style w:type="character" w:styleId="Hyperlink">
    <w:name w:val="Hyperlink"/>
    <w:basedOn w:val="DefaultParagraphFont"/>
    <w:uiPriority w:val="99"/>
    <w:unhideWhenUsed/>
    <w:rsid w:val="00505766"/>
    <w:rPr>
      <w:color w:val="0563C1"/>
      <w:u w:val="single"/>
    </w:rPr>
  </w:style>
  <w:style w:type="character" w:customStyle="1" w:styleId="Heading1Char">
    <w:name w:val="Heading 1 Char"/>
    <w:basedOn w:val="DefaultParagraphFont"/>
    <w:link w:val="Heading1"/>
    <w:uiPriority w:val="9"/>
    <w:rsid w:val="00505766"/>
    <w:rPr>
      <w:rFonts w:ascii="Arial" w:eastAsiaTheme="majorEastAsia" w:hAnsi="Arial" w:cstheme="majorBidi"/>
      <w:b/>
      <w:sz w:val="28"/>
      <w:szCs w:val="32"/>
      <w:u w:val="single"/>
    </w:rPr>
  </w:style>
  <w:style w:type="character" w:styleId="UnresolvedMention">
    <w:name w:val="Unresolved Mention"/>
    <w:basedOn w:val="DefaultParagraphFont"/>
    <w:uiPriority w:val="99"/>
    <w:semiHidden/>
    <w:unhideWhenUsed/>
    <w:rsid w:val="00E3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6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cfr.gov%2Fcurrent%2Ftitle-34%2Fsubtitle-B%2Fchapter-III%2Fpart-361%23361.57&amp;data=05%7C02%7CKate.Bjerke%40dor.ca.gov%7C22bf72fbb6814f45402508dc63ed845c%7C19ed70549d9743c792b16781b6b95b68%7C0%7C0%7C638495120422870450%7CUnknown%7CTWFpbGZsb3d8eyJWIjoiMC4wLjAwMDAiLCJQIjoiV2luMzIiLCJBTiI6Ik1haWwiLCJXVCI6Mn0%3D%7C0%7C%7C%7C&amp;sdata=GqifQVBsaulLdam1l6G4kRv6mSXg12QkhE%2FjIhfV%2FQk%3D&amp;reserved=0" TargetMode="External"/><Relationship Id="rId3" Type="http://schemas.openxmlformats.org/officeDocument/2006/relationships/settings" Target="settings.xml"/><Relationship Id="rId7" Type="http://schemas.openxmlformats.org/officeDocument/2006/relationships/hyperlink" Target="https://www.dor.ca.gov/Home/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licaccessstorage.blob.core.usgovcloudapi.net/publicsitefiles/DOR%20Documents/Forms/DR107%20Request%20For%20Mediation.pdf" TargetMode="External"/><Relationship Id="rId11" Type="http://schemas.openxmlformats.org/officeDocument/2006/relationships/fontTable" Target="fontTable.xml"/><Relationship Id="rId5" Type="http://schemas.openxmlformats.org/officeDocument/2006/relationships/hyperlink" Target="https://publicaccessstorage.blob.core.usgovcloudapi.net/publicsitefiles/DOR%20Documents/Forms/DR1000%20Rights%20%26%20Remedies.pdf" TargetMode="External"/><Relationship Id="rId10" Type="http://schemas.openxmlformats.org/officeDocument/2006/relationships/hyperlink" Target="https://gcc02.safelinks.protection.outlook.com/?url=https%3A%2F%2Fgovt.westlaw.com%2Fcalregs%2FBrowse%2FHome%2FCalifornia%2FCaliforniaCodeofRegulations%3Fguid%3DI59E145704C6B11EC93A8000D3A7C4BC3%26originationContext%3Ddocumenttoc%26transitionType%3DDefault%26contextData%3D(sc.Default)&amp;data=05%7C02%7CKate.Bjerke%40dor.ca.gov%7C22bf72fbb6814f45402508dc63ed845c%7C19ed70549d9743c792b16781b6b95b68%7C0%7C0%7C638495120422887498%7CUnknown%7CTWFpbGZsb3d8eyJWIjoiMC4wLjAwMDAiLCJQIjoiV2luMzIiLCJBTiI6Ik1haWwiLCJXVCI6Mn0%3D%7C0%7C%7C%7C&amp;sdata=wBGU42R%2BRStBnQFS15aHEeLGrLGIrX16GphnNCjGyxs%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eginfo.legislature.ca.gov%2Ffaces%2Fcodes_displaySection.xhtml%3FlawCode%3DWIC%26sectionNum%3D19705.&amp;data=05%7C02%7CKate.Bjerke%40dor.ca.gov%7C22bf72fbb6814f45402508dc63ed845c%7C19ed70549d9743c792b16781b6b95b68%7C0%7C0%7C638495120422880558%7CUnknown%7CTWFpbGZsb3d8eyJWIjoiMC4wLjAwMDAiLCJQIjoiV2luMzIiLCJBTiI6Ik1haWwiLCJXVCI6Mn0%3D%7C0%7C%7C%7C&amp;sdata=HNPlxAY%2BaWA5cMblhfZoUi46DsQe6KwpWnOuczZkQy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448E-ACE3-4936-AE09-662440F8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6</cp:revision>
  <dcterms:created xsi:type="dcterms:W3CDTF">2024-05-01T21:43:00Z</dcterms:created>
  <dcterms:modified xsi:type="dcterms:W3CDTF">2024-05-02T20:42:00Z</dcterms:modified>
</cp:coreProperties>
</file>