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A5C31" w14:textId="77777777" w:rsidR="00F870D3" w:rsidRPr="000777EC" w:rsidRDefault="00F870D3" w:rsidP="00F870D3">
      <w:pPr>
        <w:shd w:val="clear" w:color="auto" w:fill="FFFFFF"/>
        <w:spacing w:after="0" w:line="240" w:lineRule="auto"/>
        <w:outlineLvl w:val="0"/>
        <w:rPr>
          <w:rFonts w:ascii="Arial" w:eastAsia="Times New Roman" w:hAnsi="Arial" w:cs="Arial"/>
          <w:b/>
          <w:bCs/>
          <w:kern w:val="36"/>
          <w:sz w:val="28"/>
          <w:szCs w:val="28"/>
          <w14:ligatures w14:val="none"/>
        </w:rPr>
      </w:pPr>
      <w:r w:rsidRPr="00F870D3">
        <w:rPr>
          <w:rFonts w:ascii="Arial" w:eastAsia="Times New Roman" w:hAnsi="Arial" w:cs="Arial"/>
          <w:b/>
          <w:bCs/>
          <w:kern w:val="36"/>
          <w:sz w:val="28"/>
          <w:szCs w:val="28"/>
          <w14:ligatures w14:val="none"/>
        </w:rPr>
        <w:t>Cal. Code Regs. Tit. 9, § 7331 - Accreditation and Certification</w:t>
      </w:r>
    </w:p>
    <w:p w14:paraId="34958987" w14:textId="77777777" w:rsidR="000777EC" w:rsidRPr="00F870D3" w:rsidRDefault="000777EC" w:rsidP="00F870D3">
      <w:pPr>
        <w:shd w:val="clear" w:color="auto" w:fill="FFFFFF"/>
        <w:spacing w:after="0" w:line="240" w:lineRule="auto"/>
        <w:outlineLvl w:val="0"/>
        <w:rPr>
          <w:rFonts w:ascii="Arial" w:eastAsia="Times New Roman" w:hAnsi="Arial" w:cs="Arial"/>
          <w:kern w:val="36"/>
          <w:sz w:val="28"/>
          <w:szCs w:val="28"/>
          <w14:ligatures w14:val="none"/>
        </w:rPr>
      </w:pPr>
    </w:p>
    <w:p w14:paraId="3089AB64" w14:textId="77777777" w:rsidR="00F870D3" w:rsidRPr="000777EC"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 xml:space="preserve">(a) The Department shall with the exception of facilities providing services primarily to the blind, deaf and/or independent living centers, require that public and private non-profit rehabilitation facilities offering </w:t>
      </w:r>
      <w:proofErr w:type="gramStart"/>
      <w:r w:rsidRPr="00F870D3">
        <w:rPr>
          <w:rFonts w:ascii="Arial" w:eastAsia="Times New Roman" w:hAnsi="Arial" w:cs="Arial"/>
          <w:kern w:val="0"/>
          <w:sz w:val="28"/>
          <w:szCs w:val="28"/>
          <w14:ligatures w14:val="none"/>
        </w:rPr>
        <w:t>work oriented</w:t>
      </w:r>
      <w:proofErr w:type="gramEnd"/>
      <w:r w:rsidRPr="00F870D3">
        <w:rPr>
          <w:rFonts w:ascii="Arial" w:eastAsia="Times New Roman" w:hAnsi="Arial" w:cs="Arial"/>
          <w:kern w:val="0"/>
          <w:sz w:val="28"/>
          <w:szCs w:val="28"/>
          <w14:ligatures w14:val="none"/>
        </w:rPr>
        <w:t xml:space="preserve"> programs and services be accredited by the Commission on Accreditation of Rehabilitation Facilities (CARF) in the primary program emphasis of the services to be purchased. Applicants for grant funding must also meet accreditation criteria when applicable or be certified by the Department. To be certified they shall have a plan for seeking accreditation.</w:t>
      </w:r>
    </w:p>
    <w:p w14:paraId="618F2FF0" w14:textId="77777777" w:rsidR="006608FE" w:rsidRPr="00F870D3" w:rsidRDefault="006608FE" w:rsidP="00F870D3">
      <w:pPr>
        <w:shd w:val="clear" w:color="auto" w:fill="FFFFFF"/>
        <w:spacing w:after="0" w:line="240" w:lineRule="auto"/>
        <w:rPr>
          <w:rFonts w:ascii="Arial" w:eastAsia="Times New Roman" w:hAnsi="Arial" w:cs="Arial"/>
          <w:kern w:val="0"/>
          <w:sz w:val="28"/>
          <w:szCs w:val="28"/>
          <w14:ligatures w14:val="none"/>
        </w:rPr>
      </w:pPr>
    </w:p>
    <w:p w14:paraId="2C80F086" w14:textId="77777777" w:rsidR="00F870D3" w:rsidRPr="000777EC"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(b) The Department shall supplement programs accredited by CARF with a certification of specific services. This certification will take place no less than every three years and will be based on standards developed by the Department.</w:t>
      </w:r>
    </w:p>
    <w:p w14:paraId="1C30A3BC" w14:textId="77777777" w:rsidR="006608FE" w:rsidRPr="00F870D3" w:rsidRDefault="006608FE" w:rsidP="00F870D3">
      <w:pPr>
        <w:shd w:val="clear" w:color="auto" w:fill="FFFFFF"/>
        <w:spacing w:after="0" w:line="240" w:lineRule="auto"/>
        <w:rPr>
          <w:rFonts w:ascii="Arial" w:eastAsia="Times New Roman" w:hAnsi="Arial" w:cs="Arial"/>
          <w:kern w:val="0"/>
          <w:sz w:val="28"/>
          <w:szCs w:val="28"/>
          <w14:ligatures w14:val="none"/>
        </w:rPr>
      </w:pPr>
    </w:p>
    <w:p w14:paraId="69980C4F" w14:textId="77777777" w:rsidR="00F870D3" w:rsidRPr="000777EC"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(c) The Department shall require other rehabilitation facilities to meet certification standards of the Department. The Standards for Certification shall be developed by the Department in consultation with a representative group of providers and recipients of vocational rehabilitation services.</w:t>
      </w:r>
    </w:p>
    <w:p w14:paraId="31653E73" w14:textId="77777777" w:rsidR="006608FE" w:rsidRPr="00F870D3" w:rsidRDefault="006608FE" w:rsidP="00F870D3">
      <w:pPr>
        <w:shd w:val="clear" w:color="auto" w:fill="FFFFFF"/>
        <w:spacing w:after="0" w:line="240" w:lineRule="auto"/>
        <w:rPr>
          <w:rFonts w:ascii="Arial" w:eastAsia="Times New Roman" w:hAnsi="Arial" w:cs="Arial"/>
          <w:kern w:val="0"/>
          <w:sz w:val="28"/>
          <w:szCs w:val="28"/>
          <w14:ligatures w14:val="none"/>
        </w:rPr>
      </w:pPr>
    </w:p>
    <w:p w14:paraId="091D256B" w14:textId="77777777" w:rsidR="00F870D3" w:rsidRPr="000777EC"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(d) Upon written request by a Community Rehabilitation Program (CRP) and proof that its annual service expenditures are at or below fifty thousand dollars ($50,000) for three prior, consecutive years, the Department may waive the CARF accreditation requirements herein.</w:t>
      </w:r>
    </w:p>
    <w:p w14:paraId="31B97902" w14:textId="77777777" w:rsidR="006608FE" w:rsidRPr="00F870D3" w:rsidRDefault="006608FE" w:rsidP="00F870D3">
      <w:pPr>
        <w:shd w:val="clear" w:color="auto" w:fill="FFFFFF"/>
        <w:spacing w:after="0" w:line="240" w:lineRule="auto"/>
        <w:rPr>
          <w:rFonts w:ascii="Arial" w:eastAsia="Times New Roman" w:hAnsi="Arial" w:cs="Arial"/>
          <w:kern w:val="0"/>
          <w:sz w:val="28"/>
          <w:szCs w:val="28"/>
          <w14:ligatures w14:val="none"/>
        </w:rPr>
      </w:pPr>
    </w:p>
    <w:p w14:paraId="3E3130DE" w14:textId="77777777" w:rsidR="00F870D3" w:rsidRPr="000777EC" w:rsidRDefault="00F870D3" w:rsidP="006608FE">
      <w:pPr>
        <w:shd w:val="clear" w:color="auto" w:fill="FFFFFF"/>
        <w:spacing w:after="0" w:line="240" w:lineRule="auto"/>
        <w:ind w:left="720"/>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(1) The Department will provide written approval or denial of the request on the condition that annual expenditures do not exceed fifty thousand dollars ($50,000</w:t>
      </w:r>
      <w:proofErr w:type="gramStart"/>
      <w:r w:rsidRPr="00F870D3">
        <w:rPr>
          <w:rFonts w:ascii="Arial" w:eastAsia="Times New Roman" w:hAnsi="Arial" w:cs="Arial"/>
          <w:kern w:val="0"/>
          <w:sz w:val="28"/>
          <w:szCs w:val="28"/>
          <w14:ligatures w14:val="none"/>
        </w:rPr>
        <w:t>), and</w:t>
      </w:r>
      <w:proofErr w:type="gramEnd"/>
      <w:r w:rsidRPr="00F870D3">
        <w:rPr>
          <w:rFonts w:ascii="Arial" w:eastAsia="Times New Roman" w:hAnsi="Arial" w:cs="Arial"/>
          <w:kern w:val="0"/>
          <w:sz w:val="28"/>
          <w:szCs w:val="28"/>
          <w14:ligatures w14:val="none"/>
        </w:rPr>
        <w:t xml:space="preserve"> may rescind the waiver if the Department determines that the CRP is not in compliance with any law or regulation.</w:t>
      </w:r>
    </w:p>
    <w:p w14:paraId="2082B25F" w14:textId="77777777" w:rsidR="006608FE" w:rsidRPr="00F870D3" w:rsidRDefault="006608FE" w:rsidP="00F870D3">
      <w:pPr>
        <w:shd w:val="clear" w:color="auto" w:fill="FFFFFF"/>
        <w:spacing w:after="0" w:line="240" w:lineRule="auto"/>
        <w:rPr>
          <w:rFonts w:ascii="Arial" w:eastAsia="Times New Roman" w:hAnsi="Arial" w:cs="Arial"/>
          <w:kern w:val="0"/>
          <w:sz w:val="28"/>
          <w:szCs w:val="28"/>
          <w14:ligatures w14:val="none"/>
        </w:rPr>
      </w:pPr>
    </w:p>
    <w:p w14:paraId="04E5E055" w14:textId="433D8684" w:rsidR="00284BEF" w:rsidRDefault="00F870D3" w:rsidP="00284BEF">
      <w:pPr>
        <w:shd w:val="clear" w:color="auto" w:fill="FFFFFF"/>
        <w:spacing w:after="0" w:line="240" w:lineRule="auto"/>
        <w:ind w:left="720"/>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(2) The Department's waiver shall not supersede any other agency's or Regional Center's requirement of CARF accreditation or service standards.</w:t>
      </w:r>
    </w:p>
    <w:p w14:paraId="4A8E678A" w14:textId="46228EB5" w:rsidR="00284BEF" w:rsidRPr="000777EC" w:rsidRDefault="00284BEF" w:rsidP="00284BEF">
      <w:pPr>
        <w:pBdr>
          <w:bottom w:val="single" w:sz="6" w:space="1" w:color="auto"/>
        </w:pBdr>
        <w:shd w:val="clear" w:color="auto" w:fill="FFFFFF"/>
        <w:spacing w:after="0" w:line="240" w:lineRule="auto"/>
        <w:rPr>
          <w:rFonts w:ascii="Arial" w:eastAsia="Times New Roman" w:hAnsi="Arial" w:cs="Arial"/>
          <w:kern w:val="0"/>
          <w:sz w:val="28"/>
          <w:szCs w:val="28"/>
          <w14:ligatures w14:val="none"/>
        </w:rPr>
      </w:pPr>
    </w:p>
    <w:p w14:paraId="608F1908" w14:textId="77777777" w:rsidR="00284BEF" w:rsidRPr="00F870D3" w:rsidRDefault="00284BEF" w:rsidP="00F870D3">
      <w:pPr>
        <w:shd w:val="clear" w:color="auto" w:fill="FFFFFF"/>
        <w:spacing w:after="0" w:line="240" w:lineRule="auto"/>
        <w:rPr>
          <w:rFonts w:ascii="Arial" w:eastAsia="Times New Roman" w:hAnsi="Arial" w:cs="Arial"/>
          <w:kern w:val="0"/>
          <w:sz w:val="28"/>
          <w:szCs w:val="28"/>
          <w14:ligatures w14:val="none"/>
        </w:rPr>
      </w:pPr>
    </w:p>
    <w:p w14:paraId="4A404D9D" w14:textId="77777777" w:rsidR="00F870D3" w:rsidRPr="00F870D3" w:rsidRDefault="00F870D3" w:rsidP="00F870D3">
      <w:pPr>
        <w:shd w:val="clear" w:color="auto" w:fill="FFFFFF"/>
        <w:spacing w:after="0" w:line="240" w:lineRule="auto"/>
        <w:outlineLvl w:val="1"/>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Notes</w:t>
      </w:r>
    </w:p>
    <w:p w14:paraId="1FEE5FDF" w14:textId="77777777" w:rsidR="00F870D3" w:rsidRPr="00F870D3"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Cal. Code Regs. Tit. 9, § 7331</w:t>
      </w:r>
    </w:p>
    <w:p w14:paraId="16E0BC17" w14:textId="3C39E7A9" w:rsidR="00F870D3" w:rsidRPr="00F870D3"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lastRenderedPageBreak/>
        <w:t>1. Amendment of subsection (b), new subsections (e)-(e)(2) and amendment of NOTE filed 8-4-2009; operative 9-3-2009 (Register 2009, No. 32).</w:t>
      </w:r>
      <w:r w:rsidRPr="00F870D3">
        <w:rPr>
          <w:rFonts w:ascii="Arial" w:eastAsia="Times New Roman" w:hAnsi="Arial" w:cs="Arial"/>
          <w:kern w:val="0"/>
          <w:sz w:val="28"/>
          <w:szCs w:val="28"/>
          <w14:ligatures w14:val="none"/>
        </w:rPr>
        <w:br/>
        <w:t xml:space="preserve">2. </w:t>
      </w:r>
      <w:proofErr w:type="spellStart"/>
      <w:r w:rsidRPr="00F870D3">
        <w:rPr>
          <w:rFonts w:ascii="Arial" w:eastAsia="Times New Roman" w:hAnsi="Arial" w:cs="Arial"/>
          <w:kern w:val="0"/>
          <w:sz w:val="28"/>
          <w:szCs w:val="28"/>
          <w14:ligatures w14:val="none"/>
        </w:rPr>
        <w:t>Repealer</w:t>
      </w:r>
      <w:proofErr w:type="spellEnd"/>
      <w:r w:rsidRPr="00F870D3">
        <w:rPr>
          <w:rFonts w:ascii="Arial" w:eastAsia="Times New Roman" w:hAnsi="Arial" w:cs="Arial"/>
          <w:kern w:val="0"/>
          <w:sz w:val="28"/>
          <w:szCs w:val="28"/>
          <w14:ligatures w14:val="none"/>
        </w:rPr>
        <w:t xml:space="preserve"> of subsections (b)(1)-(c), subsection </w:t>
      </w:r>
      <w:proofErr w:type="spellStart"/>
      <w:r w:rsidRPr="00F870D3">
        <w:rPr>
          <w:rFonts w:ascii="Arial" w:eastAsia="Times New Roman" w:hAnsi="Arial" w:cs="Arial"/>
          <w:kern w:val="0"/>
          <w:sz w:val="28"/>
          <w:szCs w:val="28"/>
          <w14:ligatures w14:val="none"/>
        </w:rPr>
        <w:t>relettering</w:t>
      </w:r>
      <w:proofErr w:type="spellEnd"/>
      <w:r w:rsidRPr="00F870D3">
        <w:rPr>
          <w:rFonts w:ascii="Arial" w:eastAsia="Times New Roman" w:hAnsi="Arial" w:cs="Arial"/>
          <w:kern w:val="0"/>
          <w:sz w:val="28"/>
          <w:szCs w:val="28"/>
          <w14:ligatures w14:val="none"/>
        </w:rPr>
        <w:t xml:space="preserve"> and amendment of NOTE filed 2-17-2023; operative 2-17-2023 pursuant to Government Code section 11343.4(b)(3) (Register 2023, No. 7).</w:t>
      </w:r>
    </w:p>
    <w:p w14:paraId="469C7C2C" w14:textId="77777777" w:rsidR="00F870D3" w:rsidRPr="00F870D3"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Note: Authority cited: Sections 19006 and 19016, Welfare and Institutions Code. Reference: 29 USC Sections </w:t>
      </w:r>
      <w:hyperlink r:id="rId7" w:history="1">
        <w:r w:rsidRPr="00F870D3">
          <w:rPr>
            <w:rFonts w:ascii="Arial" w:eastAsia="Times New Roman" w:hAnsi="Arial" w:cs="Arial"/>
            <w:kern w:val="0"/>
            <w:sz w:val="28"/>
            <w:szCs w:val="28"/>
            <w14:ligatures w14:val="none"/>
          </w:rPr>
          <w:t>705</w:t>
        </w:r>
      </w:hyperlink>
      <w:r w:rsidRPr="00F870D3">
        <w:rPr>
          <w:rFonts w:ascii="Arial" w:eastAsia="Times New Roman" w:hAnsi="Arial" w:cs="Arial"/>
          <w:kern w:val="0"/>
          <w:sz w:val="28"/>
          <w:szCs w:val="28"/>
          <w14:ligatures w14:val="none"/>
        </w:rPr>
        <w:t> and </w:t>
      </w:r>
      <w:hyperlink r:id="rId8" w:history="1">
        <w:r w:rsidRPr="00F870D3">
          <w:rPr>
            <w:rFonts w:ascii="Arial" w:eastAsia="Times New Roman" w:hAnsi="Arial" w:cs="Arial"/>
            <w:kern w:val="0"/>
            <w:sz w:val="28"/>
            <w:szCs w:val="28"/>
            <w14:ligatures w14:val="none"/>
          </w:rPr>
          <w:t>723</w:t>
        </w:r>
      </w:hyperlink>
      <w:r w:rsidRPr="00F870D3">
        <w:rPr>
          <w:rFonts w:ascii="Arial" w:eastAsia="Times New Roman" w:hAnsi="Arial" w:cs="Arial"/>
          <w:kern w:val="0"/>
          <w:sz w:val="28"/>
          <w:szCs w:val="28"/>
          <w14:ligatures w14:val="none"/>
        </w:rPr>
        <w:t>; 34 CFR Sections </w:t>
      </w:r>
      <w:hyperlink r:id="rId9" w:history="1">
        <w:r w:rsidRPr="00F870D3">
          <w:rPr>
            <w:rFonts w:ascii="Arial" w:eastAsia="Times New Roman" w:hAnsi="Arial" w:cs="Arial"/>
            <w:kern w:val="0"/>
            <w:sz w:val="28"/>
            <w:szCs w:val="28"/>
            <w14:ligatures w14:val="none"/>
          </w:rPr>
          <w:t>361.5</w:t>
        </w:r>
      </w:hyperlink>
      <w:r w:rsidRPr="00F870D3">
        <w:rPr>
          <w:rFonts w:ascii="Arial" w:eastAsia="Times New Roman" w:hAnsi="Arial" w:cs="Arial"/>
          <w:kern w:val="0"/>
          <w:sz w:val="28"/>
          <w:szCs w:val="28"/>
          <w14:ligatures w14:val="none"/>
        </w:rPr>
        <w:t>, </w:t>
      </w:r>
      <w:hyperlink r:id="rId10" w:history="1">
        <w:r w:rsidRPr="00F870D3">
          <w:rPr>
            <w:rFonts w:ascii="Arial" w:eastAsia="Times New Roman" w:hAnsi="Arial" w:cs="Arial"/>
            <w:kern w:val="0"/>
            <w:sz w:val="28"/>
            <w:szCs w:val="28"/>
            <w14:ligatures w14:val="none"/>
          </w:rPr>
          <w:t>361.48</w:t>
        </w:r>
      </w:hyperlink>
      <w:r w:rsidRPr="00F870D3">
        <w:rPr>
          <w:rFonts w:ascii="Arial" w:eastAsia="Times New Roman" w:hAnsi="Arial" w:cs="Arial"/>
          <w:kern w:val="0"/>
          <w:sz w:val="28"/>
          <w:szCs w:val="28"/>
          <w14:ligatures w14:val="none"/>
        </w:rPr>
        <w:t> and </w:t>
      </w:r>
      <w:hyperlink r:id="rId11" w:history="1">
        <w:r w:rsidRPr="00F870D3">
          <w:rPr>
            <w:rFonts w:ascii="Arial" w:eastAsia="Times New Roman" w:hAnsi="Arial" w:cs="Arial"/>
            <w:kern w:val="0"/>
            <w:sz w:val="28"/>
            <w:szCs w:val="28"/>
            <w14:ligatures w14:val="none"/>
          </w:rPr>
          <w:t>361.50</w:t>
        </w:r>
      </w:hyperlink>
      <w:r w:rsidRPr="00F870D3">
        <w:rPr>
          <w:rFonts w:ascii="Arial" w:eastAsia="Times New Roman" w:hAnsi="Arial" w:cs="Arial"/>
          <w:kern w:val="0"/>
          <w:sz w:val="28"/>
          <w:szCs w:val="28"/>
          <w14:ligatures w14:val="none"/>
        </w:rPr>
        <w:t>; and Sections </w:t>
      </w:r>
      <w:hyperlink r:id="rId12" w:history="1">
        <w:r w:rsidRPr="00F870D3">
          <w:rPr>
            <w:rFonts w:ascii="Arial" w:eastAsia="Times New Roman" w:hAnsi="Arial" w:cs="Arial"/>
            <w:kern w:val="0"/>
            <w:sz w:val="28"/>
            <w:szCs w:val="28"/>
            <w14:ligatures w14:val="none"/>
          </w:rPr>
          <w:t>19011</w:t>
        </w:r>
      </w:hyperlink>
      <w:r w:rsidRPr="00F870D3">
        <w:rPr>
          <w:rFonts w:ascii="Arial" w:eastAsia="Times New Roman" w:hAnsi="Arial" w:cs="Arial"/>
          <w:kern w:val="0"/>
          <w:sz w:val="28"/>
          <w:szCs w:val="28"/>
          <w14:ligatures w14:val="none"/>
        </w:rPr>
        <w:t> and </w:t>
      </w:r>
      <w:hyperlink r:id="rId13" w:history="1">
        <w:r w:rsidRPr="00F870D3">
          <w:rPr>
            <w:rFonts w:ascii="Arial" w:eastAsia="Times New Roman" w:hAnsi="Arial" w:cs="Arial"/>
            <w:kern w:val="0"/>
            <w:sz w:val="28"/>
            <w:szCs w:val="28"/>
            <w14:ligatures w14:val="none"/>
          </w:rPr>
          <w:t>19401</w:t>
        </w:r>
      </w:hyperlink>
      <w:r w:rsidRPr="00F870D3">
        <w:rPr>
          <w:rFonts w:ascii="Arial" w:eastAsia="Times New Roman" w:hAnsi="Arial" w:cs="Arial"/>
          <w:kern w:val="0"/>
          <w:sz w:val="28"/>
          <w:szCs w:val="28"/>
          <w14:ligatures w14:val="none"/>
        </w:rPr>
        <w:t>, Welfare and Institutions Code.</w:t>
      </w:r>
    </w:p>
    <w:p w14:paraId="2BBB70E6" w14:textId="77777777" w:rsidR="006608FE" w:rsidRPr="000777EC" w:rsidRDefault="006608FE" w:rsidP="00F870D3">
      <w:pPr>
        <w:shd w:val="clear" w:color="auto" w:fill="FFFFFF"/>
        <w:spacing w:after="0" w:line="240" w:lineRule="auto"/>
        <w:rPr>
          <w:rFonts w:ascii="Arial" w:eastAsia="Times New Roman" w:hAnsi="Arial" w:cs="Arial"/>
          <w:kern w:val="0"/>
          <w:sz w:val="28"/>
          <w:szCs w:val="28"/>
          <w14:ligatures w14:val="none"/>
        </w:rPr>
      </w:pPr>
    </w:p>
    <w:p w14:paraId="7C547833" w14:textId="12F06766" w:rsidR="00F870D3" w:rsidRPr="00F870D3" w:rsidRDefault="00F870D3" w:rsidP="00F870D3">
      <w:pPr>
        <w:shd w:val="clear" w:color="auto" w:fill="FFFFFF"/>
        <w:spacing w:after="0" w:line="240" w:lineRule="auto"/>
        <w:rPr>
          <w:rFonts w:ascii="Arial" w:eastAsia="Times New Roman" w:hAnsi="Arial" w:cs="Arial"/>
          <w:kern w:val="0"/>
          <w:sz w:val="28"/>
          <w:szCs w:val="28"/>
          <w14:ligatures w14:val="none"/>
        </w:rPr>
      </w:pPr>
      <w:r w:rsidRPr="00F870D3">
        <w:rPr>
          <w:rFonts w:ascii="Arial" w:eastAsia="Times New Roman" w:hAnsi="Arial" w:cs="Arial"/>
          <w:kern w:val="0"/>
          <w:sz w:val="28"/>
          <w:szCs w:val="28"/>
          <w14:ligatures w14:val="none"/>
        </w:rPr>
        <w:t>1. Amendment of subsection (b), new subsections (e)-(e)(2) and amendment of Note filed 8-4-2009; operative 9-3-2009 (Register 2009, No. 32).</w:t>
      </w:r>
      <w:r w:rsidRPr="00F870D3">
        <w:rPr>
          <w:rFonts w:ascii="Arial" w:eastAsia="Times New Roman" w:hAnsi="Arial" w:cs="Arial"/>
          <w:kern w:val="0"/>
          <w:sz w:val="28"/>
          <w:szCs w:val="28"/>
          <w14:ligatures w14:val="none"/>
        </w:rPr>
        <w:br/>
        <w:t xml:space="preserve">2. </w:t>
      </w:r>
      <w:proofErr w:type="spellStart"/>
      <w:r w:rsidRPr="00F870D3">
        <w:rPr>
          <w:rFonts w:ascii="Arial" w:eastAsia="Times New Roman" w:hAnsi="Arial" w:cs="Arial"/>
          <w:kern w:val="0"/>
          <w:sz w:val="28"/>
          <w:szCs w:val="28"/>
          <w14:ligatures w14:val="none"/>
        </w:rPr>
        <w:t>Repealer</w:t>
      </w:r>
      <w:proofErr w:type="spellEnd"/>
      <w:r w:rsidRPr="00F870D3">
        <w:rPr>
          <w:rFonts w:ascii="Arial" w:eastAsia="Times New Roman" w:hAnsi="Arial" w:cs="Arial"/>
          <w:kern w:val="0"/>
          <w:sz w:val="28"/>
          <w:szCs w:val="28"/>
          <w14:ligatures w14:val="none"/>
        </w:rPr>
        <w:t xml:space="preserve"> of subsections (b)(1)-(c), subsection </w:t>
      </w:r>
      <w:proofErr w:type="spellStart"/>
      <w:r w:rsidRPr="00F870D3">
        <w:rPr>
          <w:rFonts w:ascii="Arial" w:eastAsia="Times New Roman" w:hAnsi="Arial" w:cs="Arial"/>
          <w:kern w:val="0"/>
          <w:sz w:val="28"/>
          <w:szCs w:val="28"/>
          <w14:ligatures w14:val="none"/>
        </w:rPr>
        <w:t>relettering</w:t>
      </w:r>
      <w:proofErr w:type="spellEnd"/>
      <w:r w:rsidRPr="00F870D3">
        <w:rPr>
          <w:rFonts w:ascii="Arial" w:eastAsia="Times New Roman" w:hAnsi="Arial" w:cs="Arial"/>
          <w:kern w:val="0"/>
          <w:sz w:val="28"/>
          <w:szCs w:val="28"/>
          <w14:ligatures w14:val="none"/>
        </w:rPr>
        <w:t xml:space="preserve"> and amendment of NOTE filed 2-17-2023; operative 2/17/2023 pursuant to Government Code section 11343.4(b)(3) (Register 2023, No. 7).</w:t>
      </w:r>
    </w:p>
    <w:p w14:paraId="63760AC1" w14:textId="77777777" w:rsidR="006F4C97" w:rsidRPr="000777EC" w:rsidRDefault="006F4C97" w:rsidP="00F870D3">
      <w:pPr>
        <w:spacing w:after="0" w:line="240" w:lineRule="auto"/>
        <w:rPr>
          <w:rFonts w:ascii="Arial" w:hAnsi="Arial" w:cs="Arial"/>
          <w:sz w:val="28"/>
          <w:szCs w:val="28"/>
        </w:rPr>
      </w:pPr>
    </w:p>
    <w:sectPr w:rsidR="006F4C97" w:rsidRPr="00077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9075" w14:textId="77777777" w:rsidR="00284BEF" w:rsidRDefault="00284BEF" w:rsidP="00284BEF">
      <w:pPr>
        <w:spacing w:after="0" w:line="240" w:lineRule="auto"/>
      </w:pPr>
      <w:r>
        <w:separator/>
      </w:r>
    </w:p>
  </w:endnote>
  <w:endnote w:type="continuationSeparator" w:id="0">
    <w:p w14:paraId="747F230A" w14:textId="77777777" w:rsidR="00284BEF" w:rsidRDefault="00284BEF" w:rsidP="0028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E1A6" w14:textId="77777777" w:rsidR="00284BEF" w:rsidRDefault="00284BEF" w:rsidP="00284BEF">
      <w:pPr>
        <w:spacing w:after="0" w:line="240" w:lineRule="auto"/>
      </w:pPr>
      <w:r>
        <w:separator/>
      </w:r>
    </w:p>
  </w:footnote>
  <w:footnote w:type="continuationSeparator" w:id="0">
    <w:p w14:paraId="759186B6" w14:textId="77777777" w:rsidR="00284BEF" w:rsidRDefault="00284BEF" w:rsidP="0028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F676D"/>
    <w:multiLevelType w:val="multilevel"/>
    <w:tmpl w:val="0CB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44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D3"/>
    <w:rsid w:val="000777EC"/>
    <w:rsid w:val="00284BEF"/>
    <w:rsid w:val="006608FE"/>
    <w:rsid w:val="006F4C97"/>
    <w:rsid w:val="00861AD4"/>
    <w:rsid w:val="009F41ED"/>
    <w:rsid w:val="00A64E5F"/>
    <w:rsid w:val="00F8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92DF"/>
  <w15:chartTrackingRefBased/>
  <w15:docId w15:val="{C87EA69F-8AD4-4327-8CED-FC6C76EA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7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character" w:customStyle="1" w:styleId="Heading1Char">
    <w:name w:val="Heading 1 Char"/>
    <w:basedOn w:val="DefaultParagraphFont"/>
    <w:link w:val="Heading1"/>
    <w:uiPriority w:val="9"/>
    <w:rsid w:val="00F87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7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0D3"/>
    <w:rPr>
      <w:rFonts w:eastAsiaTheme="majorEastAsia" w:cstheme="majorBidi"/>
      <w:color w:val="272727" w:themeColor="text1" w:themeTint="D8"/>
    </w:rPr>
  </w:style>
  <w:style w:type="paragraph" w:styleId="Title">
    <w:name w:val="Title"/>
    <w:basedOn w:val="Normal"/>
    <w:next w:val="Normal"/>
    <w:link w:val="TitleChar"/>
    <w:uiPriority w:val="10"/>
    <w:qFormat/>
    <w:rsid w:val="00F87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0D3"/>
    <w:pPr>
      <w:spacing w:before="160"/>
      <w:jc w:val="center"/>
    </w:pPr>
    <w:rPr>
      <w:i/>
      <w:iCs/>
      <w:color w:val="404040" w:themeColor="text1" w:themeTint="BF"/>
    </w:rPr>
  </w:style>
  <w:style w:type="character" w:customStyle="1" w:styleId="QuoteChar">
    <w:name w:val="Quote Char"/>
    <w:basedOn w:val="DefaultParagraphFont"/>
    <w:link w:val="Quote"/>
    <w:uiPriority w:val="29"/>
    <w:rsid w:val="00F870D3"/>
    <w:rPr>
      <w:i/>
      <w:iCs/>
      <w:color w:val="404040" w:themeColor="text1" w:themeTint="BF"/>
    </w:rPr>
  </w:style>
  <w:style w:type="paragraph" w:styleId="ListParagraph">
    <w:name w:val="List Paragraph"/>
    <w:basedOn w:val="Normal"/>
    <w:uiPriority w:val="34"/>
    <w:qFormat/>
    <w:rsid w:val="00F870D3"/>
    <w:pPr>
      <w:ind w:left="720"/>
      <w:contextualSpacing/>
    </w:pPr>
  </w:style>
  <w:style w:type="character" w:styleId="IntenseEmphasis">
    <w:name w:val="Intense Emphasis"/>
    <w:basedOn w:val="DefaultParagraphFont"/>
    <w:uiPriority w:val="21"/>
    <w:qFormat/>
    <w:rsid w:val="00F870D3"/>
    <w:rPr>
      <w:i/>
      <w:iCs/>
      <w:color w:val="0F4761" w:themeColor="accent1" w:themeShade="BF"/>
    </w:rPr>
  </w:style>
  <w:style w:type="paragraph" w:styleId="IntenseQuote">
    <w:name w:val="Intense Quote"/>
    <w:basedOn w:val="Normal"/>
    <w:next w:val="Normal"/>
    <w:link w:val="IntenseQuoteChar"/>
    <w:uiPriority w:val="30"/>
    <w:qFormat/>
    <w:rsid w:val="00F87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0D3"/>
    <w:rPr>
      <w:i/>
      <w:iCs/>
      <w:color w:val="0F4761" w:themeColor="accent1" w:themeShade="BF"/>
    </w:rPr>
  </w:style>
  <w:style w:type="character" w:styleId="IntenseReference">
    <w:name w:val="Intense Reference"/>
    <w:basedOn w:val="DefaultParagraphFont"/>
    <w:uiPriority w:val="32"/>
    <w:qFormat/>
    <w:rsid w:val="00F870D3"/>
    <w:rPr>
      <w:b/>
      <w:bCs/>
      <w:smallCaps/>
      <w:color w:val="0F4761" w:themeColor="accent1" w:themeShade="BF"/>
      <w:spacing w:val="5"/>
    </w:rPr>
  </w:style>
  <w:style w:type="paragraph" w:customStyle="1" w:styleId="active">
    <w:name w:val="active"/>
    <w:basedOn w:val="Normal"/>
    <w:rsid w:val="00F87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870D3"/>
    <w:rPr>
      <w:color w:val="0000FF"/>
      <w:u w:val="single"/>
    </w:rPr>
  </w:style>
  <w:style w:type="character" w:customStyle="1" w:styleId="designator">
    <w:name w:val="designator"/>
    <w:basedOn w:val="DefaultParagraphFont"/>
    <w:rsid w:val="00F870D3"/>
  </w:style>
  <w:style w:type="character" w:customStyle="1" w:styleId="codesec">
    <w:name w:val="codesec"/>
    <w:basedOn w:val="DefaultParagraphFont"/>
    <w:rsid w:val="00F870D3"/>
  </w:style>
  <w:style w:type="paragraph" w:styleId="NormalWeb">
    <w:name w:val="Normal (Web)"/>
    <w:basedOn w:val="Normal"/>
    <w:uiPriority w:val="99"/>
    <w:semiHidden/>
    <w:unhideWhenUsed/>
    <w:rsid w:val="00F87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gcitation">
    <w:name w:val="regcitation"/>
    <w:basedOn w:val="DefaultParagraphFont"/>
    <w:rsid w:val="00F870D3"/>
  </w:style>
  <w:style w:type="paragraph" w:styleId="Header">
    <w:name w:val="header"/>
    <w:basedOn w:val="Normal"/>
    <w:link w:val="HeaderChar"/>
    <w:uiPriority w:val="99"/>
    <w:unhideWhenUsed/>
    <w:rsid w:val="0028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EF"/>
  </w:style>
  <w:style w:type="paragraph" w:styleId="Footer">
    <w:name w:val="footer"/>
    <w:basedOn w:val="Normal"/>
    <w:link w:val="FooterChar"/>
    <w:uiPriority w:val="99"/>
    <w:unhideWhenUsed/>
    <w:rsid w:val="0028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66086">
      <w:bodyDiv w:val="1"/>
      <w:marLeft w:val="0"/>
      <w:marRight w:val="0"/>
      <w:marTop w:val="0"/>
      <w:marBottom w:val="0"/>
      <w:divBdr>
        <w:top w:val="none" w:sz="0" w:space="0" w:color="auto"/>
        <w:left w:val="none" w:sz="0" w:space="0" w:color="auto"/>
        <w:bottom w:val="none" w:sz="0" w:space="0" w:color="auto"/>
        <w:right w:val="none" w:sz="0" w:space="0" w:color="auto"/>
      </w:divBdr>
      <w:divsChild>
        <w:div w:id="1925144385">
          <w:marLeft w:val="0"/>
          <w:marRight w:val="0"/>
          <w:marTop w:val="0"/>
          <w:marBottom w:val="0"/>
          <w:divBdr>
            <w:top w:val="none" w:sz="0" w:space="0" w:color="auto"/>
            <w:left w:val="none" w:sz="0" w:space="0" w:color="auto"/>
            <w:bottom w:val="none" w:sz="0" w:space="0" w:color="auto"/>
            <w:right w:val="none" w:sz="0" w:space="0" w:color="auto"/>
          </w:divBdr>
          <w:divsChild>
            <w:div w:id="824321797">
              <w:marLeft w:val="0"/>
              <w:marRight w:val="0"/>
              <w:marTop w:val="0"/>
              <w:marBottom w:val="0"/>
              <w:divBdr>
                <w:top w:val="single" w:sz="6" w:space="11" w:color="EEEEEE"/>
                <w:left w:val="none" w:sz="0" w:space="0" w:color="auto"/>
                <w:bottom w:val="none" w:sz="0" w:space="11" w:color="auto"/>
                <w:right w:val="none" w:sz="0" w:space="0" w:color="auto"/>
              </w:divBdr>
              <w:divsChild>
                <w:div w:id="1766338141">
                  <w:marLeft w:val="0"/>
                  <w:marRight w:val="0"/>
                  <w:marTop w:val="0"/>
                  <w:marBottom w:val="0"/>
                  <w:divBdr>
                    <w:top w:val="none" w:sz="0" w:space="0" w:color="auto"/>
                    <w:left w:val="none" w:sz="0" w:space="0" w:color="auto"/>
                    <w:bottom w:val="none" w:sz="0" w:space="0" w:color="auto"/>
                    <w:right w:val="none" w:sz="0" w:space="0" w:color="auto"/>
                  </w:divBdr>
                  <w:divsChild>
                    <w:div w:id="996805859">
                      <w:marLeft w:val="0"/>
                      <w:marRight w:val="0"/>
                      <w:marTop w:val="0"/>
                      <w:marBottom w:val="0"/>
                      <w:divBdr>
                        <w:top w:val="none" w:sz="0" w:space="0" w:color="auto"/>
                        <w:left w:val="none" w:sz="0" w:space="0" w:color="auto"/>
                        <w:bottom w:val="none" w:sz="0" w:space="0" w:color="auto"/>
                        <w:right w:val="none" w:sz="0" w:space="0" w:color="auto"/>
                      </w:divBdr>
                      <w:divsChild>
                        <w:div w:id="1289162867">
                          <w:marLeft w:val="750"/>
                          <w:marRight w:val="0"/>
                          <w:marTop w:val="0"/>
                          <w:marBottom w:val="0"/>
                          <w:divBdr>
                            <w:top w:val="none" w:sz="0" w:space="0" w:color="auto"/>
                            <w:left w:val="none" w:sz="0" w:space="0" w:color="auto"/>
                            <w:bottom w:val="none" w:sz="0" w:space="0" w:color="auto"/>
                            <w:right w:val="none" w:sz="0" w:space="0" w:color="auto"/>
                          </w:divBdr>
                        </w:div>
                        <w:div w:id="474682559">
                          <w:marLeft w:val="750"/>
                          <w:marRight w:val="0"/>
                          <w:marTop w:val="0"/>
                          <w:marBottom w:val="0"/>
                          <w:divBdr>
                            <w:top w:val="none" w:sz="0" w:space="0" w:color="auto"/>
                            <w:left w:val="none" w:sz="0" w:space="0" w:color="auto"/>
                            <w:bottom w:val="none" w:sz="0" w:space="0" w:color="auto"/>
                            <w:right w:val="none" w:sz="0" w:space="0" w:color="auto"/>
                          </w:divBdr>
                        </w:div>
                        <w:div w:id="1804075936">
                          <w:marLeft w:val="750"/>
                          <w:marRight w:val="0"/>
                          <w:marTop w:val="0"/>
                          <w:marBottom w:val="0"/>
                          <w:divBdr>
                            <w:top w:val="none" w:sz="0" w:space="0" w:color="auto"/>
                            <w:left w:val="none" w:sz="0" w:space="0" w:color="auto"/>
                            <w:bottom w:val="none" w:sz="0" w:space="0" w:color="auto"/>
                            <w:right w:val="none" w:sz="0" w:space="0" w:color="auto"/>
                          </w:divBdr>
                        </w:div>
                        <w:div w:id="67582077">
                          <w:marLeft w:val="750"/>
                          <w:marRight w:val="0"/>
                          <w:marTop w:val="0"/>
                          <w:marBottom w:val="0"/>
                          <w:divBdr>
                            <w:top w:val="none" w:sz="0" w:space="0" w:color="auto"/>
                            <w:left w:val="none" w:sz="0" w:space="0" w:color="auto"/>
                            <w:bottom w:val="none" w:sz="0" w:space="0" w:color="auto"/>
                            <w:right w:val="none" w:sz="0" w:space="0" w:color="auto"/>
                          </w:divBdr>
                          <w:divsChild>
                            <w:div w:id="739864895">
                              <w:marLeft w:val="712"/>
                              <w:marRight w:val="0"/>
                              <w:marTop w:val="0"/>
                              <w:marBottom w:val="0"/>
                              <w:divBdr>
                                <w:top w:val="none" w:sz="0" w:space="0" w:color="auto"/>
                                <w:left w:val="none" w:sz="0" w:space="0" w:color="auto"/>
                                <w:bottom w:val="none" w:sz="0" w:space="0" w:color="auto"/>
                                <w:right w:val="none" w:sz="0" w:space="0" w:color="auto"/>
                              </w:divBdr>
                            </w:div>
                            <w:div w:id="362361703">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923563666">
                      <w:marLeft w:val="0"/>
                      <w:marRight w:val="0"/>
                      <w:marTop w:val="0"/>
                      <w:marBottom w:val="0"/>
                      <w:divBdr>
                        <w:top w:val="none" w:sz="0" w:space="0" w:color="auto"/>
                        <w:left w:val="none" w:sz="0" w:space="0" w:color="auto"/>
                        <w:bottom w:val="none" w:sz="0" w:space="0" w:color="auto"/>
                        <w:right w:val="none" w:sz="0" w:space="0" w:color="auto"/>
                      </w:divBdr>
                      <w:divsChild>
                        <w:div w:id="1675106907">
                          <w:marLeft w:val="0"/>
                          <w:marRight w:val="0"/>
                          <w:marTop w:val="0"/>
                          <w:marBottom w:val="0"/>
                          <w:divBdr>
                            <w:top w:val="none" w:sz="0" w:space="0" w:color="auto"/>
                            <w:left w:val="none" w:sz="0" w:space="0" w:color="auto"/>
                            <w:bottom w:val="none" w:sz="0" w:space="0" w:color="auto"/>
                            <w:right w:val="none" w:sz="0" w:space="0" w:color="auto"/>
                          </w:divBdr>
                        </w:div>
                        <w:div w:id="573734870">
                          <w:marLeft w:val="0"/>
                          <w:marRight w:val="0"/>
                          <w:marTop w:val="0"/>
                          <w:marBottom w:val="0"/>
                          <w:divBdr>
                            <w:top w:val="none" w:sz="0" w:space="0" w:color="auto"/>
                            <w:left w:val="none" w:sz="0" w:space="0" w:color="auto"/>
                            <w:bottom w:val="none" w:sz="0" w:space="0" w:color="auto"/>
                            <w:right w:val="none" w:sz="0" w:space="0" w:color="auto"/>
                          </w:divBdr>
                        </w:div>
                        <w:div w:id="1445073771">
                          <w:marLeft w:val="0"/>
                          <w:marRight w:val="0"/>
                          <w:marTop w:val="0"/>
                          <w:marBottom w:val="0"/>
                          <w:divBdr>
                            <w:top w:val="none" w:sz="0" w:space="0" w:color="auto"/>
                            <w:left w:val="none" w:sz="0" w:space="0" w:color="auto"/>
                            <w:bottom w:val="none" w:sz="0" w:space="0" w:color="auto"/>
                            <w:right w:val="none" w:sz="0" w:space="0" w:color="auto"/>
                          </w:divBdr>
                        </w:div>
                        <w:div w:id="21164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9/723" TargetMode="External"/><Relationship Id="rId13" Type="http://schemas.openxmlformats.org/officeDocument/2006/relationships/hyperlink" Target="https://www.law.cornell.edu/cfr/text/34/part-19401" TargetMode="External"/><Relationship Id="rId3" Type="http://schemas.openxmlformats.org/officeDocument/2006/relationships/settings" Target="settings.xml"/><Relationship Id="rId7" Type="http://schemas.openxmlformats.org/officeDocument/2006/relationships/hyperlink" Target="https://www.law.cornell.edu/uscode/text/29/705" TargetMode="External"/><Relationship Id="rId12" Type="http://schemas.openxmlformats.org/officeDocument/2006/relationships/hyperlink" Target="https://www.law.cornell.edu/cfr/text/34/part-19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cfr/text/34/36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w.cornell.edu/cfr/text/34/361.48" TargetMode="External"/><Relationship Id="rId4" Type="http://schemas.openxmlformats.org/officeDocument/2006/relationships/webSettings" Target="webSettings.xml"/><Relationship Id="rId9" Type="http://schemas.openxmlformats.org/officeDocument/2006/relationships/hyperlink" Target="https://www.law.cornell.edu/cfr/text/34/36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cp:revision>
  <dcterms:created xsi:type="dcterms:W3CDTF">2024-06-27T18:01:00Z</dcterms:created>
  <dcterms:modified xsi:type="dcterms:W3CDTF">2024-06-27T18:04:00Z</dcterms:modified>
</cp:coreProperties>
</file>