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DDD1" w14:textId="77777777" w:rsidR="00101911" w:rsidRDefault="00955F59" w:rsidP="006E3E75">
      <w:pPr>
        <w:pStyle w:val="Heading1"/>
        <w:rPr>
          <w:sz w:val="32"/>
          <w:szCs w:val="36"/>
        </w:rPr>
      </w:pPr>
      <w:r>
        <w:rPr>
          <w:sz w:val="32"/>
          <w:szCs w:val="36"/>
        </w:rPr>
        <w:t xml:space="preserve">Item 4 </w:t>
      </w:r>
      <w:r w:rsidR="006E3E75" w:rsidRPr="00955F59">
        <w:rPr>
          <w:sz w:val="32"/>
          <w:szCs w:val="36"/>
        </w:rPr>
        <w:t xml:space="preserve">Detail Sheet: </w:t>
      </w:r>
    </w:p>
    <w:p w14:paraId="2FAC185D" w14:textId="2A86DF65" w:rsidR="00101911" w:rsidRDefault="006E3E75" w:rsidP="00101911">
      <w:pPr>
        <w:pStyle w:val="Heading1"/>
        <w:numPr>
          <w:ilvl w:val="0"/>
          <w:numId w:val="18"/>
        </w:numPr>
        <w:rPr>
          <w:sz w:val="32"/>
          <w:szCs w:val="36"/>
        </w:rPr>
      </w:pPr>
      <w:r w:rsidRPr="00955F59">
        <w:rPr>
          <w:sz w:val="32"/>
          <w:szCs w:val="36"/>
        </w:rPr>
        <w:t xml:space="preserve">SRC Quarterly Meeting Planning </w:t>
      </w:r>
    </w:p>
    <w:p w14:paraId="2FA56DC9" w14:textId="338A8DF7" w:rsidR="00101911" w:rsidRDefault="00E21C30" w:rsidP="00101911">
      <w:pPr>
        <w:pStyle w:val="Heading1"/>
        <w:numPr>
          <w:ilvl w:val="0"/>
          <w:numId w:val="18"/>
        </w:numPr>
        <w:rPr>
          <w:sz w:val="32"/>
          <w:szCs w:val="36"/>
        </w:rPr>
      </w:pPr>
      <w:r>
        <w:rPr>
          <w:sz w:val="32"/>
          <w:szCs w:val="36"/>
        </w:rPr>
        <w:t xml:space="preserve">Running </w:t>
      </w:r>
      <w:r w:rsidR="006E3E75" w:rsidRPr="00955F59">
        <w:rPr>
          <w:sz w:val="32"/>
          <w:szCs w:val="36"/>
        </w:rPr>
        <w:t xml:space="preserve">List of </w:t>
      </w:r>
      <w:r w:rsidR="00101911">
        <w:rPr>
          <w:sz w:val="32"/>
          <w:szCs w:val="36"/>
        </w:rPr>
        <w:t>Agenda Items</w:t>
      </w:r>
    </w:p>
    <w:p w14:paraId="73C8896A" w14:textId="0F743CCE" w:rsidR="006E3E75" w:rsidRPr="00955F59" w:rsidRDefault="00E21C30" w:rsidP="00101911">
      <w:pPr>
        <w:pStyle w:val="Heading1"/>
        <w:numPr>
          <w:ilvl w:val="0"/>
          <w:numId w:val="18"/>
        </w:numPr>
        <w:rPr>
          <w:sz w:val="32"/>
          <w:szCs w:val="36"/>
        </w:rPr>
      </w:pPr>
      <w:r>
        <w:rPr>
          <w:sz w:val="32"/>
          <w:szCs w:val="36"/>
        </w:rPr>
        <w:t xml:space="preserve">Running </w:t>
      </w:r>
      <w:r w:rsidR="00101911">
        <w:rPr>
          <w:sz w:val="32"/>
          <w:szCs w:val="36"/>
        </w:rPr>
        <w:t xml:space="preserve">List of </w:t>
      </w:r>
      <w:r w:rsidR="006E3E75" w:rsidRPr="00955F59">
        <w:rPr>
          <w:sz w:val="32"/>
          <w:szCs w:val="36"/>
        </w:rPr>
        <w:t>Policy Questions</w:t>
      </w:r>
    </w:p>
    <w:p w14:paraId="6F4C8AC9" w14:textId="77777777" w:rsidR="006E3E75" w:rsidRDefault="006E3E75" w:rsidP="006E3E75">
      <w:pPr>
        <w:pBdr>
          <w:bottom w:val="single" w:sz="4" w:space="1" w:color="auto"/>
        </w:pBdr>
        <w:rPr>
          <w:b/>
          <w:bCs/>
          <w:sz w:val="32"/>
          <w:szCs w:val="32"/>
        </w:rPr>
      </w:pPr>
    </w:p>
    <w:p w14:paraId="6DD377C4" w14:textId="77777777" w:rsidR="00E21C30" w:rsidRDefault="00E21C30" w:rsidP="00E21C30"/>
    <w:p w14:paraId="667534C8" w14:textId="349C5E1E" w:rsidR="006E3E75" w:rsidRPr="00E21C30" w:rsidRDefault="00101911" w:rsidP="00101911">
      <w:pPr>
        <w:pStyle w:val="Heading1"/>
        <w:rPr>
          <w:u w:val="single"/>
        </w:rPr>
      </w:pPr>
      <w:r w:rsidRPr="00E21C30">
        <w:rPr>
          <w:u w:val="single"/>
        </w:rPr>
        <w:t>SRC Quarterly Meeting Planning</w:t>
      </w:r>
    </w:p>
    <w:p w14:paraId="56D96F76" w14:textId="77777777" w:rsidR="00686FFE" w:rsidRDefault="00686FFE" w:rsidP="006E3E75">
      <w:pPr>
        <w:rPr>
          <w:rFonts w:eastAsiaTheme="majorEastAsia"/>
        </w:rPr>
      </w:pPr>
    </w:p>
    <w:p w14:paraId="3976CEEC" w14:textId="77777777" w:rsidR="006E3E75" w:rsidRPr="00E21C30" w:rsidRDefault="006E3E75" w:rsidP="00E21C30">
      <w:pPr>
        <w:pStyle w:val="Heading2"/>
        <w:rPr>
          <w:u w:val="single"/>
        </w:rPr>
      </w:pPr>
      <w:r w:rsidRPr="00E21C30">
        <w:rPr>
          <w:u w:val="single"/>
        </w:rPr>
        <w:t>Background</w:t>
      </w:r>
    </w:p>
    <w:p w14:paraId="1DED0DA7" w14:textId="5E1B1D70" w:rsidR="006E3E75" w:rsidRDefault="006E3E75" w:rsidP="006E3E75">
      <w:pPr>
        <w:rPr>
          <w:rFonts w:eastAsiaTheme="majorEastAsia"/>
        </w:rPr>
      </w:pPr>
      <w:r>
        <w:rPr>
          <w:rFonts w:eastAsiaTheme="majorEastAsia"/>
        </w:rPr>
        <w:t xml:space="preserve">To inform the </w:t>
      </w:r>
      <w:r w:rsidR="00353123">
        <w:rPr>
          <w:rFonts w:eastAsiaTheme="majorEastAsia"/>
        </w:rPr>
        <w:t>August 14, 2023</w:t>
      </w:r>
      <w:r>
        <w:rPr>
          <w:rFonts w:eastAsiaTheme="majorEastAsia"/>
        </w:rPr>
        <w:t xml:space="preserve"> SRC Executive Planning Committee (EPC) discussion to plan the </w:t>
      </w:r>
      <w:r w:rsidR="00AD30D5">
        <w:rPr>
          <w:rFonts w:eastAsiaTheme="majorEastAsia"/>
        </w:rPr>
        <w:t xml:space="preserve">September 6 – 7, 2023 </w:t>
      </w:r>
      <w:r>
        <w:rPr>
          <w:rFonts w:eastAsiaTheme="majorEastAsia"/>
        </w:rPr>
        <w:t xml:space="preserve">SRC quarterly meeting agenda, below is a proposed meeting </w:t>
      </w:r>
      <w:r w:rsidR="00247316">
        <w:rPr>
          <w:rFonts w:eastAsiaTheme="majorEastAsia"/>
        </w:rPr>
        <w:t>outline</w:t>
      </w:r>
      <w:r>
        <w:rPr>
          <w:rFonts w:eastAsiaTheme="majorEastAsia"/>
        </w:rPr>
        <w:t xml:space="preserve"> followed by a list of possible</w:t>
      </w:r>
      <w:r w:rsidR="00247316">
        <w:rPr>
          <w:rFonts w:eastAsiaTheme="majorEastAsia"/>
        </w:rPr>
        <w:t xml:space="preserve">, additional </w:t>
      </w:r>
      <w:r>
        <w:rPr>
          <w:rFonts w:eastAsiaTheme="majorEastAsia"/>
        </w:rPr>
        <w:t>agenda items</w:t>
      </w:r>
      <w:r w:rsidR="00E52831">
        <w:rPr>
          <w:rFonts w:eastAsiaTheme="majorEastAsia"/>
        </w:rPr>
        <w:t xml:space="preserve"> and policy questions</w:t>
      </w:r>
      <w:r>
        <w:rPr>
          <w:rFonts w:eastAsiaTheme="majorEastAsia"/>
        </w:rPr>
        <w:t xml:space="preserve">. </w:t>
      </w:r>
      <w:r>
        <w:rPr>
          <w:rFonts w:eastAsiaTheme="majorEastAsia"/>
          <w:i/>
          <w:iCs/>
        </w:rPr>
        <w:t>All proposed agenda items</w:t>
      </w:r>
      <w:r w:rsidR="0092247C">
        <w:rPr>
          <w:rFonts w:eastAsiaTheme="majorEastAsia"/>
          <w:i/>
          <w:iCs/>
        </w:rPr>
        <w:t xml:space="preserve">/topics and policy questions </w:t>
      </w:r>
      <w:r>
        <w:rPr>
          <w:rFonts w:eastAsiaTheme="majorEastAsia"/>
          <w:i/>
          <w:iCs/>
        </w:rPr>
        <w:t>are for discussion and planning purposes only and should not be considered an invitation, commitment, or notice.</w:t>
      </w:r>
    </w:p>
    <w:p w14:paraId="2A3171F2" w14:textId="77777777" w:rsidR="006E3E75" w:rsidRDefault="006E3E75" w:rsidP="006E3E75">
      <w:pPr>
        <w:rPr>
          <w:rFonts w:eastAsiaTheme="majorEastAsia"/>
          <w:b/>
          <w:bCs/>
        </w:rPr>
      </w:pPr>
    </w:p>
    <w:p w14:paraId="45ED262F" w14:textId="5FA34CE7" w:rsidR="006E3E75" w:rsidRPr="00E21C30" w:rsidRDefault="006E3E75" w:rsidP="00E21C30">
      <w:pPr>
        <w:pStyle w:val="Heading2"/>
        <w:rPr>
          <w:u w:val="single"/>
        </w:rPr>
      </w:pPr>
      <w:r w:rsidRPr="00E21C30">
        <w:rPr>
          <w:u w:val="single"/>
        </w:rPr>
        <w:t xml:space="preserve">Proposed Meeting </w:t>
      </w:r>
      <w:r w:rsidR="007E7396" w:rsidRPr="00E21C30">
        <w:rPr>
          <w:u w:val="single"/>
        </w:rPr>
        <w:t xml:space="preserve">Structure </w:t>
      </w:r>
    </w:p>
    <w:p w14:paraId="65BEF5ED" w14:textId="65668FAB" w:rsidR="006E3E75" w:rsidRDefault="006E3E75" w:rsidP="006E3E75">
      <w:pPr>
        <w:rPr>
          <w:rFonts w:eastAsiaTheme="majorEastAsia"/>
        </w:rPr>
      </w:pPr>
      <w:r>
        <w:rPr>
          <w:rFonts w:eastAsiaTheme="majorEastAsia"/>
        </w:rPr>
        <w:t xml:space="preserve">Hybrid meeting format with in-person (DOR Central Office Sacramento, Room 301), conference call, and Zoom participation options. </w:t>
      </w:r>
      <w:r w:rsidR="00105877">
        <w:rPr>
          <w:rFonts w:eastAsiaTheme="majorEastAsia"/>
        </w:rPr>
        <w:t>The m</w:t>
      </w:r>
      <w:r>
        <w:rPr>
          <w:rFonts w:eastAsiaTheme="majorEastAsia"/>
        </w:rPr>
        <w:t>eeting will take place from 9:00 a.m. – 4:00 p.m. each day, with a 1 ½ hour lunch break</w:t>
      </w:r>
      <w:r w:rsidR="00105877">
        <w:rPr>
          <w:rFonts w:eastAsiaTheme="majorEastAsia"/>
        </w:rPr>
        <w:t xml:space="preserve">, and </w:t>
      </w:r>
      <w:r w:rsidR="007E7396">
        <w:rPr>
          <w:rFonts w:eastAsiaTheme="majorEastAsia"/>
        </w:rPr>
        <w:t>15-minute</w:t>
      </w:r>
      <w:r w:rsidR="00105877">
        <w:rPr>
          <w:rFonts w:eastAsiaTheme="majorEastAsia"/>
        </w:rPr>
        <w:t xml:space="preserve"> breaks in the morning and afternoon</w:t>
      </w:r>
      <w:r>
        <w:rPr>
          <w:rFonts w:eastAsiaTheme="majorEastAsia"/>
        </w:rPr>
        <w:t>.</w:t>
      </w:r>
    </w:p>
    <w:p w14:paraId="699E1031" w14:textId="77777777" w:rsidR="00C200E7" w:rsidRDefault="00C200E7" w:rsidP="006E3E75">
      <w:pPr>
        <w:rPr>
          <w:rFonts w:eastAsiaTheme="majorEastAsia"/>
        </w:rPr>
      </w:pPr>
    </w:p>
    <w:p w14:paraId="52B406EF" w14:textId="453FE10B" w:rsidR="00987E0C" w:rsidRPr="0092247C" w:rsidRDefault="00557647" w:rsidP="0092247C">
      <w:pPr>
        <w:pStyle w:val="Heading2"/>
        <w:rPr>
          <w:u w:val="single"/>
        </w:rPr>
      </w:pPr>
      <w:r w:rsidRPr="007F7140">
        <w:rPr>
          <w:u w:val="single"/>
        </w:rPr>
        <w:t xml:space="preserve">Day 1 – Wednesday, September 6, 2023 </w:t>
      </w:r>
    </w:p>
    <w:p w14:paraId="78C45037" w14:textId="575A8698" w:rsidR="00913BD7" w:rsidRDefault="00353123" w:rsidP="00353123">
      <w:pPr>
        <w:pStyle w:val="ListParagraph"/>
        <w:numPr>
          <w:ilvl w:val="0"/>
          <w:numId w:val="19"/>
        </w:numPr>
      </w:pPr>
      <w:r w:rsidRPr="00353123">
        <w:t xml:space="preserve">Item 1: Welcome and Introductions (9:00 – 9:15 a.m.)  </w:t>
      </w:r>
    </w:p>
    <w:p w14:paraId="29A4F90F" w14:textId="77777777" w:rsidR="00353123" w:rsidRPr="002B00C1" w:rsidRDefault="00353123" w:rsidP="00987E0C"/>
    <w:p w14:paraId="29DCB39B" w14:textId="69D9EA1F" w:rsidR="00913BD7" w:rsidRDefault="00353123" w:rsidP="00353123">
      <w:pPr>
        <w:pStyle w:val="ListParagraph"/>
        <w:numPr>
          <w:ilvl w:val="0"/>
          <w:numId w:val="19"/>
        </w:numPr>
      </w:pPr>
      <w:r w:rsidRPr="00353123">
        <w:t xml:space="preserve">Item 2: Public Comment (9:15 – 9:20 a.m.)  </w:t>
      </w:r>
    </w:p>
    <w:p w14:paraId="207EED52" w14:textId="77777777" w:rsidR="00353123" w:rsidRDefault="00353123" w:rsidP="00987E0C"/>
    <w:p w14:paraId="11CFFA03" w14:textId="2394B6A5" w:rsidR="00353123" w:rsidRDefault="00353123" w:rsidP="00987E0C">
      <w:pPr>
        <w:pStyle w:val="ListParagraph"/>
        <w:numPr>
          <w:ilvl w:val="0"/>
          <w:numId w:val="19"/>
        </w:numPr>
      </w:pPr>
      <w:r w:rsidRPr="00146CF9">
        <w:t>Item 3: Approval of the June 7 – 8, 2023 SRC Quarterly Meeting Minutes</w:t>
      </w:r>
      <w:r>
        <w:t xml:space="preserve"> </w:t>
      </w:r>
      <w:r w:rsidRPr="00146CF9">
        <w:t xml:space="preserve">(9:20 – 9:25 a.m.)  </w:t>
      </w:r>
    </w:p>
    <w:p w14:paraId="19A2698A" w14:textId="77777777" w:rsidR="00913BD7" w:rsidRPr="002B00C1" w:rsidRDefault="00913BD7" w:rsidP="00987E0C">
      <w:bookmarkStart w:id="0" w:name="_Hlk118299001"/>
    </w:p>
    <w:p w14:paraId="71195898" w14:textId="77777777" w:rsidR="00353123" w:rsidRPr="00353123" w:rsidRDefault="00353123" w:rsidP="00353123">
      <w:pPr>
        <w:pStyle w:val="ListParagraph"/>
        <w:numPr>
          <w:ilvl w:val="0"/>
          <w:numId w:val="19"/>
        </w:numPr>
      </w:pPr>
      <w:bookmarkStart w:id="1" w:name="_Hlk141340404"/>
      <w:r w:rsidRPr="00353123">
        <w:t xml:space="preserve">Item 4: </w:t>
      </w:r>
      <w:r w:rsidR="00417952" w:rsidRPr="00353123">
        <w:t>Benefits Planning</w:t>
      </w:r>
      <w:r w:rsidRPr="00353123">
        <w:t xml:space="preserve"> (9:25 – 10:00 a.m.)</w:t>
      </w:r>
    </w:p>
    <w:p w14:paraId="6AA84183" w14:textId="7D318DC9" w:rsidR="00913BD7" w:rsidRPr="00353123" w:rsidRDefault="00417952" w:rsidP="00353123">
      <w:pPr>
        <w:ind w:left="720"/>
        <w:rPr>
          <w:u w:val="single"/>
        </w:rPr>
      </w:pPr>
      <w:r w:rsidRPr="002B00C1">
        <w:t>Representatives from DOR’s VR Policy and Resources division will present on DOR’s</w:t>
      </w:r>
      <w:r w:rsidR="00531B86" w:rsidRPr="002B00C1">
        <w:t xml:space="preserve"> pilot </w:t>
      </w:r>
      <w:r w:rsidR="0092247C">
        <w:t xml:space="preserve">to expand </w:t>
      </w:r>
      <w:r w:rsidR="00047DDE" w:rsidRPr="002B00C1">
        <w:t>Work Incentives Planning services</w:t>
      </w:r>
      <w:r w:rsidR="008851FE" w:rsidRPr="002B00C1">
        <w:t>.</w:t>
      </w:r>
      <w:r w:rsidR="00047DDE" w:rsidRPr="002B00C1">
        <w:t xml:space="preserve"> </w:t>
      </w:r>
      <w:r w:rsidR="00BD4BA7" w:rsidRPr="002B00C1">
        <w:t>An update will be provided on DOR’s response to SRC recommendation 2021.</w:t>
      </w:r>
      <w:r w:rsidR="00152AF7" w:rsidRPr="002B00C1">
        <w:t>4.</w:t>
      </w:r>
    </w:p>
    <w:bookmarkEnd w:id="1"/>
    <w:p w14:paraId="16E8652F" w14:textId="77777777" w:rsidR="0006040A" w:rsidRPr="00353123" w:rsidRDefault="0006040A" w:rsidP="00987E0C"/>
    <w:bookmarkEnd w:id="0"/>
    <w:p w14:paraId="3A1BF130" w14:textId="11FDB9AC" w:rsidR="00913BD7" w:rsidRPr="00353123" w:rsidRDefault="00353123" w:rsidP="00353123">
      <w:pPr>
        <w:pStyle w:val="ListParagraph"/>
        <w:numPr>
          <w:ilvl w:val="0"/>
          <w:numId w:val="19"/>
        </w:numPr>
      </w:pPr>
      <w:r w:rsidRPr="00353123">
        <w:t>Break (10:00 – 10:15 a.m.)</w:t>
      </w:r>
    </w:p>
    <w:p w14:paraId="234E5BEC" w14:textId="77777777" w:rsidR="00353123" w:rsidRDefault="00353123" w:rsidP="00987E0C">
      <w:pPr>
        <w:rPr>
          <w:i/>
          <w:iCs/>
        </w:rPr>
      </w:pPr>
    </w:p>
    <w:p w14:paraId="7C6BB030" w14:textId="77777777" w:rsidR="00353123" w:rsidRPr="00353123" w:rsidRDefault="00353123" w:rsidP="00353123">
      <w:pPr>
        <w:pStyle w:val="ListParagraph"/>
        <w:numPr>
          <w:ilvl w:val="0"/>
          <w:numId w:val="19"/>
        </w:numPr>
        <w:rPr>
          <w:rFonts w:cstheme="minorBidi"/>
        </w:rPr>
      </w:pPr>
      <w:r w:rsidRPr="00353123">
        <w:rPr>
          <w:rFonts w:cstheme="minorBidi"/>
        </w:rPr>
        <w:t xml:space="preserve">Item 5: Unified State Plan Committee (10:15 – 11:30 a.m.) </w:t>
      </w:r>
    </w:p>
    <w:p w14:paraId="018EB6CC" w14:textId="4A532B15" w:rsidR="00353123" w:rsidRDefault="00353123" w:rsidP="00353123">
      <w:pPr>
        <w:ind w:left="720"/>
        <w:rPr>
          <w:rFonts w:cstheme="minorBidi"/>
        </w:rPr>
      </w:pPr>
      <w:r w:rsidRPr="00353123">
        <w:rPr>
          <w:rFonts w:cstheme="minorBidi"/>
        </w:rPr>
        <w:lastRenderedPageBreak/>
        <w:t>The DOR Planning Unit will present the completed analysis and findings from the 2021 – 2023 Comprehensive State Assessment (CSA). Then, using the CSA analysis and finding results, a working session with the DOR Planning Unit and SRC members will take place to draft preliminary recommendations, priorities, and goals for the VR Services Portion of the Unified State Plan that will cover July 1, 2024 - June 30, 2028.</w:t>
      </w:r>
    </w:p>
    <w:p w14:paraId="6DB21248" w14:textId="77777777" w:rsidR="00353123" w:rsidRDefault="00353123" w:rsidP="00353123">
      <w:pPr>
        <w:rPr>
          <w:rFonts w:cstheme="minorBidi"/>
        </w:rPr>
      </w:pPr>
    </w:p>
    <w:p w14:paraId="151D64CF" w14:textId="77777777" w:rsidR="00353123" w:rsidRPr="00353123" w:rsidRDefault="00353123" w:rsidP="00353123">
      <w:pPr>
        <w:pStyle w:val="ListParagraph"/>
        <w:numPr>
          <w:ilvl w:val="0"/>
          <w:numId w:val="19"/>
        </w:numPr>
        <w:rPr>
          <w:rFonts w:cstheme="minorBidi"/>
        </w:rPr>
      </w:pPr>
      <w:r w:rsidRPr="00353123">
        <w:rPr>
          <w:rFonts w:cstheme="minorBidi"/>
        </w:rPr>
        <w:t xml:space="preserve">Lunch 11:30 – 1:00 p.m. </w:t>
      </w:r>
    </w:p>
    <w:p w14:paraId="23B10A5B" w14:textId="77777777" w:rsidR="00353123" w:rsidRPr="00353123" w:rsidRDefault="00353123" w:rsidP="00353123">
      <w:pPr>
        <w:rPr>
          <w:rFonts w:cstheme="minorBidi"/>
        </w:rPr>
      </w:pPr>
    </w:p>
    <w:p w14:paraId="59E6FE87" w14:textId="77777777" w:rsidR="00353123" w:rsidRPr="00353123" w:rsidRDefault="00353123" w:rsidP="00353123">
      <w:pPr>
        <w:pStyle w:val="ListParagraph"/>
        <w:numPr>
          <w:ilvl w:val="0"/>
          <w:numId w:val="19"/>
        </w:numPr>
        <w:rPr>
          <w:rFonts w:cstheme="minorBidi"/>
        </w:rPr>
      </w:pPr>
      <w:r w:rsidRPr="00353123">
        <w:rPr>
          <w:rFonts w:cstheme="minorBidi"/>
        </w:rPr>
        <w:t>Item 6: Celebration for Outgoing SRC Members: Benjamin, Nick, and Kecia (1:00 – 1:30 p.m.)</w:t>
      </w:r>
    </w:p>
    <w:p w14:paraId="0DBF6719" w14:textId="77777777" w:rsidR="00353123" w:rsidRPr="00353123" w:rsidRDefault="00353123" w:rsidP="00353123">
      <w:pPr>
        <w:rPr>
          <w:rFonts w:cstheme="minorBidi"/>
        </w:rPr>
      </w:pPr>
    </w:p>
    <w:p w14:paraId="092DD215" w14:textId="77777777" w:rsidR="00353123" w:rsidRDefault="00353123" w:rsidP="00353123">
      <w:pPr>
        <w:pStyle w:val="ListParagraph"/>
        <w:numPr>
          <w:ilvl w:val="0"/>
          <w:numId w:val="19"/>
        </w:numPr>
        <w:rPr>
          <w:rFonts w:cstheme="minorBidi"/>
        </w:rPr>
      </w:pPr>
      <w:r w:rsidRPr="00353123">
        <w:rPr>
          <w:rFonts w:cstheme="minorBidi"/>
        </w:rPr>
        <w:t xml:space="preserve">Item 7: Directorate Report (1:30 – 2:30 p.m.)  </w:t>
      </w:r>
    </w:p>
    <w:p w14:paraId="15C87DE9" w14:textId="535BF0B3" w:rsidR="00353123" w:rsidRPr="00353123" w:rsidRDefault="00353123" w:rsidP="00353123">
      <w:pPr>
        <w:ind w:left="720"/>
        <w:rPr>
          <w:rFonts w:cstheme="minorBidi"/>
        </w:rPr>
      </w:pPr>
      <w:r w:rsidRPr="00353123">
        <w:rPr>
          <w:rFonts w:cstheme="minorBidi"/>
        </w:rPr>
        <w:t>Joe Xavier, DOR Director, and Victor Duron, DOR Chief Deputy Director, will report on leadership and policy topics of interest. National, state, and departmental updates will be provided. SRC members will have the opportunity to ask questions and have an interactive discussion.</w:t>
      </w:r>
    </w:p>
    <w:p w14:paraId="036D1C0B" w14:textId="77777777" w:rsidR="00353123" w:rsidRDefault="00353123" w:rsidP="007F7140">
      <w:pPr>
        <w:rPr>
          <w:rFonts w:eastAsia="Times New Roman" w:cs="Arial"/>
          <w:szCs w:val="28"/>
        </w:rPr>
      </w:pPr>
    </w:p>
    <w:p w14:paraId="0AA01AFB" w14:textId="337D7DA5" w:rsidR="007F7140" w:rsidRPr="00353123" w:rsidRDefault="00353123" w:rsidP="00353123">
      <w:pPr>
        <w:pStyle w:val="ListParagraph"/>
        <w:numPr>
          <w:ilvl w:val="0"/>
          <w:numId w:val="19"/>
        </w:numPr>
        <w:rPr>
          <w:rFonts w:eastAsia="Times New Roman" w:cs="Arial"/>
          <w:szCs w:val="28"/>
        </w:rPr>
      </w:pPr>
      <w:r w:rsidRPr="00353123">
        <w:rPr>
          <w:rFonts w:eastAsia="Times New Roman" w:cs="Arial"/>
          <w:szCs w:val="28"/>
        </w:rPr>
        <w:t>Break (2:30 – 2:45 p.m.)</w:t>
      </w:r>
    </w:p>
    <w:p w14:paraId="09066165" w14:textId="77777777" w:rsidR="00353123" w:rsidRDefault="00353123" w:rsidP="00353123">
      <w:pPr>
        <w:ind w:firstLine="720"/>
        <w:rPr>
          <w:rFonts w:eastAsia="Times New Roman" w:cs="Arial"/>
          <w:szCs w:val="28"/>
        </w:rPr>
      </w:pPr>
    </w:p>
    <w:p w14:paraId="5AD9F056" w14:textId="10981C00" w:rsidR="00353123" w:rsidRPr="00353123" w:rsidRDefault="00353123" w:rsidP="00353123">
      <w:pPr>
        <w:pStyle w:val="ListParagraph"/>
        <w:numPr>
          <w:ilvl w:val="0"/>
          <w:numId w:val="20"/>
        </w:numPr>
      </w:pPr>
      <w:r w:rsidRPr="00353123">
        <w:t xml:space="preserve">Item 8: </w:t>
      </w:r>
      <w:r w:rsidR="00F61A63" w:rsidRPr="00353123">
        <w:t xml:space="preserve">American Sign Language (ASL) </w:t>
      </w:r>
      <w:r w:rsidR="00D7012D" w:rsidRPr="00353123">
        <w:t>Interpreting</w:t>
      </w:r>
      <w:r w:rsidRPr="00353123">
        <w:t xml:space="preserve"> (2:45 – 4:00 p.m.)</w:t>
      </w:r>
    </w:p>
    <w:p w14:paraId="2177FE6E" w14:textId="12752DD2" w:rsidR="00F61A63" w:rsidRDefault="00F61A63" w:rsidP="00353123">
      <w:pPr>
        <w:pStyle w:val="ListParagraph"/>
      </w:pPr>
      <w:r w:rsidRPr="002B00C1">
        <w:t xml:space="preserve">A cross-division panel of DOR representatives will join the SRC to present an overview of </w:t>
      </w:r>
      <w:r w:rsidR="00D7012D" w:rsidRPr="002B00C1">
        <w:t>how ASL interpreting services is provided to both DOR staff and consumers.</w:t>
      </w:r>
      <w:r w:rsidR="00E63376" w:rsidRPr="002B00C1">
        <w:t xml:space="preserve"> A discussion will be held regarding current issues, barriers, and challenges, and possible solutions. </w:t>
      </w:r>
      <w:r w:rsidR="00D7012D" w:rsidRPr="002B00C1">
        <w:t xml:space="preserve"> </w:t>
      </w:r>
    </w:p>
    <w:p w14:paraId="3E824217" w14:textId="77777777" w:rsidR="00353123" w:rsidRDefault="00353123" w:rsidP="00353123">
      <w:pPr>
        <w:pStyle w:val="ListParagraph"/>
      </w:pPr>
    </w:p>
    <w:p w14:paraId="56DD8E21" w14:textId="52D08D4A" w:rsidR="00353123" w:rsidRPr="002B00C1" w:rsidRDefault="00353123" w:rsidP="00353123">
      <w:pPr>
        <w:pStyle w:val="ListParagraph"/>
        <w:numPr>
          <w:ilvl w:val="0"/>
          <w:numId w:val="20"/>
        </w:numPr>
      </w:pPr>
      <w:r>
        <w:t>Recess (4:00 p.m.)</w:t>
      </w:r>
    </w:p>
    <w:p w14:paraId="00EAD3E6" w14:textId="77777777" w:rsidR="00C200E7" w:rsidRPr="002B00C1" w:rsidRDefault="00C200E7" w:rsidP="00987E0C">
      <w:pPr>
        <w:rPr>
          <w:rFonts w:eastAsiaTheme="majorEastAsia"/>
        </w:rPr>
      </w:pPr>
    </w:p>
    <w:p w14:paraId="3E5940F9" w14:textId="7E9D00F0" w:rsidR="00353123" w:rsidRPr="00353123" w:rsidRDefault="002B00C1" w:rsidP="00353123">
      <w:pPr>
        <w:pStyle w:val="Heading2"/>
        <w:rPr>
          <w:u w:val="single"/>
        </w:rPr>
      </w:pPr>
      <w:r w:rsidRPr="007F7140">
        <w:rPr>
          <w:u w:val="single"/>
        </w:rPr>
        <w:t xml:space="preserve">Day 2 – Thursday, September 7, 2023 </w:t>
      </w:r>
    </w:p>
    <w:p w14:paraId="3354C6AB" w14:textId="77777777" w:rsidR="00686FFE" w:rsidRPr="00686FFE" w:rsidRDefault="00353123" w:rsidP="00353123">
      <w:pPr>
        <w:pStyle w:val="Heading1"/>
        <w:numPr>
          <w:ilvl w:val="0"/>
          <w:numId w:val="20"/>
        </w:numPr>
        <w:rPr>
          <w:b w:val="0"/>
          <w:bCs/>
        </w:rPr>
      </w:pPr>
      <w:r w:rsidRPr="00686FFE">
        <w:rPr>
          <w:b w:val="0"/>
          <w:bCs/>
        </w:rPr>
        <w:t>Item 9: Reconvene, Welcome, and Introductions (9:00 – 9:05 a.m.)</w:t>
      </w:r>
    </w:p>
    <w:p w14:paraId="03CA3ADA" w14:textId="09DE61A6" w:rsidR="00353123" w:rsidRPr="00146CF9" w:rsidRDefault="00353123" w:rsidP="00686FFE">
      <w:pPr>
        <w:ind w:left="720"/>
      </w:pPr>
      <w:r w:rsidRPr="00146CF9">
        <w:t>Benjamin Aviles, SRC Chair</w:t>
      </w:r>
    </w:p>
    <w:p w14:paraId="00405E9E" w14:textId="77777777" w:rsidR="00353123" w:rsidRPr="00146CF9" w:rsidRDefault="00353123" w:rsidP="00353123"/>
    <w:p w14:paraId="407A92D2" w14:textId="77777777" w:rsidR="00353123" w:rsidRPr="00686FFE" w:rsidRDefault="00353123" w:rsidP="00686FFE">
      <w:pPr>
        <w:pStyle w:val="Heading1"/>
        <w:numPr>
          <w:ilvl w:val="0"/>
          <w:numId w:val="20"/>
        </w:numPr>
        <w:rPr>
          <w:b w:val="0"/>
          <w:bCs/>
        </w:rPr>
      </w:pPr>
      <w:r w:rsidRPr="00686FFE">
        <w:rPr>
          <w:b w:val="0"/>
          <w:bCs/>
        </w:rPr>
        <w:t xml:space="preserve">Item 10: Public Comment (9:05 – 9:10 a.m.)  </w:t>
      </w:r>
    </w:p>
    <w:p w14:paraId="1AB67416" w14:textId="77777777" w:rsidR="00353123" w:rsidRDefault="00353123" w:rsidP="00353123">
      <w:pPr>
        <w:rPr>
          <w:color w:val="000000" w:themeColor="text1"/>
        </w:rPr>
      </w:pPr>
    </w:p>
    <w:p w14:paraId="64902677" w14:textId="5E5480F1" w:rsidR="00353123" w:rsidRPr="00686FFE" w:rsidRDefault="00353123" w:rsidP="00686FFE">
      <w:pPr>
        <w:pStyle w:val="Heading1"/>
        <w:numPr>
          <w:ilvl w:val="0"/>
          <w:numId w:val="20"/>
        </w:numPr>
        <w:rPr>
          <w:rFonts w:cs="Arial"/>
          <w:b w:val="0"/>
          <w:bCs/>
          <w:szCs w:val="28"/>
        </w:rPr>
      </w:pPr>
      <w:r w:rsidRPr="00686FFE">
        <w:rPr>
          <w:rFonts w:cs="Arial"/>
          <w:b w:val="0"/>
          <w:bCs/>
          <w:szCs w:val="28"/>
        </w:rPr>
        <w:t xml:space="preserve">Item 11: </w:t>
      </w:r>
      <w:r w:rsidR="00686FFE" w:rsidRPr="00686FFE">
        <w:rPr>
          <w:rFonts w:cs="Arial"/>
          <w:b w:val="0"/>
          <w:bCs/>
          <w:szCs w:val="28"/>
        </w:rPr>
        <w:t xml:space="preserve">California Department of Education (CDE) Initiatives – </w:t>
      </w:r>
      <w:r w:rsidR="00686FFE" w:rsidRPr="00686FFE">
        <w:rPr>
          <w:rFonts w:cs="Arial"/>
          <w:b w:val="0"/>
          <w:bCs/>
          <w:color w:val="202124"/>
          <w:szCs w:val="28"/>
          <w:shd w:val="clear" w:color="auto" w:fill="FFFFFF"/>
        </w:rPr>
        <w:t xml:space="preserve">Biannual </w:t>
      </w:r>
      <w:r w:rsidR="00686FFE" w:rsidRPr="00686FFE">
        <w:rPr>
          <w:rFonts w:cs="Arial"/>
          <w:b w:val="0"/>
          <w:bCs/>
          <w:szCs w:val="28"/>
        </w:rPr>
        <w:t xml:space="preserve">Update </w:t>
      </w:r>
      <w:r w:rsidRPr="00686FFE">
        <w:rPr>
          <w:rFonts w:cs="Arial"/>
          <w:b w:val="0"/>
          <w:bCs/>
          <w:szCs w:val="28"/>
        </w:rPr>
        <w:t>(9:10 – 10:00 a.m.)</w:t>
      </w:r>
    </w:p>
    <w:p w14:paraId="69AB616E" w14:textId="388015CC" w:rsidR="00686FFE" w:rsidRPr="00686FFE" w:rsidRDefault="00686FFE" w:rsidP="00686FFE">
      <w:pPr>
        <w:pStyle w:val="ListParagraph"/>
        <w:rPr>
          <w:rFonts w:cs="Arial"/>
          <w:szCs w:val="28"/>
        </w:rPr>
      </w:pPr>
      <w:r w:rsidRPr="00686FFE">
        <w:rPr>
          <w:rFonts w:cs="Arial"/>
          <w:szCs w:val="28"/>
        </w:rPr>
        <w:t xml:space="preserve">Nicolas Wavrin, SRC member, will provide update on current CDE initiatives. Members will have the opportunity to ask questions and discuss how these initiatives can intersect with vocational rehabilitation services. </w:t>
      </w:r>
    </w:p>
    <w:p w14:paraId="34635F5B" w14:textId="77777777" w:rsidR="00353123" w:rsidRPr="00686FFE" w:rsidRDefault="00353123" w:rsidP="00686FFE">
      <w:pPr>
        <w:pStyle w:val="Heading1"/>
        <w:numPr>
          <w:ilvl w:val="0"/>
          <w:numId w:val="20"/>
        </w:numPr>
        <w:rPr>
          <w:b w:val="0"/>
          <w:bCs/>
        </w:rPr>
      </w:pPr>
      <w:r w:rsidRPr="00686FFE">
        <w:rPr>
          <w:b w:val="0"/>
          <w:bCs/>
        </w:rPr>
        <w:lastRenderedPageBreak/>
        <w:t xml:space="preserve">Item 12: Adopt-a-District Report Outs (10:00 – 10:45 a.m.) </w:t>
      </w:r>
    </w:p>
    <w:p w14:paraId="634E0524" w14:textId="77777777" w:rsidR="00353123" w:rsidRPr="00686FFE" w:rsidRDefault="00353123" w:rsidP="00686FFE">
      <w:pPr>
        <w:pStyle w:val="ListParagraph"/>
        <w:rPr>
          <w:bCs/>
        </w:rPr>
      </w:pPr>
      <w:r w:rsidRPr="00686FFE">
        <w:rPr>
          <w:bCs/>
        </w:rPr>
        <w:t>SRC members will report out from their recent Adopt-a-Region discussions.</w:t>
      </w:r>
    </w:p>
    <w:p w14:paraId="75DA3ACE" w14:textId="77777777" w:rsidR="00353123" w:rsidRDefault="00353123" w:rsidP="00353123">
      <w:pPr>
        <w:rPr>
          <w:rFonts w:eastAsiaTheme="majorEastAsia" w:cstheme="majorBidi"/>
          <w:b/>
          <w:bCs/>
          <w:szCs w:val="28"/>
        </w:rPr>
      </w:pPr>
    </w:p>
    <w:p w14:paraId="500ED949" w14:textId="77777777" w:rsidR="00353123" w:rsidRPr="00AC75F9" w:rsidRDefault="00353123" w:rsidP="00AC75F9">
      <w:pPr>
        <w:pStyle w:val="ListParagraph"/>
        <w:numPr>
          <w:ilvl w:val="0"/>
          <w:numId w:val="20"/>
        </w:numPr>
        <w:rPr>
          <w:rFonts w:eastAsiaTheme="majorEastAsia" w:cstheme="majorBidi"/>
          <w:szCs w:val="28"/>
        </w:rPr>
      </w:pPr>
      <w:r w:rsidRPr="00AC75F9">
        <w:rPr>
          <w:rFonts w:eastAsiaTheme="majorEastAsia" w:cstheme="majorBidi"/>
          <w:szCs w:val="28"/>
        </w:rPr>
        <w:t>Break (10:45 – 11:00 a.m.)</w:t>
      </w:r>
    </w:p>
    <w:p w14:paraId="64B2A773" w14:textId="77777777" w:rsidR="00353123" w:rsidRPr="00686FFE" w:rsidRDefault="00353123" w:rsidP="00353123">
      <w:pPr>
        <w:rPr>
          <w:u w:val="single"/>
        </w:rPr>
      </w:pPr>
    </w:p>
    <w:p w14:paraId="7D13444C" w14:textId="0FBB2CC6" w:rsidR="00353123" w:rsidRPr="00686FFE" w:rsidRDefault="00353123" w:rsidP="00686FFE">
      <w:pPr>
        <w:pStyle w:val="Heading1"/>
        <w:numPr>
          <w:ilvl w:val="0"/>
          <w:numId w:val="20"/>
        </w:numPr>
        <w:rPr>
          <w:b w:val="0"/>
        </w:rPr>
      </w:pPr>
      <w:bookmarkStart w:id="2" w:name="_Hlk141259070"/>
      <w:r w:rsidRPr="00686FFE">
        <w:rPr>
          <w:b w:val="0"/>
        </w:rPr>
        <w:t xml:space="preserve">Item 13: SRC Monitoring and Evaluation Committee Meeting (11:00 a.m. – 12:00 p.m.)  </w:t>
      </w:r>
    </w:p>
    <w:bookmarkEnd w:id="2"/>
    <w:p w14:paraId="67300E4B" w14:textId="77777777" w:rsidR="00353123" w:rsidRPr="00B45CFA" w:rsidRDefault="00353123" w:rsidP="00686FFE">
      <w:pPr>
        <w:pStyle w:val="ListParagraph"/>
      </w:pPr>
      <w:r>
        <w:t>The DOR Planning Unit will join the SRC for continued discussions on the Consumer Satisfaction Survey (CSS). As it relates to the 2022 CSS results, further exploration and understanding of 1) potentially eligible participants reporting “only somewhat satisfied with employment guidance (71.1% score) they received from their counselor”, 2) additional insight regarding the “lack of desired jobs” reported as a reason for unemployment, and 3) data on the average amount of time from when a consumer enters VR to obtaining employment. The SRC and Planning Unit will then discuss survey delivery and administration, including concerns regarding the 2023 CSS response rate and methods to increase survey participation.</w:t>
      </w:r>
    </w:p>
    <w:p w14:paraId="7B6D4712" w14:textId="77777777" w:rsidR="00353123" w:rsidRPr="00686FFE" w:rsidRDefault="00353123" w:rsidP="00353123">
      <w:pPr>
        <w:rPr>
          <w:rFonts w:cs="Arial"/>
          <w:i/>
          <w:iCs/>
          <w:szCs w:val="28"/>
        </w:rPr>
      </w:pPr>
    </w:p>
    <w:p w14:paraId="2A4C68EA" w14:textId="77777777" w:rsidR="00353123" w:rsidRPr="00686FFE" w:rsidRDefault="00353123" w:rsidP="00686FFE">
      <w:pPr>
        <w:pStyle w:val="Heading1"/>
        <w:numPr>
          <w:ilvl w:val="0"/>
          <w:numId w:val="20"/>
        </w:numPr>
        <w:rPr>
          <w:b w:val="0"/>
        </w:rPr>
      </w:pPr>
      <w:r w:rsidRPr="00686FFE">
        <w:rPr>
          <w:b w:val="0"/>
        </w:rPr>
        <w:t>Lunch (12:00 – 1:30 p.m.)</w:t>
      </w:r>
    </w:p>
    <w:p w14:paraId="506197B9" w14:textId="77777777" w:rsidR="00353123" w:rsidRPr="00686FFE" w:rsidRDefault="00353123" w:rsidP="00353123"/>
    <w:p w14:paraId="4B066F52" w14:textId="7F91A95A" w:rsidR="00353123" w:rsidRPr="00686FFE" w:rsidRDefault="00353123" w:rsidP="00686FFE">
      <w:pPr>
        <w:pStyle w:val="Heading1"/>
        <w:numPr>
          <w:ilvl w:val="0"/>
          <w:numId w:val="20"/>
        </w:numPr>
        <w:rPr>
          <w:b w:val="0"/>
        </w:rPr>
      </w:pPr>
      <w:r w:rsidRPr="00686FFE">
        <w:rPr>
          <w:b w:val="0"/>
        </w:rPr>
        <w:t>Item 14:</w:t>
      </w:r>
      <w:r w:rsidR="00686FFE">
        <w:rPr>
          <w:b w:val="0"/>
        </w:rPr>
        <w:t xml:space="preserve"> SRC</w:t>
      </w:r>
      <w:r w:rsidRPr="00686FFE">
        <w:rPr>
          <w:b w:val="0"/>
        </w:rPr>
        <w:t xml:space="preserve"> Bylaw Review (1:30 – 1:45 p.m.)</w:t>
      </w:r>
    </w:p>
    <w:p w14:paraId="50E971D5" w14:textId="77777777" w:rsidR="00353123" w:rsidRPr="00686FFE" w:rsidRDefault="00353123" w:rsidP="00353123">
      <w:pPr>
        <w:pStyle w:val="Heading1"/>
        <w:rPr>
          <w:b w:val="0"/>
        </w:rPr>
      </w:pPr>
    </w:p>
    <w:p w14:paraId="26C0D870" w14:textId="77777777" w:rsidR="00353123" w:rsidRPr="00686FFE" w:rsidRDefault="00353123" w:rsidP="00686FFE">
      <w:pPr>
        <w:pStyle w:val="Heading1"/>
        <w:numPr>
          <w:ilvl w:val="0"/>
          <w:numId w:val="20"/>
        </w:numPr>
        <w:rPr>
          <w:b w:val="0"/>
        </w:rPr>
      </w:pPr>
      <w:r w:rsidRPr="00686FFE">
        <w:rPr>
          <w:b w:val="0"/>
        </w:rPr>
        <w:t xml:space="preserve">Item 15: Debrief and Recommendations Discussion (1:45 – 2:45 p.m.) </w:t>
      </w:r>
    </w:p>
    <w:p w14:paraId="4F3C1548" w14:textId="77777777" w:rsidR="00353123" w:rsidRPr="00686FFE" w:rsidRDefault="00353123" w:rsidP="00686FFE">
      <w:pPr>
        <w:pStyle w:val="ListParagraph"/>
      </w:pPr>
      <w:r w:rsidRPr="00686FFE">
        <w:t xml:space="preserve">SRC members will debrief from the meeting discussions and potentially develop and/or adopt policy recommendations.  </w:t>
      </w:r>
    </w:p>
    <w:p w14:paraId="32131786" w14:textId="77777777" w:rsidR="00353123" w:rsidRPr="00686FFE" w:rsidRDefault="00353123" w:rsidP="00353123">
      <w:pPr>
        <w:pStyle w:val="Heading1"/>
        <w:rPr>
          <w:b w:val="0"/>
        </w:rPr>
      </w:pPr>
    </w:p>
    <w:p w14:paraId="217A4A0C" w14:textId="77777777" w:rsidR="00353123" w:rsidRPr="00686FFE" w:rsidRDefault="00353123" w:rsidP="00686FFE">
      <w:pPr>
        <w:pStyle w:val="Heading1"/>
        <w:numPr>
          <w:ilvl w:val="0"/>
          <w:numId w:val="20"/>
        </w:numPr>
        <w:rPr>
          <w:b w:val="0"/>
        </w:rPr>
      </w:pPr>
      <w:r w:rsidRPr="00686FFE">
        <w:rPr>
          <w:b w:val="0"/>
        </w:rPr>
        <w:t>Break (2:45 – 3:00 p.m.)</w:t>
      </w:r>
    </w:p>
    <w:p w14:paraId="6B776415" w14:textId="77777777" w:rsidR="00353123" w:rsidRPr="00686FFE" w:rsidRDefault="00353123" w:rsidP="00353123">
      <w:pPr>
        <w:pStyle w:val="Heading1"/>
        <w:rPr>
          <w:b w:val="0"/>
        </w:rPr>
      </w:pPr>
    </w:p>
    <w:p w14:paraId="5E475C88" w14:textId="77777777" w:rsidR="00353123" w:rsidRPr="00686FFE" w:rsidRDefault="00353123" w:rsidP="00686FFE">
      <w:pPr>
        <w:pStyle w:val="Heading1"/>
        <w:numPr>
          <w:ilvl w:val="0"/>
          <w:numId w:val="20"/>
        </w:numPr>
        <w:rPr>
          <w:b w:val="0"/>
        </w:rPr>
      </w:pPr>
      <w:r w:rsidRPr="00686FFE">
        <w:rPr>
          <w:b w:val="0"/>
        </w:rPr>
        <w:t xml:space="preserve">Item 16: SRC Officers, Members, and Executive Officer Reports </w:t>
      </w:r>
    </w:p>
    <w:p w14:paraId="4244BADD" w14:textId="77777777" w:rsidR="00353123" w:rsidRPr="00686FFE" w:rsidRDefault="00353123" w:rsidP="00353123"/>
    <w:p w14:paraId="61C185A0" w14:textId="77777777" w:rsidR="00353123" w:rsidRPr="00686FFE" w:rsidRDefault="00353123" w:rsidP="00686FFE">
      <w:pPr>
        <w:pStyle w:val="ListParagraph"/>
        <w:numPr>
          <w:ilvl w:val="0"/>
          <w:numId w:val="20"/>
        </w:numPr>
        <w:rPr>
          <w:rFonts w:cs="Arial"/>
          <w:szCs w:val="28"/>
        </w:rPr>
      </w:pPr>
      <w:r w:rsidRPr="00686FFE">
        <w:rPr>
          <w:rFonts w:cs="Arial"/>
          <w:szCs w:val="28"/>
        </w:rPr>
        <w:t>Item 17: Annual Election of the SRC Officers (3:45 p.m. – 4:00 p.m.)</w:t>
      </w:r>
    </w:p>
    <w:p w14:paraId="4F22CE8F" w14:textId="77777777" w:rsidR="00353123" w:rsidRPr="00686FFE" w:rsidRDefault="00353123" w:rsidP="00353123"/>
    <w:p w14:paraId="055B2210" w14:textId="77777777" w:rsidR="00353123" w:rsidRPr="00686FFE" w:rsidRDefault="00353123" w:rsidP="00686FFE">
      <w:pPr>
        <w:pStyle w:val="Heading1"/>
        <w:numPr>
          <w:ilvl w:val="0"/>
          <w:numId w:val="20"/>
        </w:numPr>
        <w:rPr>
          <w:b w:val="0"/>
        </w:rPr>
      </w:pPr>
      <w:r w:rsidRPr="00686FFE">
        <w:rPr>
          <w:b w:val="0"/>
        </w:rPr>
        <w:t xml:space="preserve">Item 18: Future Agenda Items (3:40 – 4:00 p.m.) </w:t>
      </w:r>
    </w:p>
    <w:p w14:paraId="08C0A63F" w14:textId="46E116D9" w:rsidR="00353123" w:rsidRPr="00686FFE" w:rsidRDefault="00353123" w:rsidP="00353123">
      <w:pPr>
        <w:rPr>
          <w:i/>
          <w:iCs/>
        </w:rPr>
      </w:pPr>
    </w:p>
    <w:p w14:paraId="61B67C1A" w14:textId="7A6A88EA" w:rsidR="00353123" w:rsidRPr="00686FFE" w:rsidRDefault="00353123" w:rsidP="00686FFE">
      <w:pPr>
        <w:pStyle w:val="Heading1"/>
        <w:numPr>
          <w:ilvl w:val="0"/>
          <w:numId w:val="20"/>
        </w:numPr>
        <w:rPr>
          <w:b w:val="0"/>
        </w:rPr>
      </w:pPr>
      <w:r w:rsidRPr="00686FFE">
        <w:rPr>
          <w:b w:val="0"/>
        </w:rPr>
        <w:t>Adjourn 4:00 p.m.</w:t>
      </w:r>
    </w:p>
    <w:p w14:paraId="290884F3" w14:textId="77777777" w:rsidR="00686FFE" w:rsidRPr="00686FFE" w:rsidRDefault="00686FFE" w:rsidP="00686FFE">
      <w:pPr>
        <w:pStyle w:val="ListParagraph"/>
        <w:numPr>
          <w:ilvl w:val="0"/>
          <w:numId w:val="20"/>
        </w:numPr>
        <w:spacing w:after="160" w:line="259" w:lineRule="auto"/>
        <w:rPr>
          <w:rFonts w:eastAsiaTheme="majorEastAsia" w:cstheme="majorBidi"/>
          <w:sz w:val="32"/>
          <w:szCs w:val="32"/>
        </w:rPr>
      </w:pPr>
      <w:r w:rsidRPr="00686FFE">
        <w:rPr>
          <w:sz w:val="32"/>
        </w:rPr>
        <w:br w:type="page"/>
      </w:r>
    </w:p>
    <w:p w14:paraId="6A1DB889" w14:textId="7521B422" w:rsidR="00C200E7" w:rsidRPr="0096063B" w:rsidRDefault="00955F59" w:rsidP="00E2439F">
      <w:pPr>
        <w:pStyle w:val="Heading1"/>
        <w:rPr>
          <w:sz w:val="32"/>
        </w:rPr>
      </w:pPr>
      <w:r w:rsidRPr="0096063B">
        <w:rPr>
          <w:sz w:val="32"/>
        </w:rPr>
        <w:lastRenderedPageBreak/>
        <w:t>Running List of Agenda Items</w:t>
      </w:r>
      <w:r w:rsidR="00B95D66" w:rsidRPr="0096063B">
        <w:rPr>
          <w:sz w:val="32"/>
        </w:rPr>
        <w:t xml:space="preserve"> </w:t>
      </w:r>
      <w:r w:rsidR="0096063B">
        <w:rPr>
          <w:sz w:val="32"/>
        </w:rPr>
        <w:t>(updated 7/17/23)</w:t>
      </w:r>
    </w:p>
    <w:p w14:paraId="21520FBB" w14:textId="77777777" w:rsidR="007F7140" w:rsidRDefault="007F7140" w:rsidP="006E3E75">
      <w:pPr>
        <w:pBdr>
          <w:bottom w:val="single" w:sz="6" w:space="1" w:color="auto"/>
        </w:pBdr>
        <w:rPr>
          <w:rFonts w:eastAsiaTheme="majorEastAsia"/>
        </w:rPr>
      </w:pPr>
    </w:p>
    <w:p w14:paraId="2F55F9F1" w14:textId="449FADF0" w:rsidR="009C350B" w:rsidRPr="007F7140" w:rsidRDefault="009C350B" w:rsidP="009C350B"/>
    <w:p w14:paraId="1062686C" w14:textId="77777777" w:rsidR="009C350B" w:rsidRDefault="009C350B" w:rsidP="00B95D66">
      <w:pPr>
        <w:pStyle w:val="Heading2"/>
        <w:rPr>
          <w:u w:val="single"/>
        </w:rPr>
      </w:pPr>
      <w:r w:rsidRPr="00B95D66">
        <w:rPr>
          <w:u w:val="single"/>
        </w:rPr>
        <w:t xml:space="preserve">Items Requested by the Public </w:t>
      </w:r>
    </w:p>
    <w:p w14:paraId="144BFF43" w14:textId="77777777" w:rsidR="000E2BFD" w:rsidRPr="000E2BFD" w:rsidRDefault="000E2BFD" w:rsidP="000E2BFD"/>
    <w:p w14:paraId="5E48BD94" w14:textId="606C1F73" w:rsidR="003A44C2" w:rsidRDefault="009C6FDE" w:rsidP="00700B30">
      <w:r w:rsidRPr="009C6FDE">
        <w:rPr>
          <w:u w:val="single"/>
        </w:rPr>
        <w:t>COVID-19</w:t>
      </w:r>
      <w:r>
        <w:t xml:space="preserve">: </w:t>
      </w:r>
      <w:r w:rsidR="003A44C2">
        <w:t>H</w:t>
      </w:r>
      <w:r w:rsidR="003A44C2" w:rsidRPr="00496278">
        <w:t xml:space="preserve">ow </w:t>
      </w:r>
      <w:r w:rsidR="003A44C2">
        <w:t xml:space="preserve">can DOR </w:t>
      </w:r>
      <w:r w:rsidR="003A44C2" w:rsidRPr="00496278">
        <w:t>prepare for an anticipated influx of individuals seeking services due to</w:t>
      </w:r>
      <w:r w:rsidR="003A44C2">
        <w:t xml:space="preserve"> disabilities resulting from</w:t>
      </w:r>
      <w:r w:rsidR="003A44C2" w:rsidRPr="00496278">
        <w:t xml:space="preserve"> long COVID-19</w:t>
      </w:r>
      <w:r w:rsidR="00700B30">
        <w:t>?</w:t>
      </w:r>
    </w:p>
    <w:p w14:paraId="514D01F4" w14:textId="77777777" w:rsidR="009C350B" w:rsidRDefault="009C350B" w:rsidP="003A44C2"/>
    <w:p w14:paraId="6100F1A7" w14:textId="7C437479" w:rsidR="003A44C2" w:rsidRPr="0039213E" w:rsidRDefault="009C350B" w:rsidP="0039213E">
      <w:pPr>
        <w:pStyle w:val="Heading2"/>
        <w:rPr>
          <w:u w:val="single"/>
        </w:rPr>
      </w:pPr>
      <w:r w:rsidRPr="0039213E">
        <w:rPr>
          <w:u w:val="single"/>
        </w:rPr>
        <w:t>Items Requested by SRC Members</w:t>
      </w:r>
    </w:p>
    <w:p w14:paraId="227B94C9" w14:textId="77777777" w:rsidR="000E2BFD" w:rsidRPr="00901911" w:rsidRDefault="000E2BFD" w:rsidP="003A44C2">
      <w:pPr>
        <w:rPr>
          <w:rFonts w:eastAsiaTheme="majorEastAsia"/>
          <w:b/>
          <w:bCs/>
          <w:u w:val="single"/>
        </w:rPr>
      </w:pPr>
    </w:p>
    <w:p w14:paraId="58ECCA03" w14:textId="1B64449C" w:rsidR="00105877" w:rsidRDefault="00457DF2" w:rsidP="00457DF2">
      <w:r w:rsidRPr="003A44C2">
        <w:rPr>
          <w:u w:val="single"/>
        </w:rPr>
        <w:t>State Hearing Division</w:t>
      </w:r>
    </w:p>
    <w:p w14:paraId="0C87BCC2" w14:textId="4283E4C9" w:rsidR="00457DF2" w:rsidRDefault="00457DF2" w:rsidP="00457DF2">
      <w:r w:rsidRPr="009A3C20">
        <w:t>Members will receive an update on DOR’s transition to utilizing the California Department of Social Services, State Hearings Division to conduct fair hearings for DOR consumers. SRC members are interested in learning if this transition has resulted in positive changes, increased engagement</w:t>
      </w:r>
      <w:r>
        <w:t xml:space="preserve"> </w:t>
      </w:r>
      <w:r w:rsidRPr="009A3C20">
        <w:t xml:space="preserve">and neutrality, and if it is more user friendly for DOR consumers. </w:t>
      </w:r>
    </w:p>
    <w:p w14:paraId="76D23440" w14:textId="77777777" w:rsidR="009766E2" w:rsidRPr="009A3C20" w:rsidRDefault="009766E2" w:rsidP="009766E2">
      <w:pPr>
        <w:rPr>
          <w:rFonts w:eastAsia="Times New Roman" w:cs="Arial"/>
          <w:szCs w:val="28"/>
        </w:rPr>
      </w:pPr>
    </w:p>
    <w:p w14:paraId="792B7C0C" w14:textId="70A8E478" w:rsidR="009766E2" w:rsidRPr="003A44C2" w:rsidRDefault="009766E2" w:rsidP="009766E2">
      <w:pPr>
        <w:rPr>
          <w:u w:val="single"/>
          <w:lang w:val="en"/>
        </w:rPr>
      </w:pPr>
      <w:r w:rsidRPr="003A44C2">
        <w:rPr>
          <w:u w:val="single"/>
          <w:lang w:val="en"/>
        </w:rPr>
        <w:t>Adult Work Experience</w:t>
      </w:r>
      <w:r w:rsidR="00165186">
        <w:rPr>
          <w:u w:val="single"/>
          <w:lang w:val="en"/>
        </w:rPr>
        <w:t xml:space="preserve"> </w:t>
      </w:r>
    </w:p>
    <w:p w14:paraId="1442E1DB" w14:textId="77777777" w:rsidR="009766E2" w:rsidRDefault="009766E2" w:rsidP="009766E2">
      <w:r w:rsidRPr="00FA340E">
        <w:t>Members will receive an update on the availability of Adult Work Experiences for DOR consumers. Work experiences are intended to be temporary placements to gain experience in the workplace.</w:t>
      </w:r>
    </w:p>
    <w:p w14:paraId="64DF4E05" w14:textId="77777777" w:rsidR="009766E2" w:rsidRDefault="009766E2" w:rsidP="00D63A79"/>
    <w:p w14:paraId="65C1103F" w14:textId="77777777" w:rsidR="009766E2" w:rsidRPr="009766E2" w:rsidRDefault="009766E2" w:rsidP="009766E2">
      <w:pPr>
        <w:rPr>
          <w:u w:val="single"/>
        </w:rPr>
      </w:pPr>
      <w:r w:rsidRPr="009766E2">
        <w:rPr>
          <w:u w:val="single"/>
        </w:rPr>
        <w:t>Self-Employment</w:t>
      </w:r>
    </w:p>
    <w:p w14:paraId="3A993972" w14:textId="77777777" w:rsidR="009766E2" w:rsidRPr="006E3E75" w:rsidRDefault="009766E2" w:rsidP="009766E2">
      <w:r>
        <w:t xml:space="preserve">Members will receive information on the resources and information available to assist consumers with understanding the DOR process and guidelines to becoming employed in a self-employment setting.  </w:t>
      </w:r>
    </w:p>
    <w:p w14:paraId="12A21CF7" w14:textId="77777777" w:rsidR="00165186" w:rsidRPr="009766E2" w:rsidRDefault="00165186" w:rsidP="00457DF2"/>
    <w:p w14:paraId="72CFCD6D" w14:textId="7FAE62E1" w:rsidR="009766E2" w:rsidRPr="009766E2" w:rsidRDefault="009766E2" w:rsidP="00457DF2">
      <w:pPr>
        <w:rPr>
          <w:rFonts w:cs="Arial"/>
          <w:szCs w:val="28"/>
          <w:u w:val="single"/>
        </w:rPr>
      </w:pPr>
      <w:r w:rsidRPr="00955F59">
        <w:rPr>
          <w:rFonts w:cs="Arial"/>
          <w:szCs w:val="28"/>
          <w:u w:val="single"/>
        </w:rPr>
        <w:t>Benefits Planning Cross-Advisory Workgroup</w:t>
      </w:r>
      <w:r w:rsidR="00165186">
        <w:rPr>
          <w:rFonts w:cs="Arial"/>
          <w:szCs w:val="28"/>
          <w:u w:val="single"/>
        </w:rPr>
        <w:t xml:space="preserve"> </w:t>
      </w:r>
    </w:p>
    <w:p w14:paraId="0C700AEA" w14:textId="7D433B73" w:rsidR="00BE5FC0" w:rsidRDefault="009766E2" w:rsidP="00457DF2">
      <w:pPr>
        <w:rPr>
          <w:rFonts w:cs="Arial"/>
          <w:bCs/>
          <w:szCs w:val="28"/>
        </w:rPr>
      </w:pPr>
      <w:r>
        <w:rPr>
          <w:rFonts w:cs="Arial"/>
          <w:szCs w:val="28"/>
        </w:rPr>
        <w:t xml:space="preserve">Members </w:t>
      </w:r>
      <w:r w:rsidR="00FA4C80">
        <w:rPr>
          <w:rFonts w:cs="Arial"/>
          <w:szCs w:val="28"/>
        </w:rPr>
        <w:t>will receive updates on the</w:t>
      </w:r>
      <w:r>
        <w:rPr>
          <w:rFonts w:cs="Arial"/>
          <w:szCs w:val="28"/>
        </w:rPr>
        <w:t xml:space="preserve"> progress of the Benefits Planning Cross-Advisory Workgroup, comprised of representatives from </w:t>
      </w:r>
      <w:r w:rsidRPr="00E74F33">
        <w:rPr>
          <w:rFonts w:cs="Arial"/>
          <w:bCs/>
          <w:szCs w:val="28"/>
        </w:rPr>
        <w:t xml:space="preserve">the following advisory bodies: the California Committee of Employment of People with Disabilities, the </w:t>
      </w:r>
      <w:proofErr w:type="spellStart"/>
      <w:r w:rsidRPr="00E74F33">
        <w:rPr>
          <w:rFonts w:cs="Arial"/>
          <w:bCs/>
          <w:szCs w:val="28"/>
        </w:rPr>
        <w:t>CalABLE</w:t>
      </w:r>
      <w:proofErr w:type="spellEnd"/>
      <w:r w:rsidRPr="00E74F33">
        <w:rPr>
          <w:rFonts w:cs="Arial"/>
          <w:bCs/>
          <w:szCs w:val="28"/>
        </w:rPr>
        <w:t xml:space="preserve"> Act Board, the California Behavioral Health Planning Council, the California Commission on Aging, the State Council on Developmental Disabilities, the State Rehabilitation Council, and the State Independent Living Council.</w:t>
      </w:r>
    </w:p>
    <w:p w14:paraId="1A8F2478" w14:textId="77777777" w:rsidR="009D4F8C" w:rsidRPr="009D4F8C" w:rsidRDefault="009D4F8C" w:rsidP="00457DF2">
      <w:pPr>
        <w:rPr>
          <w:rFonts w:cs="Arial"/>
          <w:bCs/>
          <w:szCs w:val="28"/>
        </w:rPr>
      </w:pPr>
    </w:p>
    <w:p w14:paraId="18E106FA" w14:textId="77777777" w:rsidR="00105877" w:rsidRPr="009C350B" w:rsidRDefault="00105877" w:rsidP="00105877">
      <w:pPr>
        <w:rPr>
          <w:u w:val="single"/>
        </w:rPr>
      </w:pPr>
      <w:r w:rsidRPr="009C350B">
        <w:rPr>
          <w:u w:val="single"/>
        </w:rPr>
        <w:t>California Community Transitions (CCT) Project</w:t>
      </w:r>
    </w:p>
    <w:p w14:paraId="0BD55334" w14:textId="77777777" w:rsidR="00105877" w:rsidRPr="009A3C20" w:rsidRDefault="00105877" w:rsidP="00105877">
      <w:pPr>
        <w:rPr>
          <w:bCs/>
        </w:rPr>
      </w:pPr>
      <w:r w:rsidRPr="009A3C20">
        <w:rPr>
          <w:bCs/>
        </w:rPr>
        <w:t xml:space="preserve">Follow up discussion with program staff at the Department of Health Care Services Regarding the CCT project on questions such as: </w:t>
      </w:r>
    </w:p>
    <w:p w14:paraId="11E5B614" w14:textId="77777777" w:rsidR="00105877" w:rsidRPr="009C350B" w:rsidRDefault="00105877" w:rsidP="000255AB">
      <w:pPr>
        <w:pStyle w:val="ListParagraph"/>
        <w:numPr>
          <w:ilvl w:val="0"/>
          <w:numId w:val="2"/>
        </w:numPr>
        <w:rPr>
          <w:bCs/>
        </w:rPr>
      </w:pPr>
      <w:r w:rsidRPr="009C350B">
        <w:rPr>
          <w:bCs/>
        </w:rPr>
        <w:t xml:space="preserve">How could DOR become an information and referral partner? </w:t>
      </w:r>
    </w:p>
    <w:p w14:paraId="3486DBFB" w14:textId="77777777" w:rsidR="00105877" w:rsidRPr="009C350B" w:rsidRDefault="00105877" w:rsidP="000255AB">
      <w:pPr>
        <w:pStyle w:val="ListParagraph"/>
        <w:numPr>
          <w:ilvl w:val="0"/>
          <w:numId w:val="2"/>
        </w:numPr>
        <w:rPr>
          <w:bCs/>
        </w:rPr>
      </w:pPr>
      <w:r w:rsidRPr="009C350B">
        <w:rPr>
          <w:bCs/>
        </w:rPr>
        <w:lastRenderedPageBreak/>
        <w:t xml:space="preserve">How can VR services and employment be incorporated into the CCT transition plans? </w:t>
      </w:r>
    </w:p>
    <w:p w14:paraId="34B2074C" w14:textId="77777777" w:rsidR="00105877" w:rsidRPr="009C350B" w:rsidRDefault="00105877" w:rsidP="000255AB">
      <w:pPr>
        <w:pStyle w:val="ListParagraph"/>
        <w:numPr>
          <w:ilvl w:val="0"/>
          <w:numId w:val="2"/>
        </w:numPr>
        <w:rPr>
          <w:rFonts w:eastAsia="Times New Roman" w:cs="Arial"/>
          <w:szCs w:val="28"/>
        </w:rPr>
      </w:pPr>
      <w:r w:rsidRPr="009C350B">
        <w:rPr>
          <w:rFonts w:eastAsia="Times New Roman" w:cs="Arial"/>
          <w:szCs w:val="28"/>
        </w:rPr>
        <w:t>Contractor Requirements – It would be helpful to understand how VR services could offered, perhaps within "habilitation" services?</w:t>
      </w:r>
    </w:p>
    <w:p w14:paraId="699F21D0" w14:textId="77777777" w:rsidR="00105877" w:rsidRDefault="00105877" w:rsidP="00457DF2">
      <w:pPr>
        <w:rPr>
          <w:u w:val="single"/>
        </w:rPr>
      </w:pPr>
    </w:p>
    <w:p w14:paraId="2520D515" w14:textId="77777777" w:rsidR="00105877" w:rsidRPr="006072D3" w:rsidRDefault="00105877" w:rsidP="00105877">
      <w:pPr>
        <w:rPr>
          <w:u w:val="single"/>
        </w:rPr>
      </w:pPr>
      <w:r w:rsidRPr="006072D3">
        <w:rPr>
          <w:u w:val="single"/>
        </w:rPr>
        <w:t>Updates on DOR Initiatives</w:t>
      </w:r>
    </w:p>
    <w:p w14:paraId="779B42CB" w14:textId="77777777" w:rsidR="00105877" w:rsidRPr="006072D3" w:rsidRDefault="00105877" w:rsidP="000255AB">
      <w:pPr>
        <w:pStyle w:val="ListParagraph"/>
        <w:numPr>
          <w:ilvl w:val="0"/>
          <w:numId w:val="3"/>
        </w:numPr>
      </w:pPr>
      <w:r w:rsidRPr="006072D3">
        <w:t xml:space="preserve">Integrating Employment in Recovery (IER) initiative supported by opioid funding. </w:t>
      </w:r>
      <w:r w:rsidRPr="006072D3">
        <w:rPr>
          <w:bCs/>
        </w:rPr>
        <w:t>How can success be defined and measured for individuals participating in the Integrating Employment in Recovery initiative at opioid treatment centers?</w:t>
      </w:r>
    </w:p>
    <w:p w14:paraId="1A5E607B" w14:textId="77777777" w:rsidR="00105877" w:rsidRPr="006072D3" w:rsidRDefault="00105877" w:rsidP="000255AB">
      <w:pPr>
        <w:pStyle w:val="ListParagraph"/>
        <w:numPr>
          <w:ilvl w:val="0"/>
          <w:numId w:val="3"/>
        </w:numPr>
      </w:pPr>
      <w:r w:rsidRPr="006072D3">
        <w:t xml:space="preserve">Demand Side Employment Initiative </w:t>
      </w:r>
    </w:p>
    <w:p w14:paraId="31A8168B" w14:textId="77777777" w:rsidR="00105877" w:rsidRPr="009A3C20" w:rsidRDefault="00105877" w:rsidP="000255AB">
      <w:pPr>
        <w:pStyle w:val="ListParagraph"/>
        <w:numPr>
          <w:ilvl w:val="0"/>
          <w:numId w:val="3"/>
        </w:numPr>
      </w:pPr>
      <w:r w:rsidRPr="009A3C20">
        <w:t>VR Connections</w:t>
      </w:r>
    </w:p>
    <w:p w14:paraId="18758D64" w14:textId="77777777" w:rsidR="00105877" w:rsidRPr="009A3C20" w:rsidRDefault="00105877" w:rsidP="000255AB">
      <w:pPr>
        <w:pStyle w:val="ListParagraph"/>
        <w:numPr>
          <w:ilvl w:val="0"/>
          <w:numId w:val="3"/>
        </w:numPr>
      </w:pPr>
      <w:r w:rsidRPr="009A3C20">
        <w:t>Labor Market Sector Specialty Teams</w:t>
      </w:r>
    </w:p>
    <w:p w14:paraId="70BE0653" w14:textId="77777777" w:rsidR="00105877" w:rsidRPr="009A3C20" w:rsidRDefault="00105877" w:rsidP="00105877"/>
    <w:p w14:paraId="4505858E" w14:textId="77777777" w:rsidR="00105877" w:rsidRDefault="00105877" w:rsidP="00105877">
      <w:r w:rsidRPr="003A44C2">
        <w:rPr>
          <w:u w:val="single"/>
          <w:lang w:val="en"/>
        </w:rPr>
        <w:t>Individual Service Providers (ISP)</w:t>
      </w:r>
      <w:r>
        <w:rPr>
          <w:u w:val="single"/>
          <w:lang w:val="en"/>
        </w:rPr>
        <w:t>:</w:t>
      </w:r>
      <w:r w:rsidRPr="00700B30">
        <w:rPr>
          <w:lang w:val="en"/>
        </w:rPr>
        <w:t xml:space="preserve"> </w:t>
      </w:r>
      <w:r w:rsidRPr="009A3C20">
        <w:t>Members will receive an update on DOR’s use of ISPs. ISPs are independent contractors who assist individuals with disabilities to participate in vocational rehabilitation services and to achieve and maintain an employment outcome. DOR did not discontinue authorizations for ISPs and their services by September 1, 2021, as previously communicated.</w:t>
      </w:r>
    </w:p>
    <w:p w14:paraId="21C4AD85" w14:textId="77777777" w:rsidR="001A0421" w:rsidRDefault="001A0421" w:rsidP="00105877"/>
    <w:p w14:paraId="17D9F1E1" w14:textId="29606423" w:rsidR="001A0421" w:rsidRDefault="0096063B" w:rsidP="00105877">
      <w:r w:rsidRPr="00EA73B1">
        <w:rPr>
          <w:u w:val="single"/>
        </w:rPr>
        <w:t>DOR In-Service Trainings:</w:t>
      </w:r>
      <w:r>
        <w:t xml:space="preserve"> </w:t>
      </w:r>
      <w:r w:rsidR="00B00EA5">
        <w:t xml:space="preserve">as a follow up to the June 7, 2023 presentation on the in-service trainings that are offered to DOR employees, are there any </w:t>
      </w:r>
      <w:r w:rsidR="00282028">
        <w:t xml:space="preserve">gaps </w:t>
      </w:r>
      <w:r w:rsidR="00EA73B1">
        <w:t>and/or additional training opportunities</w:t>
      </w:r>
      <w:r w:rsidR="001679E3">
        <w:t xml:space="preserve"> that should be considered</w:t>
      </w:r>
      <w:r w:rsidR="00EA73B1">
        <w:t xml:space="preserve">? </w:t>
      </w:r>
    </w:p>
    <w:p w14:paraId="622C5792" w14:textId="2B907C99" w:rsidR="00BE5FC0" w:rsidRPr="00105877" w:rsidRDefault="00BE5FC0" w:rsidP="00457DF2"/>
    <w:p w14:paraId="099703A9" w14:textId="278AA8C5" w:rsidR="006E3E75" w:rsidRPr="00D63A79" w:rsidRDefault="00BE5FC0" w:rsidP="00D63A79">
      <w:pPr>
        <w:pStyle w:val="Heading2"/>
        <w:rPr>
          <w:u w:val="single"/>
        </w:rPr>
      </w:pPr>
      <w:r w:rsidRPr="00D63A79">
        <w:rPr>
          <w:u w:val="single"/>
        </w:rPr>
        <w:t>Standing</w:t>
      </w:r>
      <w:r w:rsidR="00D63A79" w:rsidRPr="00D63A79">
        <w:rPr>
          <w:u w:val="single"/>
        </w:rPr>
        <w:t xml:space="preserve"> Agenda</w:t>
      </w:r>
      <w:r w:rsidRPr="00D63A79">
        <w:rPr>
          <w:u w:val="single"/>
        </w:rPr>
        <w:t xml:space="preserve"> Items</w:t>
      </w:r>
    </w:p>
    <w:p w14:paraId="08FD8A4C" w14:textId="77777777" w:rsidR="00105877" w:rsidRDefault="00105877" w:rsidP="003A44C2">
      <w:pPr>
        <w:rPr>
          <w:u w:val="single"/>
        </w:rPr>
      </w:pPr>
    </w:p>
    <w:p w14:paraId="2FBB9458" w14:textId="156CC63B" w:rsidR="009C350B" w:rsidRPr="00105877" w:rsidRDefault="00BE5FC0" w:rsidP="003A44C2">
      <w:pPr>
        <w:rPr>
          <w:u w:val="single"/>
        </w:rPr>
      </w:pPr>
      <w:r w:rsidRPr="00105877">
        <w:rPr>
          <w:u w:val="single"/>
        </w:rPr>
        <w:t>Coordination with</w:t>
      </w:r>
      <w:r w:rsidR="003A44C2" w:rsidRPr="00105877">
        <w:rPr>
          <w:u w:val="single"/>
        </w:rPr>
        <w:t xml:space="preserve"> DOR</w:t>
      </w:r>
      <w:r w:rsidRPr="00105877">
        <w:rPr>
          <w:u w:val="single"/>
        </w:rPr>
        <w:t>’s</w:t>
      </w:r>
      <w:r w:rsidR="003A44C2" w:rsidRPr="00105877">
        <w:rPr>
          <w:u w:val="single"/>
        </w:rPr>
        <w:t xml:space="preserve"> Independent Living and Community Access Division</w:t>
      </w:r>
    </w:p>
    <w:p w14:paraId="0B6D307C" w14:textId="76E9B958" w:rsidR="003A44C2" w:rsidRDefault="003A44C2" w:rsidP="003A44C2"/>
    <w:p w14:paraId="7F785CED" w14:textId="618E202D" w:rsidR="003A44C2" w:rsidRPr="00105877" w:rsidRDefault="00700B30" w:rsidP="003A44C2">
      <w:pPr>
        <w:rPr>
          <w:u w:val="single"/>
        </w:rPr>
      </w:pPr>
      <w:r w:rsidRPr="00105877">
        <w:rPr>
          <w:u w:val="single"/>
        </w:rPr>
        <w:t>B</w:t>
      </w:r>
      <w:r w:rsidR="003A44C2" w:rsidRPr="00105877">
        <w:rPr>
          <w:u w:val="single"/>
        </w:rPr>
        <w:t xml:space="preserve">iannual </w:t>
      </w:r>
      <w:r w:rsidR="00BE5FC0" w:rsidRPr="00105877">
        <w:rPr>
          <w:u w:val="single"/>
        </w:rPr>
        <w:t>U</w:t>
      </w:r>
      <w:r w:rsidR="003A44C2" w:rsidRPr="00105877">
        <w:rPr>
          <w:u w:val="single"/>
        </w:rPr>
        <w:t xml:space="preserve">pdates on California Department of Education </w:t>
      </w:r>
      <w:r w:rsidR="00105877">
        <w:rPr>
          <w:u w:val="single"/>
        </w:rPr>
        <w:t>I</w:t>
      </w:r>
      <w:r w:rsidR="003A44C2" w:rsidRPr="00105877">
        <w:rPr>
          <w:u w:val="single"/>
        </w:rPr>
        <w:t>nitiatives</w:t>
      </w:r>
      <w:r w:rsidR="00165186">
        <w:rPr>
          <w:u w:val="single"/>
        </w:rPr>
        <w:t xml:space="preserve"> </w:t>
      </w:r>
    </w:p>
    <w:p w14:paraId="529B40A4" w14:textId="77777777" w:rsidR="003A44C2" w:rsidRDefault="003A44C2" w:rsidP="00D7202C">
      <w:pPr>
        <w:pStyle w:val="ListParagraph"/>
        <w:numPr>
          <w:ilvl w:val="0"/>
          <w:numId w:val="1"/>
        </w:numPr>
      </w:pPr>
      <w:r w:rsidRPr="00496278">
        <w:t>Alternative Pathway to a High School Diploma program</w:t>
      </w:r>
    </w:p>
    <w:p w14:paraId="017FB88A" w14:textId="133D8AD1" w:rsidR="003A44C2" w:rsidRDefault="003A44C2" w:rsidP="00D7202C">
      <w:pPr>
        <w:pStyle w:val="ListParagraph"/>
        <w:numPr>
          <w:ilvl w:val="0"/>
          <w:numId w:val="1"/>
        </w:numPr>
      </w:pPr>
      <w:r>
        <w:t>Standardized</w:t>
      </w:r>
      <w:r w:rsidRPr="00496278">
        <w:t xml:space="preserve"> Individualized Education Program</w:t>
      </w:r>
      <w:r>
        <w:t xml:space="preserve"> template</w:t>
      </w:r>
      <w:r w:rsidRPr="00496278">
        <w:t xml:space="preserve"> (IPE) </w:t>
      </w:r>
    </w:p>
    <w:p w14:paraId="76DBE608" w14:textId="451D4744" w:rsidR="003A44C2" w:rsidRPr="003A44C2" w:rsidRDefault="003A44C2" w:rsidP="003A44C2">
      <w:pPr>
        <w:pStyle w:val="ListParagraph"/>
        <w:numPr>
          <w:ilvl w:val="0"/>
          <w:numId w:val="1"/>
        </w:numPr>
      </w:pPr>
      <w:r>
        <w:t>Learning</w:t>
      </w:r>
      <w:r w:rsidRPr="00496278">
        <w:t xml:space="preserve"> about the new IEP and 504 plans and the intersection with VR services</w:t>
      </w:r>
      <w:r w:rsidR="00700B30">
        <w:t>.</w:t>
      </w:r>
      <w:r w:rsidRPr="00496278">
        <w:t xml:space="preserve"> </w:t>
      </w:r>
    </w:p>
    <w:p w14:paraId="008BED21" w14:textId="2787D571" w:rsidR="009C350B" w:rsidRPr="009C350B" w:rsidRDefault="009C350B" w:rsidP="000255AB">
      <w:pPr>
        <w:pStyle w:val="ListParagraph"/>
        <w:numPr>
          <w:ilvl w:val="0"/>
          <w:numId w:val="2"/>
        </w:numPr>
        <w:rPr>
          <w:rFonts w:eastAsia="Times New Roman" w:cs="Arial"/>
          <w:szCs w:val="28"/>
        </w:rPr>
      </w:pPr>
      <w:r w:rsidRPr="009C350B">
        <w:rPr>
          <w:rFonts w:eastAsia="Times New Roman" w:cs="Arial"/>
          <w:szCs w:val="28"/>
        </w:rPr>
        <w:t>Reporting Requirements – Could it be possible to update reporting requirements to include the provision of VR services and/or a warm hand-off for VR services (when desired)?</w:t>
      </w:r>
    </w:p>
    <w:p w14:paraId="66F818B4" w14:textId="2A9439BA" w:rsidR="00901911" w:rsidRPr="00901911" w:rsidRDefault="00901911" w:rsidP="00901911"/>
    <w:p w14:paraId="22E39644" w14:textId="56D89B0A" w:rsidR="00165186" w:rsidRDefault="00901911" w:rsidP="00901911">
      <w:pPr>
        <w:rPr>
          <w:u w:val="single"/>
        </w:rPr>
      </w:pPr>
      <w:r w:rsidRPr="00901911">
        <w:rPr>
          <w:u w:val="single"/>
        </w:rPr>
        <w:t>SRC Policy Committee Report Out</w:t>
      </w:r>
    </w:p>
    <w:p w14:paraId="191738C6" w14:textId="77777777" w:rsidR="008E21AD" w:rsidRDefault="008E21AD" w:rsidP="00901911">
      <w:pPr>
        <w:rPr>
          <w:u w:val="single"/>
        </w:rPr>
      </w:pPr>
    </w:p>
    <w:p w14:paraId="12500277" w14:textId="3DEB33C9" w:rsidR="00F610F1" w:rsidRPr="00A946A6" w:rsidRDefault="00101911" w:rsidP="00A946A6">
      <w:pPr>
        <w:pStyle w:val="Heading1"/>
        <w:rPr>
          <w:sz w:val="32"/>
          <w:szCs w:val="36"/>
        </w:rPr>
      </w:pPr>
      <w:r>
        <w:rPr>
          <w:sz w:val="32"/>
          <w:szCs w:val="36"/>
        </w:rPr>
        <w:lastRenderedPageBreak/>
        <w:t xml:space="preserve">Running List of </w:t>
      </w:r>
      <w:r w:rsidR="00B00EC3">
        <w:rPr>
          <w:sz w:val="32"/>
          <w:szCs w:val="36"/>
        </w:rPr>
        <w:t xml:space="preserve">SRC </w:t>
      </w:r>
      <w:r w:rsidR="00F610F1" w:rsidRPr="00A946A6">
        <w:rPr>
          <w:sz w:val="32"/>
          <w:szCs w:val="36"/>
        </w:rPr>
        <w:t>Policy Questions</w:t>
      </w:r>
      <w:r w:rsidR="00E21C30">
        <w:rPr>
          <w:sz w:val="32"/>
          <w:szCs w:val="36"/>
        </w:rPr>
        <w:t xml:space="preserve"> (updated 7/17/23)</w:t>
      </w:r>
    </w:p>
    <w:p w14:paraId="46EA5DD3" w14:textId="77777777" w:rsidR="00A946A6" w:rsidRDefault="00A946A6" w:rsidP="00F610F1">
      <w:pPr>
        <w:pBdr>
          <w:bottom w:val="single" w:sz="6" w:space="1" w:color="auto"/>
        </w:pBdr>
      </w:pPr>
    </w:p>
    <w:p w14:paraId="5DD72FAE" w14:textId="77777777" w:rsidR="00B00EC3" w:rsidRDefault="00B00EC3" w:rsidP="00D63A79"/>
    <w:p w14:paraId="7A04F8E6" w14:textId="2FC70C0C" w:rsidR="00B00EC3" w:rsidRPr="0039213E" w:rsidRDefault="00B00EC3" w:rsidP="00B00EC3">
      <w:pPr>
        <w:pStyle w:val="Heading2"/>
        <w:rPr>
          <w:u w:val="single"/>
        </w:rPr>
      </w:pPr>
      <w:r>
        <w:rPr>
          <w:u w:val="single"/>
        </w:rPr>
        <w:t>Prioritized by the SRC Policy Committee:</w:t>
      </w:r>
    </w:p>
    <w:p w14:paraId="2BCD8F4F" w14:textId="77777777" w:rsidR="00B00EC3" w:rsidRPr="0039213E" w:rsidRDefault="00B00EC3" w:rsidP="00B00EC3"/>
    <w:p w14:paraId="07FF9801" w14:textId="77777777" w:rsidR="00B00EC3" w:rsidRDefault="00B00EC3" w:rsidP="00B00EC3">
      <w:pPr>
        <w:rPr>
          <w:rFonts w:cs="Arial"/>
          <w:szCs w:val="28"/>
          <w:u w:val="single"/>
        </w:rPr>
      </w:pPr>
      <w:r w:rsidRPr="0039213E">
        <w:rPr>
          <w:rFonts w:cs="Arial"/>
          <w:szCs w:val="28"/>
          <w:u w:val="single"/>
        </w:rPr>
        <w:t>Diversity, Equity, and Inclusion</w:t>
      </w:r>
    </w:p>
    <w:p w14:paraId="73770AB8" w14:textId="77777777" w:rsidR="00B00EC3" w:rsidRPr="00CF5777" w:rsidRDefault="00B00EC3" w:rsidP="00B00EC3">
      <w:pPr>
        <w:rPr>
          <w:rFonts w:eastAsia="Calibri"/>
        </w:rPr>
      </w:pPr>
      <w:r w:rsidRPr="00CF5777">
        <w:t xml:space="preserve">The California Health and Human Services Agency is leading many initiatives to improve DEI and as a result, DOR will likely be asked to develop an equity action plan. </w:t>
      </w:r>
    </w:p>
    <w:p w14:paraId="38E32310" w14:textId="77777777" w:rsidR="00B00EC3" w:rsidRPr="00CF5777" w:rsidRDefault="00B00EC3" w:rsidP="00B00EC3">
      <w:pPr>
        <w:pStyle w:val="ListParagraph"/>
        <w:numPr>
          <w:ilvl w:val="0"/>
          <w:numId w:val="7"/>
        </w:numPr>
        <w:rPr>
          <w:rFonts w:cs="Arial"/>
        </w:rPr>
      </w:pPr>
      <w:r w:rsidRPr="00CF5777">
        <w:t>How can inequities in DOR’s programs and services be identified, and what methodologies can be used to address these equity gaps,</w:t>
      </w:r>
    </w:p>
    <w:p w14:paraId="7CC4FE24" w14:textId="77777777" w:rsidR="00B00EC3" w:rsidRPr="00CF5777" w:rsidRDefault="00B00EC3" w:rsidP="00B00EC3">
      <w:pPr>
        <w:pStyle w:val="ListParagraph"/>
        <w:numPr>
          <w:ilvl w:val="0"/>
          <w:numId w:val="7"/>
        </w:numPr>
        <w:rPr>
          <w:rFonts w:cs="Arial"/>
        </w:rPr>
      </w:pPr>
      <w:r w:rsidRPr="00CF5777">
        <w:t xml:space="preserve">What communities are unserved and underserved, and how can DOR effectively reach them, and, </w:t>
      </w:r>
    </w:p>
    <w:p w14:paraId="2C56A969" w14:textId="77777777" w:rsidR="00B00EC3" w:rsidRPr="00CF5777" w:rsidRDefault="00B00EC3" w:rsidP="00B00EC3">
      <w:pPr>
        <w:pStyle w:val="ListParagraph"/>
        <w:numPr>
          <w:ilvl w:val="0"/>
          <w:numId w:val="7"/>
        </w:numPr>
      </w:pPr>
      <w:r w:rsidRPr="00CF5777">
        <w:t xml:space="preserve">What methods and models should DOR look to and consider to address these inequities? </w:t>
      </w:r>
    </w:p>
    <w:p w14:paraId="13ADDE37" w14:textId="77777777" w:rsidR="00B00EC3" w:rsidRPr="00A022E2" w:rsidRDefault="00B00EC3" w:rsidP="00B00EC3">
      <w:pPr>
        <w:rPr>
          <w:rFonts w:cs="Arial"/>
          <w:szCs w:val="28"/>
        </w:rPr>
      </w:pPr>
      <w:r w:rsidRPr="00A022E2">
        <w:rPr>
          <w:rFonts w:cs="Arial"/>
          <w:szCs w:val="28"/>
        </w:rPr>
        <w:t>Follow up questions identified by the SRC Policy Committee:</w:t>
      </w:r>
    </w:p>
    <w:p w14:paraId="103298E2" w14:textId="77777777" w:rsidR="00B00EC3" w:rsidRDefault="00B00EC3" w:rsidP="00B00EC3">
      <w:pPr>
        <w:pStyle w:val="ListParagraph"/>
        <w:numPr>
          <w:ilvl w:val="0"/>
          <w:numId w:val="2"/>
        </w:numPr>
        <w:rPr>
          <w:rFonts w:cs="Arial"/>
          <w:szCs w:val="28"/>
        </w:rPr>
      </w:pPr>
      <w:r w:rsidRPr="009F2ACA">
        <w:rPr>
          <w:rFonts w:cs="Arial"/>
          <w:szCs w:val="28"/>
        </w:rPr>
        <w:t>Updated data sets on what communities are underserved and unserved – especially from a regional perspective. How does DOR staffing impact underserved and unserved communities?</w:t>
      </w:r>
    </w:p>
    <w:p w14:paraId="001FD2B9" w14:textId="77777777" w:rsidR="00B00EC3" w:rsidRDefault="00B00EC3" w:rsidP="00B00EC3">
      <w:pPr>
        <w:pStyle w:val="ListParagraph"/>
        <w:numPr>
          <w:ilvl w:val="0"/>
          <w:numId w:val="2"/>
        </w:numPr>
        <w:rPr>
          <w:rFonts w:cs="Arial"/>
          <w:szCs w:val="28"/>
        </w:rPr>
      </w:pPr>
      <w:r w:rsidRPr="009F2ACA">
        <w:rPr>
          <w:rFonts w:cs="Arial"/>
          <w:szCs w:val="28"/>
        </w:rPr>
        <w:t>What is DOR currently doing in terms of marketing and outreach?</w:t>
      </w:r>
    </w:p>
    <w:p w14:paraId="5FE3B4A8" w14:textId="77777777" w:rsidR="00B00EC3" w:rsidRDefault="00B00EC3" w:rsidP="00B00EC3">
      <w:pPr>
        <w:pStyle w:val="ListParagraph"/>
        <w:numPr>
          <w:ilvl w:val="0"/>
          <w:numId w:val="2"/>
        </w:numPr>
        <w:rPr>
          <w:rFonts w:cs="Arial"/>
          <w:szCs w:val="28"/>
        </w:rPr>
      </w:pPr>
      <w:r>
        <w:rPr>
          <w:rFonts w:cs="Arial"/>
          <w:szCs w:val="28"/>
        </w:rPr>
        <w:t>I</w:t>
      </w:r>
      <w:r w:rsidRPr="009F2ACA">
        <w:rPr>
          <w:rFonts w:cs="Arial"/>
          <w:szCs w:val="28"/>
        </w:rPr>
        <w:t xml:space="preserve">t is great to have all these DEI ideas and initiatives – but who at DOR is ultimately going to implement them? </w:t>
      </w:r>
    </w:p>
    <w:p w14:paraId="3D968CBD" w14:textId="77777777" w:rsidR="00B00EC3" w:rsidRDefault="00B00EC3" w:rsidP="00B00EC3">
      <w:pPr>
        <w:pStyle w:val="ListParagraph"/>
        <w:numPr>
          <w:ilvl w:val="0"/>
          <w:numId w:val="2"/>
        </w:numPr>
        <w:rPr>
          <w:rFonts w:cs="Arial"/>
          <w:szCs w:val="28"/>
        </w:rPr>
      </w:pPr>
      <w:r>
        <w:rPr>
          <w:rFonts w:cs="Arial"/>
          <w:szCs w:val="28"/>
        </w:rPr>
        <w:t>Need for DOR’s language policy to align with CalHHS’ updated DEI language access policy.</w:t>
      </w:r>
    </w:p>
    <w:p w14:paraId="53A2129D" w14:textId="77777777" w:rsidR="00B00EC3" w:rsidRDefault="00B00EC3" w:rsidP="00B00EC3">
      <w:pPr>
        <w:pStyle w:val="ListParagraph"/>
        <w:rPr>
          <w:rFonts w:cs="Arial"/>
          <w:szCs w:val="28"/>
        </w:rPr>
      </w:pPr>
    </w:p>
    <w:p w14:paraId="0BB0F6B7" w14:textId="77777777" w:rsidR="00B00EC3" w:rsidRPr="00B00EC3" w:rsidRDefault="00B00EC3" w:rsidP="00B00EC3">
      <w:r w:rsidRPr="00B00EC3">
        <w:rPr>
          <w:u w:val="single"/>
        </w:rPr>
        <w:t>Benefits Planning and Employment</w:t>
      </w:r>
      <w:r w:rsidRPr="00B00EC3">
        <w:t xml:space="preserve">: </w:t>
      </w:r>
    </w:p>
    <w:p w14:paraId="1EF5909E" w14:textId="77777777" w:rsidR="00B00EC3" w:rsidRPr="00B00EC3" w:rsidRDefault="00B00EC3" w:rsidP="00B00EC3">
      <w:pPr>
        <w:pStyle w:val="ListParagraph"/>
        <w:numPr>
          <w:ilvl w:val="0"/>
          <w:numId w:val="8"/>
        </w:numPr>
      </w:pPr>
      <w:r w:rsidRPr="00B00EC3">
        <w:t xml:space="preserve">How can DOR increase awareness for consumers about available benefits? </w:t>
      </w:r>
    </w:p>
    <w:p w14:paraId="4DB9B179" w14:textId="77777777" w:rsidR="00B00EC3" w:rsidRPr="00B00EC3" w:rsidRDefault="00B00EC3" w:rsidP="00B00EC3">
      <w:pPr>
        <w:pStyle w:val="ListParagraph"/>
        <w:numPr>
          <w:ilvl w:val="0"/>
          <w:numId w:val="8"/>
        </w:numPr>
      </w:pPr>
      <w:r w:rsidRPr="00B00EC3">
        <w:t>There is a need to include vocational rehabilitation and the benefits of employment when community supports are being discussed. Where and when does employment fit into the conversation?</w:t>
      </w:r>
    </w:p>
    <w:p w14:paraId="67DA5203" w14:textId="77777777" w:rsidR="00B00EC3" w:rsidRPr="00B00EC3" w:rsidRDefault="00B00EC3" w:rsidP="00B00EC3">
      <w:r w:rsidRPr="00B00EC3">
        <w:t xml:space="preserve">Note: </w:t>
      </w:r>
      <w:r w:rsidRPr="00B00EC3">
        <w:rPr>
          <w:rFonts w:cs="Arial"/>
          <w:szCs w:val="28"/>
        </w:rPr>
        <w:t xml:space="preserve">The benefits planning policy questions will be addressed through the Benefits Planning Cross Advisory Body Workgroup which SRC members Kecia Weller and Benjamin Aviles serve on. Efforts of the workgroup will result in a policy report. </w:t>
      </w:r>
    </w:p>
    <w:p w14:paraId="3D891BE0" w14:textId="77777777" w:rsidR="00B00EC3" w:rsidRPr="00B00EC3" w:rsidRDefault="00B00EC3" w:rsidP="00B00EC3"/>
    <w:p w14:paraId="4FFF3199" w14:textId="77777777" w:rsidR="00B00EC3" w:rsidRDefault="00B00EC3" w:rsidP="00B00EC3">
      <w:r w:rsidRPr="00B00EC3">
        <w:rPr>
          <w:u w:val="single"/>
        </w:rPr>
        <w:t>Student Services</w:t>
      </w:r>
      <w:r w:rsidRPr="00B00EC3">
        <w:t>:</w:t>
      </w:r>
      <w:r>
        <w:t xml:space="preserve"> </w:t>
      </w:r>
    </w:p>
    <w:p w14:paraId="0C1E9087" w14:textId="2D7F28D0" w:rsidR="00B00EC3" w:rsidRPr="00032F77" w:rsidRDefault="00B00EC3" w:rsidP="00B00EC3">
      <w:pPr>
        <w:pStyle w:val="ListParagraph"/>
        <w:numPr>
          <w:ilvl w:val="0"/>
          <w:numId w:val="10"/>
        </w:numPr>
      </w:pPr>
      <w:r>
        <w:t xml:space="preserve">Follow up discussions </w:t>
      </w:r>
      <w:r w:rsidR="001679E3">
        <w:t>based on the information</w:t>
      </w:r>
      <w:r>
        <w:t xml:space="preserve"> received during the June 8 – 9, 2023 SRC quarterly meeting regarding DOR Student Services and </w:t>
      </w:r>
      <w:r>
        <w:lastRenderedPageBreak/>
        <w:t xml:space="preserve">Community Rehabilitation Programs, Local Education Agencies, </w:t>
      </w:r>
      <w:r w:rsidRPr="00032F77">
        <w:rPr>
          <w:rFonts w:cs="Arial"/>
          <w:szCs w:val="28"/>
        </w:rPr>
        <w:t xml:space="preserve">CA Education Code 45125.1, </w:t>
      </w:r>
      <w:r>
        <w:rPr>
          <w:rFonts w:cs="Arial"/>
          <w:szCs w:val="28"/>
        </w:rPr>
        <w:t xml:space="preserve">and </w:t>
      </w:r>
      <w:r w:rsidRPr="00032F77">
        <w:rPr>
          <w:rFonts w:cs="Arial"/>
          <w:szCs w:val="28"/>
        </w:rPr>
        <w:t xml:space="preserve">clarification on DOR’s </w:t>
      </w:r>
      <w:r>
        <w:rPr>
          <w:rFonts w:cs="Arial"/>
          <w:szCs w:val="28"/>
        </w:rPr>
        <w:t>Student Service goals.</w:t>
      </w:r>
    </w:p>
    <w:p w14:paraId="0B9B4BA2" w14:textId="159FAB08" w:rsidR="00B00EC3" w:rsidRDefault="001679E3" w:rsidP="00B00EC3">
      <w:pPr>
        <w:pStyle w:val="ListParagraph"/>
        <w:numPr>
          <w:ilvl w:val="0"/>
          <w:numId w:val="10"/>
        </w:numPr>
      </w:pPr>
      <w:r>
        <w:t xml:space="preserve">New </w:t>
      </w:r>
      <w:r>
        <w:rPr>
          <w:bCs/>
        </w:rPr>
        <w:t>–</w:t>
      </w:r>
      <w:r>
        <w:t xml:space="preserve"> </w:t>
      </w:r>
      <w:r w:rsidR="00B00EC3">
        <w:t>High school college and career counselors – students with disabilities do not always receive the same guidance and support from high school college and career counselors. What are possible solutions?</w:t>
      </w:r>
    </w:p>
    <w:p w14:paraId="5095E291" w14:textId="77777777" w:rsidR="00B00EC3" w:rsidRDefault="00B00EC3" w:rsidP="00F610F1"/>
    <w:p w14:paraId="2489EB9E" w14:textId="6F6F82B5" w:rsidR="00B00EC3" w:rsidRDefault="00B00EC3" w:rsidP="00B00EC3">
      <w:pPr>
        <w:pStyle w:val="Heading2"/>
      </w:pPr>
      <w:r w:rsidRPr="00B00EC3">
        <w:rPr>
          <w:u w:val="single"/>
        </w:rPr>
        <w:t>Additional Policy Questions</w:t>
      </w:r>
      <w:r>
        <w:t>:</w:t>
      </w:r>
    </w:p>
    <w:p w14:paraId="39367A77" w14:textId="77777777" w:rsidR="00B00EC3" w:rsidRDefault="00B00EC3" w:rsidP="00F610F1"/>
    <w:p w14:paraId="0C3E83AB" w14:textId="77777777" w:rsidR="00CD090C" w:rsidRPr="008D78E2" w:rsidRDefault="00CD090C" w:rsidP="00CD090C">
      <w:pPr>
        <w:rPr>
          <w:u w:val="single"/>
        </w:rPr>
      </w:pPr>
      <w:r>
        <w:rPr>
          <w:u w:val="single"/>
        </w:rPr>
        <w:t>Intersection of Retention Plans and Order of Selection:</w:t>
      </w:r>
      <w:r w:rsidRPr="008D78E2">
        <w:t xml:space="preserve"> </w:t>
      </w:r>
      <w:r w:rsidRPr="008D78E2">
        <w:rPr>
          <w:bCs/>
        </w:rPr>
        <w:t xml:space="preserve">Per federal regulations, State VR agencies may elect to serve individuals at risk of losing employment outside the order of selection and provide VR services needed for the individual to maintain employment. </w:t>
      </w:r>
    </w:p>
    <w:p w14:paraId="554DEF17" w14:textId="77777777" w:rsidR="00CD090C" w:rsidRPr="008D78E2" w:rsidRDefault="00CD090C" w:rsidP="00CD090C">
      <w:pPr>
        <w:pStyle w:val="ListParagraph"/>
        <w:numPr>
          <w:ilvl w:val="0"/>
          <w:numId w:val="17"/>
        </w:numPr>
        <w:rPr>
          <w:u w:val="single"/>
        </w:rPr>
      </w:pPr>
      <w:r w:rsidRPr="008D78E2">
        <w:rPr>
          <w:bCs/>
        </w:rPr>
        <w:t>If DOR implements an Order of Selection with closed categories, would DOR support the provision of VR services to individuals who reapply and require services to maintain/retain employment even though the individual would otherwise be assigned to a waiting list</w:t>
      </w:r>
      <w:r>
        <w:rPr>
          <w:bCs/>
        </w:rPr>
        <w:t>?</w:t>
      </w:r>
    </w:p>
    <w:p w14:paraId="29DA397F" w14:textId="77777777" w:rsidR="00CD090C" w:rsidRDefault="00CD090C" w:rsidP="00CD090C">
      <w:pPr>
        <w:rPr>
          <w:u w:val="single"/>
        </w:rPr>
      </w:pPr>
    </w:p>
    <w:p w14:paraId="33DC8572" w14:textId="77777777" w:rsidR="00CD090C" w:rsidRPr="009A3C20" w:rsidRDefault="00CD090C" w:rsidP="00CD090C">
      <w:r>
        <w:rPr>
          <w:u w:val="single"/>
        </w:rPr>
        <w:t>SRC Recommendation Review:</w:t>
      </w:r>
      <w:r w:rsidRPr="00D66063">
        <w:t xml:space="preserve"> </w:t>
      </w:r>
      <w:r>
        <w:t xml:space="preserve">Which SRC recommendations from the past five years should the SRC revisit and request updates on? </w:t>
      </w:r>
    </w:p>
    <w:p w14:paraId="2DF824C1" w14:textId="77777777" w:rsidR="00CD090C" w:rsidRDefault="00CD090C" w:rsidP="00CD090C">
      <w:pPr>
        <w:rPr>
          <w:u w:val="single"/>
        </w:rPr>
      </w:pPr>
    </w:p>
    <w:p w14:paraId="23A6DEC0" w14:textId="77777777" w:rsidR="00CD090C" w:rsidRPr="00266CE7" w:rsidRDefault="00CD090C" w:rsidP="00CD090C">
      <w:r w:rsidRPr="008B50BA">
        <w:rPr>
          <w:u w:val="single"/>
        </w:rPr>
        <w:t>Gun Violence</w:t>
      </w:r>
      <w:r>
        <w:t xml:space="preserve">: </w:t>
      </w:r>
      <w:r w:rsidRPr="00266CE7">
        <w:t>The California Health and Human Services Agency is calling upon Departments, including DOR, to recognize gun violence as a public health and public safety crisis, and for Departments to do more to act on this issue.</w:t>
      </w:r>
      <w:r w:rsidRPr="00266CE7">
        <w:rPr>
          <w:rFonts w:eastAsia="Calibri"/>
        </w:rPr>
        <w:t xml:space="preserve"> </w:t>
      </w:r>
    </w:p>
    <w:p w14:paraId="53BC2F09" w14:textId="77777777" w:rsidR="00CD090C" w:rsidRPr="008B50BA" w:rsidRDefault="00CD090C" w:rsidP="00CD090C">
      <w:pPr>
        <w:pStyle w:val="ListParagraph"/>
        <w:numPr>
          <w:ilvl w:val="0"/>
          <w:numId w:val="13"/>
        </w:numPr>
        <w:rPr>
          <w:rStyle w:val="IntenseReference"/>
          <w:b w:val="0"/>
          <w:bCs w:val="0"/>
          <w:smallCaps w:val="0"/>
          <w:color w:val="auto"/>
          <w:spacing w:val="0"/>
        </w:rPr>
      </w:pPr>
      <w:r w:rsidRPr="00860295">
        <w:t xml:space="preserve">How can DOR contribute to the strategies and actions that address this crisis? </w:t>
      </w:r>
    </w:p>
    <w:p w14:paraId="75654A74" w14:textId="77777777" w:rsidR="00CD090C" w:rsidRDefault="00CD090C" w:rsidP="00CD090C">
      <w:pPr>
        <w:pStyle w:val="ListParagraph"/>
        <w:numPr>
          <w:ilvl w:val="0"/>
          <w:numId w:val="13"/>
        </w:numPr>
      </w:pPr>
      <w:r w:rsidRPr="00860295">
        <w:t>What are examples of those strategies?</w:t>
      </w:r>
    </w:p>
    <w:p w14:paraId="49E62A58" w14:textId="77777777" w:rsidR="00CD090C" w:rsidRPr="003B324E" w:rsidRDefault="00CD090C" w:rsidP="00CD090C">
      <w:pPr>
        <w:rPr>
          <w:u w:val="single"/>
        </w:rPr>
      </w:pPr>
    </w:p>
    <w:p w14:paraId="1DF34285" w14:textId="77777777" w:rsidR="00CD090C" w:rsidRDefault="00CD090C" w:rsidP="00CD090C">
      <w:r w:rsidRPr="003B324E">
        <w:rPr>
          <w:u w:val="single"/>
        </w:rPr>
        <w:t>R</w:t>
      </w:r>
      <w:r>
        <w:rPr>
          <w:u w:val="single"/>
        </w:rPr>
        <w:t>ehabilitation Administrative Manual (R</w:t>
      </w:r>
      <w:r w:rsidRPr="003B324E">
        <w:rPr>
          <w:u w:val="single"/>
        </w:rPr>
        <w:t>AM</w:t>
      </w:r>
      <w:r>
        <w:rPr>
          <w:u w:val="single"/>
        </w:rPr>
        <w:t>)</w:t>
      </w:r>
      <w:r w:rsidRPr="003B324E">
        <w:rPr>
          <w:u w:val="single"/>
        </w:rPr>
        <w:t xml:space="preserve"> Chapter 3078.1</w:t>
      </w:r>
      <w:r>
        <w:t>: Review of DOR’s policy</w:t>
      </w:r>
      <w:r w:rsidRPr="003B324E">
        <w:t xml:space="preserve"> for </w:t>
      </w:r>
      <w:r>
        <w:t>a</w:t>
      </w:r>
      <w:r w:rsidRPr="003B324E">
        <w:t xml:space="preserve">ddressing </w:t>
      </w:r>
      <w:r>
        <w:t>t</w:t>
      </w:r>
      <w:r w:rsidRPr="003B324E">
        <w:t xml:space="preserve">hreatening or </w:t>
      </w:r>
      <w:r>
        <w:t>h</w:t>
      </w:r>
      <w:r w:rsidRPr="003B324E">
        <w:t xml:space="preserve">arassing </w:t>
      </w:r>
      <w:r>
        <w:t>b</w:t>
      </w:r>
      <w:r w:rsidRPr="003B324E">
        <w:t xml:space="preserve">ehavior by </w:t>
      </w:r>
      <w:r>
        <w:t>a</w:t>
      </w:r>
      <w:r w:rsidRPr="003B324E">
        <w:t xml:space="preserve">pplicants or </w:t>
      </w:r>
      <w:r>
        <w:t>c</w:t>
      </w:r>
      <w:r w:rsidRPr="003B324E">
        <w:t>onsumers</w:t>
      </w:r>
      <w:r>
        <w:t>.</w:t>
      </w:r>
    </w:p>
    <w:p w14:paraId="184BA5E9" w14:textId="77777777" w:rsidR="00CD090C" w:rsidRDefault="00CD090C" w:rsidP="00CD090C"/>
    <w:p w14:paraId="29289AF6" w14:textId="77777777" w:rsidR="00CD090C" w:rsidRPr="00A227EC" w:rsidRDefault="00CD090C" w:rsidP="00CD090C">
      <w:r w:rsidRPr="00A227EC">
        <w:rPr>
          <w:u w:val="single"/>
        </w:rPr>
        <w:t>Independe</w:t>
      </w:r>
      <w:r>
        <w:rPr>
          <w:u w:val="single"/>
        </w:rPr>
        <w:t>n</w:t>
      </w:r>
      <w:r w:rsidRPr="00A227EC">
        <w:rPr>
          <w:u w:val="single"/>
        </w:rPr>
        <w:t>t Living and Traumatic Brain Injury Programs</w:t>
      </w:r>
      <w:r w:rsidRPr="00A227EC">
        <w:t xml:space="preserve">: </w:t>
      </w:r>
    </w:p>
    <w:p w14:paraId="15CD9581" w14:textId="77777777" w:rsidR="00CD090C" w:rsidRDefault="00CD090C" w:rsidP="00CD090C">
      <w:pPr>
        <w:pStyle w:val="ListParagraph"/>
        <w:numPr>
          <w:ilvl w:val="0"/>
          <w:numId w:val="16"/>
        </w:numPr>
        <w:tabs>
          <w:tab w:val="left" w:pos="450"/>
          <w:tab w:val="left" w:pos="720"/>
        </w:tabs>
        <w:rPr>
          <w:bCs/>
        </w:rPr>
      </w:pPr>
      <w:r w:rsidRPr="008D78E2">
        <w:rPr>
          <w:bCs/>
        </w:rPr>
        <w:t xml:space="preserve">How can DOR provide coordinated “no wrong door” services to address the whole person whether they enter the systems through the VR or independent living programs? </w:t>
      </w:r>
    </w:p>
    <w:p w14:paraId="0AED29F1" w14:textId="77777777" w:rsidR="00CD090C" w:rsidRDefault="00CD090C" w:rsidP="00CD090C">
      <w:pPr>
        <w:pStyle w:val="ListParagraph"/>
        <w:numPr>
          <w:ilvl w:val="0"/>
          <w:numId w:val="16"/>
        </w:numPr>
        <w:tabs>
          <w:tab w:val="left" w:pos="450"/>
          <w:tab w:val="left" w:pos="720"/>
        </w:tabs>
        <w:rPr>
          <w:bCs/>
        </w:rPr>
      </w:pPr>
      <w:r w:rsidRPr="008D78E2">
        <w:rPr>
          <w:bCs/>
        </w:rPr>
        <w:t>How can DOR improve employment services and outcomes for individuals with traumatic brain injuries</w:t>
      </w:r>
      <w:r>
        <w:rPr>
          <w:bCs/>
        </w:rPr>
        <w:t xml:space="preserve"> (TBIs)</w:t>
      </w:r>
      <w:r w:rsidRPr="008D78E2">
        <w:rPr>
          <w:bCs/>
        </w:rPr>
        <w:t xml:space="preserve">? </w:t>
      </w:r>
    </w:p>
    <w:p w14:paraId="476EBF3E" w14:textId="77777777" w:rsidR="00CD090C" w:rsidRPr="008D78E2" w:rsidRDefault="00CD090C" w:rsidP="00CD090C">
      <w:pPr>
        <w:pStyle w:val="ListParagraph"/>
        <w:numPr>
          <w:ilvl w:val="0"/>
          <w:numId w:val="16"/>
        </w:numPr>
        <w:tabs>
          <w:tab w:val="left" w:pos="450"/>
          <w:tab w:val="left" w:pos="720"/>
        </w:tabs>
        <w:rPr>
          <w:bCs/>
        </w:rPr>
      </w:pPr>
      <w:r>
        <w:lastRenderedPageBreak/>
        <w:t xml:space="preserve">How can </w:t>
      </w:r>
      <w:r w:rsidRPr="00496278">
        <w:t xml:space="preserve">TBI </w:t>
      </w:r>
      <w:r>
        <w:t>be more openly</w:t>
      </w:r>
      <w:r w:rsidRPr="00496278">
        <w:t xml:space="preserve"> included in discussions</w:t>
      </w:r>
      <w:r>
        <w:t>, both at DOR and with community-based organizations?</w:t>
      </w:r>
    </w:p>
    <w:p w14:paraId="7EAB8C4E" w14:textId="77777777" w:rsidR="00CD090C" w:rsidRPr="00506A26" w:rsidRDefault="00CD090C" w:rsidP="00CD090C">
      <w:pPr>
        <w:pStyle w:val="ListParagraph"/>
        <w:numPr>
          <w:ilvl w:val="0"/>
          <w:numId w:val="14"/>
        </w:numPr>
        <w:tabs>
          <w:tab w:val="left" w:pos="450"/>
        </w:tabs>
        <w:ind w:firstLine="0"/>
      </w:pPr>
      <w:r>
        <w:t xml:space="preserve">How can </w:t>
      </w:r>
      <w:r w:rsidRPr="00496278">
        <w:t>TBI stigma be reduced</w:t>
      </w:r>
      <w:r>
        <w:t xml:space="preserve">? </w:t>
      </w:r>
      <w:r w:rsidRPr="00496278">
        <w:t xml:space="preserve"> </w:t>
      </w:r>
    </w:p>
    <w:p w14:paraId="163283ED" w14:textId="77777777" w:rsidR="00CD090C" w:rsidRPr="00A227EC" w:rsidRDefault="00CD090C" w:rsidP="00CD090C">
      <w:pPr>
        <w:pStyle w:val="ListParagraph"/>
        <w:ind w:left="360"/>
        <w:rPr>
          <w:bCs/>
          <w:szCs w:val="28"/>
        </w:rPr>
      </w:pPr>
    </w:p>
    <w:p w14:paraId="2AFBCAAE" w14:textId="77777777" w:rsidR="00CD090C" w:rsidRPr="00E84C58" w:rsidRDefault="00CD090C" w:rsidP="00CD090C">
      <w:pPr>
        <w:rPr>
          <w:bCs/>
          <w:u w:val="single"/>
        </w:rPr>
      </w:pPr>
      <w:r w:rsidRPr="00E84C58">
        <w:rPr>
          <w:bCs/>
          <w:u w:val="single"/>
        </w:rPr>
        <w:t>Budget Change Proposal (BCP) Concepts</w:t>
      </w:r>
    </w:p>
    <w:p w14:paraId="189B35CD" w14:textId="77777777" w:rsidR="00CD090C" w:rsidRPr="00E84C58" w:rsidRDefault="00CD090C" w:rsidP="00CD090C">
      <w:pPr>
        <w:pStyle w:val="ListParagraph"/>
        <w:numPr>
          <w:ilvl w:val="0"/>
          <w:numId w:val="15"/>
        </w:numPr>
      </w:pPr>
      <w:r w:rsidRPr="00E84C58">
        <w:rPr>
          <w:bCs/>
        </w:rPr>
        <w:t xml:space="preserve">If DOR was going to make a budget ask, what should that ask be, and why? Requests should be new initiatives, not a request to do more of the same. </w:t>
      </w:r>
      <w:bookmarkStart w:id="3" w:name="_Hlk119154345"/>
      <w:r w:rsidRPr="00E84C58">
        <w:rPr>
          <w:bCs/>
        </w:rPr>
        <w:t xml:space="preserve">The DEI analysis requirements in </w:t>
      </w:r>
      <w:hyperlink r:id="rId8" w:history="1">
        <w:r w:rsidRPr="00E84C58">
          <w:rPr>
            <w:rStyle w:val="Hyperlink"/>
            <w:rFonts w:cs="Arial"/>
            <w:szCs w:val="28"/>
          </w:rPr>
          <w:t>Executive Order N-16-22</w:t>
        </w:r>
      </w:hyperlink>
      <w:r w:rsidRPr="00E84C58">
        <w:rPr>
          <w:rFonts w:cs="Arial"/>
          <w:szCs w:val="28"/>
        </w:rPr>
        <w:t xml:space="preserve"> </w:t>
      </w:r>
      <w:r w:rsidRPr="00E84C58">
        <w:rPr>
          <w:bCs/>
        </w:rPr>
        <w:t>should be considered when developing BCP concepts.</w:t>
      </w:r>
    </w:p>
    <w:bookmarkEnd w:id="3"/>
    <w:p w14:paraId="156BC2FB" w14:textId="77777777" w:rsidR="00CD090C" w:rsidRPr="00BF77C6" w:rsidRDefault="00CD090C" w:rsidP="00CD090C">
      <w:pPr>
        <w:ind w:left="-360"/>
        <w:rPr>
          <w:bCs/>
          <w:sz w:val="22"/>
          <w:szCs w:val="16"/>
        </w:rPr>
      </w:pPr>
    </w:p>
    <w:p w14:paraId="6223D1ED" w14:textId="77777777" w:rsidR="00CD090C" w:rsidRPr="008D78E2" w:rsidRDefault="00CD090C" w:rsidP="00CD090C">
      <w:pPr>
        <w:rPr>
          <w:bCs/>
        </w:rPr>
      </w:pPr>
      <w:r w:rsidRPr="008D78E2">
        <w:rPr>
          <w:bCs/>
          <w:u w:val="single"/>
        </w:rPr>
        <w:t>Legislative Policy Change</w:t>
      </w:r>
      <w:r>
        <w:rPr>
          <w:bCs/>
        </w:rPr>
        <w:t xml:space="preserve">: </w:t>
      </w:r>
      <w:r w:rsidRPr="008D78E2">
        <w:rPr>
          <w:bCs/>
        </w:rPr>
        <w:t>If DOR had an opportunity to make a legislative policy change, what would that change be, and why should DOR ask for that change?</w:t>
      </w:r>
    </w:p>
    <w:p w14:paraId="13395A86" w14:textId="77777777" w:rsidR="00CD090C" w:rsidRPr="00BF77C6" w:rsidRDefault="00CD090C" w:rsidP="00CD090C">
      <w:pPr>
        <w:ind w:left="-360"/>
        <w:rPr>
          <w:bCs/>
          <w:sz w:val="22"/>
          <w:szCs w:val="16"/>
        </w:rPr>
      </w:pPr>
    </w:p>
    <w:p w14:paraId="1A528FF6" w14:textId="77777777" w:rsidR="00CD090C" w:rsidRDefault="00CD090C" w:rsidP="00CD090C">
      <w:pPr>
        <w:rPr>
          <w:bCs/>
        </w:rPr>
      </w:pPr>
      <w:r>
        <w:rPr>
          <w:bCs/>
          <w:u w:val="single"/>
        </w:rPr>
        <w:t xml:space="preserve">Information and </w:t>
      </w:r>
      <w:r w:rsidRPr="008D78E2">
        <w:rPr>
          <w:bCs/>
          <w:u w:val="single"/>
        </w:rPr>
        <w:t>Data Analysis</w:t>
      </w:r>
      <w:r>
        <w:rPr>
          <w:bCs/>
        </w:rPr>
        <w:t xml:space="preserve">: </w:t>
      </w:r>
      <w:r w:rsidRPr="008D78E2">
        <w:rPr>
          <w:bCs/>
        </w:rPr>
        <w:t xml:space="preserve">What can the data and trends from the </w:t>
      </w:r>
      <w:r w:rsidRPr="001822EB">
        <w:rPr>
          <w:bCs/>
        </w:rPr>
        <w:t>2022 Consumer Satisfaction Survey, f</w:t>
      </w:r>
      <w:r>
        <w:rPr>
          <w:bCs/>
        </w:rPr>
        <w:t xml:space="preserve">air hearing and mediation decision trends, </w:t>
      </w:r>
      <w:r w:rsidRPr="008D78E2">
        <w:rPr>
          <w:bCs/>
        </w:rPr>
        <w:t>and Comprehensive Statewide Assessment tell us about the impact of DOR’s programs and the opportunity to improve service delivery?</w:t>
      </w:r>
    </w:p>
    <w:p w14:paraId="6C699C91" w14:textId="77777777" w:rsidR="00CD090C" w:rsidRPr="008D78E2" w:rsidRDefault="00CD090C" w:rsidP="00CD090C">
      <w:pPr>
        <w:rPr>
          <w:bCs/>
          <w:u w:val="single"/>
        </w:rPr>
      </w:pPr>
    </w:p>
    <w:p w14:paraId="2AA85C77" w14:textId="77777777" w:rsidR="00CD090C" w:rsidRPr="008D78E2" w:rsidRDefault="00CD090C" w:rsidP="00CD090C">
      <w:pPr>
        <w:rPr>
          <w:bCs/>
          <w:u w:val="single"/>
        </w:rPr>
      </w:pPr>
      <w:r w:rsidRPr="008D78E2">
        <w:rPr>
          <w:bCs/>
          <w:u w:val="single"/>
        </w:rPr>
        <w:t>Program Development</w:t>
      </w:r>
    </w:p>
    <w:p w14:paraId="17F00964" w14:textId="77777777" w:rsidR="00CD090C" w:rsidRPr="008D78E2" w:rsidRDefault="00CD090C" w:rsidP="00CD090C">
      <w:pPr>
        <w:pStyle w:val="ListParagraph"/>
        <w:numPr>
          <w:ilvl w:val="0"/>
          <w:numId w:val="12"/>
        </w:numPr>
        <w:rPr>
          <w:bCs/>
        </w:rPr>
      </w:pPr>
      <w:r w:rsidRPr="001B46AA">
        <w:rPr>
          <w:bCs/>
        </w:rPr>
        <w:t>Before developing a new initiative or program what are the core, guiding principles that need to be identified and established?</w:t>
      </w:r>
    </w:p>
    <w:p w14:paraId="6D491B13" w14:textId="77777777" w:rsidR="00CD090C" w:rsidRDefault="00CD090C" w:rsidP="00CD090C">
      <w:pPr>
        <w:pStyle w:val="ListParagraph"/>
        <w:numPr>
          <w:ilvl w:val="0"/>
          <w:numId w:val="12"/>
        </w:numPr>
        <w:rPr>
          <w:bCs/>
        </w:rPr>
      </w:pPr>
      <w:r w:rsidRPr="001B46AA">
        <w:rPr>
          <w:bCs/>
        </w:rPr>
        <w:t xml:space="preserve">What are some of the core principles that should guide efforts to integrate health and human services programs? </w:t>
      </w:r>
    </w:p>
    <w:p w14:paraId="13D4AF41" w14:textId="63CA91D2" w:rsidR="00CD090C" w:rsidRDefault="00CD090C" w:rsidP="00CD090C">
      <w:pPr>
        <w:pStyle w:val="ListParagraph"/>
        <w:numPr>
          <w:ilvl w:val="0"/>
          <w:numId w:val="12"/>
        </w:numPr>
        <w:rPr>
          <w:bCs/>
        </w:rPr>
      </w:pPr>
      <w:r w:rsidRPr="00CD090C">
        <w:rPr>
          <w:bCs/>
        </w:rPr>
        <w:t>What systems and policies are outdated and need to be modernized? Or instead, do we need to let go of them?</w:t>
      </w:r>
    </w:p>
    <w:p w14:paraId="41833D0E" w14:textId="217534E2" w:rsidR="0054550A" w:rsidRDefault="0054550A" w:rsidP="00CD090C">
      <w:pPr>
        <w:pStyle w:val="ListParagraph"/>
        <w:numPr>
          <w:ilvl w:val="0"/>
          <w:numId w:val="12"/>
        </w:numPr>
        <w:rPr>
          <w:bCs/>
        </w:rPr>
      </w:pPr>
      <w:r>
        <w:rPr>
          <w:bCs/>
        </w:rPr>
        <w:t>New – what procedures might be impacting policy</w:t>
      </w:r>
      <w:r w:rsidR="00C47D24">
        <w:rPr>
          <w:bCs/>
        </w:rPr>
        <w:t>?</w:t>
      </w:r>
    </w:p>
    <w:p w14:paraId="01F6E726" w14:textId="28668215" w:rsidR="00C47D24" w:rsidRPr="00CD090C" w:rsidRDefault="00C47D24" w:rsidP="00CD090C">
      <w:pPr>
        <w:pStyle w:val="ListParagraph"/>
        <w:numPr>
          <w:ilvl w:val="0"/>
          <w:numId w:val="12"/>
        </w:numPr>
        <w:rPr>
          <w:bCs/>
        </w:rPr>
      </w:pPr>
      <w:r>
        <w:rPr>
          <w:bCs/>
        </w:rPr>
        <w:t xml:space="preserve">New – DOR is reviewing department controls and policies that </w:t>
      </w:r>
      <w:r w:rsidR="00221E70">
        <w:rPr>
          <w:bCs/>
        </w:rPr>
        <w:t>may have outlived their use. Consider SRC input before discontinuation.</w:t>
      </w:r>
    </w:p>
    <w:sectPr w:rsidR="00C47D24" w:rsidRPr="00CD090C" w:rsidSect="009C350B">
      <w:footerReference w:type="default" r:id="rId9"/>
      <w:pgSz w:w="12240" w:h="15840"/>
      <w:pgMar w:top="1152" w:right="1152" w:bottom="1152"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7FCE" w14:textId="77777777" w:rsidR="00526533" w:rsidRDefault="00526533" w:rsidP="00B94CB9">
      <w:r>
        <w:separator/>
      </w:r>
    </w:p>
  </w:endnote>
  <w:endnote w:type="continuationSeparator" w:id="0">
    <w:p w14:paraId="09CA20EC" w14:textId="77777777" w:rsidR="00526533" w:rsidRDefault="00526533"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04C8" w14:textId="77777777" w:rsidR="004667E7" w:rsidRDefault="004667E7">
    <w:pPr>
      <w:pStyle w:val="Footer"/>
      <w:jc w:val="right"/>
    </w:pPr>
  </w:p>
  <w:p w14:paraId="1AF5AEFF" w14:textId="636FD280" w:rsidR="00B94CB9" w:rsidRPr="004667E7" w:rsidRDefault="00353123" w:rsidP="004667E7">
    <w:pPr>
      <w:pStyle w:val="Header"/>
      <w:jc w:val="center"/>
      <w:rPr>
        <w:i/>
        <w:iCs/>
      </w:rPr>
    </w:pPr>
    <w:r>
      <w:rPr>
        <w:i/>
        <w:iCs/>
      </w:rPr>
      <w:t>August 14, 2023</w:t>
    </w:r>
    <w:r w:rsidR="004667E7" w:rsidRPr="004667E7">
      <w:rPr>
        <w:i/>
        <w:iCs/>
      </w:rPr>
      <w:t xml:space="preserve"> SRC EPC Meeting</w:t>
    </w:r>
    <w:r w:rsidR="004667E7" w:rsidRPr="004667E7">
      <w:rPr>
        <w:i/>
        <w:iCs/>
      </w:rPr>
      <w:tab/>
    </w:r>
    <w:r w:rsidR="004667E7" w:rsidRPr="004667E7">
      <w:rPr>
        <w:i/>
        <w:iCs/>
      </w:rPr>
      <w:tab/>
    </w:r>
    <w:r w:rsidR="00B94CB9" w:rsidRPr="004667E7">
      <w:rPr>
        <w:i/>
        <w:iCs/>
      </w:rPr>
      <w:t xml:space="preserve">Page </w:t>
    </w:r>
    <w:sdt>
      <w:sdtPr>
        <w:rPr>
          <w:i/>
          <w:iCs/>
        </w:rPr>
        <w:id w:val="-1744792767"/>
        <w:docPartObj>
          <w:docPartGallery w:val="Page Numbers (Bottom of Page)"/>
          <w:docPartUnique/>
        </w:docPartObj>
      </w:sdtPr>
      <w:sdtEndPr>
        <w:rPr>
          <w:noProof/>
        </w:rPr>
      </w:sdtEndPr>
      <w:sdtContent>
        <w:r w:rsidR="00B94CB9" w:rsidRPr="004667E7">
          <w:rPr>
            <w:i/>
            <w:iCs/>
          </w:rPr>
          <w:fldChar w:fldCharType="begin"/>
        </w:r>
        <w:r w:rsidR="00B94CB9" w:rsidRPr="004667E7">
          <w:rPr>
            <w:i/>
            <w:iCs/>
          </w:rPr>
          <w:instrText xml:space="preserve"> PAGE   \* MERGEFORMAT </w:instrText>
        </w:r>
        <w:r w:rsidR="00B94CB9" w:rsidRPr="004667E7">
          <w:rPr>
            <w:i/>
            <w:iCs/>
          </w:rPr>
          <w:fldChar w:fldCharType="separate"/>
        </w:r>
        <w:r w:rsidR="00B94CB9" w:rsidRPr="004667E7">
          <w:rPr>
            <w:i/>
            <w:iCs/>
            <w:noProof/>
          </w:rPr>
          <w:t>2</w:t>
        </w:r>
        <w:r w:rsidR="00B94CB9" w:rsidRPr="004667E7">
          <w:rPr>
            <w:i/>
            <w:iCs/>
            <w:noProof/>
          </w:rPr>
          <w:fldChar w:fldCharType="end"/>
        </w:r>
      </w:sdtContent>
    </w:sdt>
  </w:p>
  <w:p w14:paraId="42A6F954" w14:textId="77777777" w:rsidR="00B94CB9" w:rsidRDefault="00B94CB9" w:rsidP="0046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1DC2" w14:textId="77777777" w:rsidR="00526533" w:rsidRDefault="00526533" w:rsidP="00B94CB9">
      <w:r>
        <w:separator/>
      </w:r>
    </w:p>
  </w:footnote>
  <w:footnote w:type="continuationSeparator" w:id="0">
    <w:p w14:paraId="18B0FDCE" w14:textId="77777777" w:rsidR="00526533" w:rsidRDefault="00526533"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2320"/>
    <w:multiLevelType w:val="hybridMultilevel"/>
    <w:tmpl w:val="8CEE2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4860D0"/>
    <w:multiLevelType w:val="hybridMultilevel"/>
    <w:tmpl w:val="8F8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D71622"/>
    <w:multiLevelType w:val="hybridMultilevel"/>
    <w:tmpl w:val="B65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13960"/>
    <w:multiLevelType w:val="hybridMultilevel"/>
    <w:tmpl w:val="A28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11A6E"/>
    <w:multiLevelType w:val="hybridMultilevel"/>
    <w:tmpl w:val="58D41998"/>
    <w:lvl w:ilvl="0" w:tplc="236E787A">
      <w:start w:val="1"/>
      <w:numFmt w:val="decimal"/>
      <w:lvlText w:val="%1."/>
      <w:lvlJc w:val="left"/>
      <w:pPr>
        <w:ind w:left="72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A2B51"/>
    <w:multiLevelType w:val="hybridMultilevel"/>
    <w:tmpl w:val="8446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0299B"/>
    <w:multiLevelType w:val="hybridMultilevel"/>
    <w:tmpl w:val="A3CE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15D13"/>
    <w:multiLevelType w:val="hybridMultilevel"/>
    <w:tmpl w:val="51FA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0116A"/>
    <w:multiLevelType w:val="hybridMultilevel"/>
    <w:tmpl w:val="9BE67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18621">
    <w:abstractNumId w:val="8"/>
  </w:num>
  <w:num w:numId="2" w16cid:durableId="1420565760">
    <w:abstractNumId w:val="7"/>
  </w:num>
  <w:num w:numId="3" w16cid:durableId="554119081">
    <w:abstractNumId w:val="4"/>
  </w:num>
  <w:num w:numId="4" w16cid:durableId="1306853684">
    <w:abstractNumId w:val="12"/>
  </w:num>
  <w:num w:numId="5" w16cid:durableId="577595849">
    <w:abstractNumId w:val="15"/>
  </w:num>
  <w:num w:numId="6" w16cid:durableId="723260623">
    <w:abstractNumId w:val="0"/>
  </w:num>
  <w:num w:numId="7" w16cid:durableId="2124764924">
    <w:abstractNumId w:val="2"/>
  </w:num>
  <w:num w:numId="8" w16cid:durableId="2036882768">
    <w:abstractNumId w:val="9"/>
  </w:num>
  <w:num w:numId="9" w16cid:durableId="544605396">
    <w:abstractNumId w:val="17"/>
  </w:num>
  <w:num w:numId="10" w16cid:durableId="1146583445">
    <w:abstractNumId w:val="3"/>
  </w:num>
  <w:num w:numId="11" w16cid:durableId="1207330619">
    <w:abstractNumId w:val="13"/>
  </w:num>
  <w:num w:numId="12" w16cid:durableId="139150748">
    <w:abstractNumId w:val="11"/>
  </w:num>
  <w:num w:numId="13" w16cid:durableId="1005015952">
    <w:abstractNumId w:val="14"/>
  </w:num>
  <w:num w:numId="14" w16cid:durableId="1902667177">
    <w:abstractNumId w:val="6"/>
  </w:num>
  <w:num w:numId="15" w16cid:durableId="1254971543">
    <w:abstractNumId w:val="16"/>
  </w:num>
  <w:num w:numId="16" w16cid:durableId="1651515305">
    <w:abstractNumId w:val="1"/>
  </w:num>
  <w:num w:numId="17" w16cid:durableId="1331757413">
    <w:abstractNumId w:val="5"/>
  </w:num>
  <w:num w:numId="18" w16cid:durableId="737554668">
    <w:abstractNumId w:val="19"/>
  </w:num>
  <w:num w:numId="19" w16cid:durableId="1112554325">
    <w:abstractNumId w:val="10"/>
  </w:num>
  <w:num w:numId="20" w16cid:durableId="153244882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53CC"/>
    <w:rsid w:val="00010DB1"/>
    <w:rsid w:val="00011373"/>
    <w:rsid w:val="0001234F"/>
    <w:rsid w:val="00012E9F"/>
    <w:rsid w:val="00023E0E"/>
    <w:rsid w:val="000255AB"/>
    <w:rsid w:val="0002669B"/>
    <w:rsid w:val="000277E8"/>
    <w:rsid w:val="00032F77"/>
    <w:rsid w:val="00036494"/>
    <w:rsid w:val="00037187"/>
    <w:rsid w:val="00047DDE"/>
    <w:rsid w:val="0006011E"/>
    <w:rsid w:val="0006040A"/>
    <w:rsid w:val="000636FB"/>
    <w:rsid w:val="00063FBB"/>
    <w:rsid w:val="00073263"/>
    <w:rsid w:val="00076E37"/>
    <w:rsid w:val="00081481"/>
    <w:rsid w:val="00081D39"/>
    <w:rsid w:val="000841A5"/>
    <w:rsid w:val="00085AFA"/>
    <w:rsid w:val="00087081"/>
    <w:rsid w:val="00090A5A"/>
    <w:rsid w:val="00093584"/>
    <w:rsid w:val="000945CE"/>
    <w:rsid w:val="000A766E"/>
    <w:rsid w:val="000B2F08"/>
    <w:rsid w:val="000B3DAA"/>
    <w:rsid w:val="000B7571"/>
    <w:rsid w:val="000B77C4"/>
    <w:rsid w:val="000D04F4"/>
    <w:rsid w:val="000D3886"/>
    <w:rsid w:val="000D3BFB"/>
    <w:rsid w:val="000E2BFD"/>
    <w:rsid w:val="000E449B"/>
    <w:rsid w:val="000E4721"/>
    <w:rsid w:val="000F2CB3"/>
    <w:rsid w:val="000F3E6D"/>
    <w:rsid w:val="00101911"/>
    <w:rsid w:val="00102AC2"/>
    <w:rsid w:val="00103798"/>
    <w:rsid w:val="0010494D"/>
    <w:rsid w:val="00105837"/>
    <w:rsid w:val="00105877"/>
    <w:rsid w:val="001166F8"/>
    <w:rsid w:val="001240AE"/>
    <w:rsid w:val="00125DD2"/>
    <w:rsid w:val="0012674A"/>
    <w:rsid w:val="001267E6"/>
    <w:rsid w:val="00134D5B"/>
    <w:rsid w:val="001405F8"/>
    <w:rsid w:val="00146935"/>
    <w:rsid w:val="00151EB1"/>
    <w:rsid w:val="00152AF7"/>
    <w:rsid w:val="00157A08"/>
    <w:rsid w:val="00161B84"/>
    <w:rsid w:val="00165186"/>
    <w:rsid w:val="001679E3"/>
    <w:rsid w:val="001708A5"/>
    <w:rsid w:val="00171AC0"/>
    <w:rsid w:val="00175DD9"/>
    <w:rsid w:val="001807F3"/>
    <w:rsid w:val="00182EA3"/>
    <w:rsid w:val="001837B5"/>
    <w:rsid w:val="001917F3"/>
    <w:rsid w:val="001A0421"/>
    <w:rsid w:val="001A0890"/>
    <w:rsid w:val="001A1514"/>
    <w:rsid w:val="001B0345"/>
    <w:rsid w:val="001B0765"/>
    <w:rsid w:val="001B1F6C"/>
    <w:rsid w:val="001B2CF7"/>
    <w:rsid w:val="001B7279"/>
    <w:rsid w:val="001C095F"/>
    <w:rsid w:val="001C0D1A"/>
    <w:rsid w:val="001C6B00"/>
    <w:rsid w:val="001C7F48"/>
    <w:rsid w:val="001D11E2"/>
    <w:rsid w:val="001D3DC1"/>
    <w:rsid w:val="001E62B7"/>
    <w:rsid w:val="001F00EB"/>
    <w:rsid w:val="001F569B"/>
    <w:rsid w:val="001F5E1F"/>
    <w:rsid w:val="002139E1"/>
    <w:rsid w:val="002161E7"/>
    <w:rsid w:val="00221E5F"/>
    <w:rsid w:val="00221E70"/>
    <w:rsid w:val="00223335"/>
    <w:rsid w:val="002267B9"/>
    <w:rsid w:val="00230A76"/>
    <w:rsid w:val="002314C0"/>
    <w:rsid w:val="00231B47"/>
    <w:rsid w:val="00247316"/>
    <w:rsid w:val="002503FC"/>
    <w:rsid w:val="00251CFD"/>
    <w:rsid w:val="002609EF"/>
    <w:rsid w:val="00266CE7"/>
    <w:rsid w:val="00270D09"/>
    <w:rsid w:val="00282028"/>
    <w:rsid w:val="00290177"/>
    <w:rsid w:val="00292FC9"/>
    <w:rsid w:val="002A06DD"/>
    <w:rsid w:val="002A36C0"/>
    <w:rsid w:val="002A418D"/>
    <w:rsid w:val="002B00C1"/>
    <w:rsid w:val="002C00C3"/>
    <w:rsid w:val="002D0DEC"/>
    <w:rsid w:val="002D24A2"/>
    <w:rsid w:val="002E4518"/>
    <w:rsid w:val="002E62AC"/>
    <w:rsid w:val="002E63DD"/>
    <w:rsid w:val="002F7D98"/>
    <w:rsid w:val="00313CE5"/>
    <w:rsid w:val="00316185"/>
    <w:rsid w:val="00317F23"/>
    <w:rsid w:val="00322FBC"/>
    <w:rsid w:val="00333625"/>
    <w:rsid w:val="00341900"/>
    <w:rsid w:val="00341ACA"/>
    <w:rsid w:val="00342B35"/>
    <w:rsid w:val="0034602E"/>
    <w:rsid w:val="003522A5"/>
    <w:rsid w:val="00353123"/>
    <w:rsid w:val="0035387E"/>
    <w:rsid w:val="00354AAA"/>
    <w:rsid w:val="003563C6"/>
    <w:rsid w:val="003620F3"/>
    <w:rsid w:val="0036249F"/>
    <w:rsid w:val="003638D2"/>
    <w:rsid w:val="00366189"/>
    <w:rsid w:val="0037185A"/>
    <w:rsid w:val="00374554"/>
    <w:rsid w:val="00375192"/>
    <w:rsid w:val="00384A44"/>
    <w:rsid w:val="00390F53"/>
    <w:rsid w:val="0039213E"/>
    <w:rsid w:val="003A44C2"/>
    <w:rsid w:val="003A6961"/>
    <w:rsid w:val="003B26D6"/>
    <w:rsid w:val="003B30D2"/>
    <w:rsid w:val="003B7055"/>
    <w:rsid w:val="003B7A9F"/>
    <w:rsid w:val="003C3BB0"/>
    <w:rsid w:val="003C7555"/>
    <w:rsid w:val="003E0C8D"/>
    <w:rsid w:val="003E6479"/>
    <w:rsid w:val="003E739F"/>
    <w:rsid w:val="003F5E1D"/>
    <w:rsid w:val="004053E9"/>
    <w:rsid w:val="00407B1B"/>
    <w:rsid w:val="00412349"/>
    <w:rsid w:val="00412A1F"/>
    <w:rsid w:val="00413F26"/>
    <w:rsid w:val="00417952"/>
    <w:rsid w:val="00420435"/>
    <w:rsid w:val="004206C7"/>
    <w:rsid w:val="00421D5F"/>
    <w:rsid w:val="00427AC7"/>
    <w:rsid w:val="00432039"/>
    <w:rsid w:val="004323C3"/>
    <w:rsid w:val="00434578"/>
    <w:rsid w:val="0043485F"/>
    <w:rsid w:val="00435410"/>
    <w:rsid w:val="004439EE"/>
    <w:rsid w:val="00444A6A"/>
    <w:rsid w:val="00445E5E"/>
    <w:rsid w:val="004463B1"/>
    <w:rsid w:val="00446A2A"/>
    <w:rsid w:val="004470C3"/>
    <w:rsid w:val="004536B8"/>
    <w:rsid w:val="00457DF2"/>
    <w:rsid w:val="0046490E"/>
    <w:rsid w:val="004667E7"/>
    <w:rsid w:val="00470FBE"/>
    <w:rsid w:val="00472C80"/>
    <w:rsid w:val="00475967"/>
    <w:rsid w:val="0047603C"/>
    <w:rsid w:val="00476D7E"/>
    <w:rsid w:val="00486A07"/>
    <w:rsid w:val="0048725C"/>
    <w:rsid w:val="00493074"/>
    <w:rsid w:val="00496278"/>
    <w:rsid w:val="004A1893"/>
    <w:rsid w:val="004A4F34"/>
    <w:rsid w:val="004B190E"/>
    <w:rsid w:val="004B1DE4"/>
    <w:rsid w:val="004B376E"/>
    <w:rsid w:val="004B4854"/>
    <w:rsid w:val="004C0C46"/>
    <w:rsid w:val="004C4F7F"/>
    <w:rsid w:val="004C7568"/>
    <w:rsid w:val="004D1C10"/>
    <w:rsid w:val="004D2DA1"/>
    <w:rsid w:val="004E1F13"/>
    <w:rsid w:val="004E64A8"/>
    <w:rsid w:val="004F407E"/>
    <w:rsid w:val="004F68D5"/>
    <w:rsid w:val="005012B4"/>
    <w:rsid w:val="0050354C"/>
    <w:rsid w:val="00503C2B"/>
    <w:rsid w:val="00510FF4"/>
    <w:rsid w:val="005121D7"/>
    <w:rsid w:val="005176A8"/>
    <w:rsid w:val="005218F4"/>
    <w:rsid w:val="005233B4"/>
    <w:rsid w:val="005251AA"/>
    <w:rsid w:val="00526533"/>
    <w:rsid w:val="0053136C"/>
    <w:rsid w:val="00531B86"/>
    <w:rsid w:val="00544048"/>
    <w:rsid w:val="0054550A"/>
    <w:rsid w:val="00547404"/>
    <w:rsid w:val="005568E0"/>
    <w:rsid w:val="00557223"/>
    <w:rsid w:val="00557647"/>
    <w:rsid w:val="00563097"/>
    <w:rsid w:val="00563B81"/>
    <w:rsid w:val="00566CFC"/>
    <w:rsid w:val="00566EE0"/>
    <w:rsid w:val="00571C5E"/>
    <w:rsid w:val="00573F80"/>
    <w:rsid w:val="0058552C"/>
    <w:rsid w:val="005912A3"/>
    <w:rsid w:val="00597EAF"/>
    <w:rsid w:val="00597FA7"/>
    <w:rsid w:val="005A5CD7"/>
    <w:rsid w:val="005B60D8"/>
    <w:rsid w:val="005C03E5"/>
    <w:rsid w:val="005C5162"/>
    <w:rsid w:val="005D1985"/>
    <w:rsid w:val="005D454D"/>
    <w:rsid w:val="005D4B96"/>
    <w:rsid w:val="005D50AD"/>
    <w:rsid w:val="005D5879"/>
    <w:rsid w:val="005E1611"/>
    <w:rsid w:val="005E2949"/>
    <w:rsid w:val="005F3279"/>
    <w:rsid w:val="005F6F1F"/>
    <w:rsid w:val="006072D3"/>
    <w:rsid w:val="006137B2"/>
    <w:rsid w:val="00616048"/>
    <w:rsid w:val="0062030D"/>
    <w:rsid w:val="00637AB2"/>
    <w:rsid w:val="00642B4C"/>
    <w:rsid w:val="0064510C"/>
    <w:rsid w:val="0064682A"/>
    <w:rsid w:val="00647AAC"/>
    <w:rsid w:val="00656500"/>
    <w:rsid w:val="00657F8F"/>
    <w:rsid w:val="00664871"/>
    <w:rsid w:val="00665FAF"/>
    <w:rsid w:val="0067018B"/>
    <w:rsid w:val="0068014E"/>
    <w:rsid w:val="00682716"/>
    <w:rsid w:val="0068632F"/>
    <w:rsid w:val="00686FFE"/>
    <w:rsid w:val="00691629"/>
    <w:rsid w:val="006B6C03"/>
    <w:rsid w:val="006C007B"/>
    <w:rsid w:val="006C549D"/>
    <w:rsid w:val="006D05DA"/>
    <w:rsid w:val="006D525B"/>
    <w:rsid w:val="006D5684"/>
    <w:rsid w:val="006D632E"/>
    <w:rsid w:val="006E3E75"/>
    <w:rsid w:val="006E6E93"/>
    <w:rsid w:val="006F1F12"/>
    <w:rsid w:val="00700B30"/>
    <w:rsid w:val="007266CC"/>
    <w:rsid w:val="007406B5"/>
    <w:rsid w:val="0074131D"/>
    <w:rsid w:val="00741E55"/>
    <w:rsid w:val="00751746"/>
    <w:rsid w:val="007629BC"/>
    <w:rsid w:val="00764C75"/>
    <w:rsid w:val="00767A33"/>
    <w:rsid w:val="00767C5F"/>
    <w:rsid w:val="007712AF"/>
    <w:rsid w:val="00771D66"/>
    <w:rsid w:val="007725D5"/>
    <w:rsid w:val="00777AB8"/>
    <w:rsid w:val="00784924"/>
    <w:rsid w:val="00784A8E"/>
    <w:rsid w:val="007A0127"/>
    <w:rsid w:val="007B27B4"/>
    <w:rsid w:val="007C27FF"/>
    <w:rsid w:val="007C47BD"/>
    <w:rsid w:val="007C5F73"/>
    <w:rsid w:val="007D3F61"/>
    <w:rsid w:val="007E705D"/>
    <w:rsid w:val="007E7396"/>
    <w:rsid w:val="007E7AFA"/>
    <w:rsid w:val="007F085D"/>
    <w:rsid w:val="007F223B"/>
    <w:rsid w:val="007F4EB5"/>
    <w:rsid w:val="007F513B"/>
    <w:rsid w:val="007F7140"/>
    <w:rsid w:val="00812BE9"/>
    <w:rsid w:val="00817155"/>
    <w:rsid w:val="00821A3F"/>
    <w:rsid w:val="0082206F"/>
    <w:rsid w:val="00823330"/>
    <w:rsid w:val="00824CFC"/>
    <w:rsid w:val="008316AB"/>
    <w:rsid w:val="00843464"/>
    <w:rsid w:val="00843FA3"/>
    <w:rsid w:val="00847CB3"/>
    <w:rsid w:val="008511C2"/>
    <w:rsid w:val="00856C9B"/>
    <w:rsid w:val="00860295"/>
    <w:rsid w:val="00860725"/>
    <w:rsid w:val="008702C8"/>
    <w:rsid w:val="008755A0"/>
    <w:rsid w:val="008851FE"/>
    <w:rsid w:val="00891684"/>
    <w:rsid w:val="008937BF"/>
    <w:rsid w:val="00894710"/>
    <w:rsid w:val="0089781D"/>
    <w:rsid w:val="008A540F"/>
    <w:rsid w:val="008A7F40"/>
    <w:rsid w:val="008B0028"/>
    <w:rsid w:val="008B0981"/>
    <w:rsid w:val="008B3BC7"/>
    <w:rsid w:val="008B4E18"/>
    <w:rsid w:val="008B50BA"/>
    <w:rsid w:val="008C0454"/>
    <w:rsid w:val="008D2B5E"/>
    <w:rsid w:val="008D6920"/>
    <w:rsid w:val="008D78E2"/>
    <w:rsid w:val="008E21AD"/>
    <w:rsid w:val="008E433D"/>
    <w:rsid w:val="008F27A6"/>
    <w:rsid w:val="008F6249"/>
    <w:rsid w:val="0090033B"/>
    <w:rsid w:val="00901911"/>
    <w:rsid w:val="009020FB"/>
    <w:rsid w:val="00902C6D"/>
    <w:rsid w:val="009036EB"/>
    <w:rsid w:val="0091348E"/>
    <w:rsid w:val="00913BD7"/>
    <w:rsid w:val="0092247C"/>
    <w:rsid w:val="00924217"/>
    <w:rsid w:val="0093026B"/>
    <w:rsid w:val="009333F7"/>
    <w:rsid w:val="0093458D"/>
    <w:rsid w:val="009411AB"/>
    <w:rsid w:val="0095012A"/>
    <w:rsid w:val="00951B5B"/>
    <w:rsid w:val="0095369D"/>
    <w:rsid w:val="00955F59"/>
    <w:rsid w:val="00957D95"/>
    <w:rsid w:val="0096063B"/>
    <w:rsid w:val="00974E14"/>
    <w:rsid w:val="009766E2"/>
    <w:rsid w:val="00987E0C"/>
    <w:rsid w:val="009909AA"/>
    <w:rsid w:val="0099378B"/>
    <w:rsid w:val="00995AE8"/>
    <w:rsid w:val="009B090E"/>
    <w:rsid w:val="009C1BCD"/>
    <w:rsid w:val="009C350B"/>
    <w:rsid w:val="009C6FDE"/>
    <w:rsid w:val="009D24AE"/>
    <w:rsid w:val="009D4F8C"/>
    <w:rsid w:val="009D56EC"/>
    <w:rsid w:val="009D7F21"/>
    <w:rsid w:val="009E0937"/>
    <w:rsid w:val="009E24AD"/>
    <w:rsid w:val="009E2936"/>
    <w:rsid w:val="009E2A86"/>
    <w:rsid w:val="009E38C5"/>
    <w:rsid w:val="009F2A77"/>
    <w:rsid w:val="009F2ACA"/>
    <w:rsid w:val="009F2E6A"/>
    <w:rsid w:val="009F500B"/>
    <w:rsid w:val="00A022E2"/>
    <w:rsid w:val="00A12DF8"/>
    <w:rsid w:val="00A14AC3"/>
    <w:rsid w:val="00A17008"/>
    <w:rsid w:val="00A178BB"/>
    <w:rsid w:val="00A227EC"/>
    <w:rsid w:val="00A22EDF"/>
    <w:rsid w:val="00A35163"/>
    <w:rsid w:val="00A566FE"/>
    <w:rsid w:val="00A64E26"/>
    <w:rsid w:val="00A87CC8"/>
    <w:rsid w:val="00A9465C"/>
    <w:rsid w:val="00A946A6"/>
    <w:rsid w:val="00A96F4E"/>
    <w:rsid w:val="00AB544D"/>
    <w:rsid w:val="00AC75F9"/>
    <w:rsid w:val="00AD05BD"/>
    <w:rsid w:val="00AD30D5"/>
    <w:rsid w:val="00AD36A2"/>
    <w:rsid w:val="00AD583A"/>
    <w:rsid w:val="00AE2152"/>
    <w:rsid w:val="00AE7D10"/>
    <w:rsid w:val="00B00EA5"/>
    <w:rsid w:val="00B00EC3"/>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58DA"/>
    <w:rsid w:val="00B67694"/>
    <w:rsid w:val="00B8039C"/>
    <w:rsid w:val="00B8058A"/>
    <w:rsid w:val="00B94CB9"/>
    <w:rsid w:val="00B95D66"/>
    <w:rsid w:val="00BD4BA7"/>
    <w:rsid w:val="00BE040E"/>
    <w:rsid w:val="00BE3941"/>
    <w:rsid w:val="00BE4B11"/>
    <w:rsid w:val="00BE5FC0"/>
    <w:rsid w:val="00BF5BAB"/>
    <w:rsid w:val="00C07085"/>
    <w:rsid w:val="00C07EFA"/>
    <w:rsid w:val="00C15901"/>
    <w:rsid w:val="00C200E7"/>
    <w:rsid w:val="00C209DC"/>
    <w:rsid w:val="00C27478"/>
    <w:rsid w:val="00C37D77"/>
    <w:rsid w:val="00C4643B"/>
    <w:rsid w:val="00C47D24"/>
    <w:rsid w:val="00C5503B"/>
    <w:rsid w:val="00C63F87"/>
    <w:rsid w:val="00C66247"/>
    <w:rsid w:val="00C72FF7"/>
    <w:rsid w:val="00C800EA"/>
    <w:rsid w:val="00C816F5"/>
    <w:rsid w:val="00C82BEE"/>
    <w:rsid w:val="00C9312D"/>
    <w:rsid w:val="00CB174B"/>
    <w:rsid w:val="00CB439F"/>
    <w:rsid w:val="00CD090C"/>
    <w:rsid w:val="00CD287D"/>
    <w:rsid w:val="00CD7A52"/>
    <w:rsid w:val="00CE21EF"/>
    <w:rsid w:val="00CE4FF9"/>
    <w:rsid w:val="00CE5B6F"/>
    <w:rsid w:val="00CE6AFF"/>
    <w:rsid w:val="00CE6F4F"/>
    <w:rsid w:val="00CF4BB5"/>
    <w:rsid w:val="00D15FD7"/>
    <w:rsid w:val="00D1697C"/>
    <w:rsid w:val="00D17737"/>
    <w:rsid w:val="00D17CCC"/>
    <w:rsid w:val="00D22080"/>
    <w:rsid w:val="00D24721"/>
    <w:rsid w:val="00D24998"/>
    <w:rsid w:val="00D2564A"/>
    <w:rsid w:val="00D31AF8"/>
    <w:rsid w:val="00D32C6A"/>
    <w:rsid w:val="00D349D6"/>
    <w:rsid w:val="00D36081"/>
    <w:rsid w:val="00D4073A"/>
    <w:rsid w:val="00D41247"/>
    <w:rsid w:val="00D437A9"/>
    <w:rsid w:val="00D44154"/>
    <w:rsid w:val="00D57693"/>
    <w:rsid w:val="00D63A79"/>
    <w:rsid w:val="00D64C35"/>
    <w:rsid w:val="00D65501"/>
    <w:rsid w:val="00D66063"/>
    <w:rsid w:val="00D66759"/>
    <w:rsid w:val="00D7012D"/>
    <w:rsid w:val="00D7202C"/>
    <w:rsid w:val="00D75AA8"/>
    <w:rsid w:val="00D775AF"/>
    <w:rsid w:val="00D846D4"/>
    <w:rsid w:val="00D87CE2"/>
    <w:rsid w:val="00D907DE"/>
    <w:rsid w:val="00D90FA9"/>
    <w:rsid w:val="00D91DBD"/>
    <w:rsid w:val="00D92868"/>
    <w:rsid w:val="00D93F75"/>
    <w:rsid w:val="00DA2FD8"/>
    <w:rsid w:val="00DB63E6"/>
    <w:rsid w:val="00DC1F02"/>
    <w:rsid w:val="00DC3387"/>
    <w:rsid w:val="00DC6660"/>
    <w:rsid w:val="00DD0D50"/>
    <w:rsid w:val="00DD68A1"/>
    <w:rsid w:val="00E031EF"/>
    <w:rsid w:val="00E05AD1"/>
    <w:rsid w:val="00E07085"/>
    <w:rsid w:val="00E0788B"/>
    <w:rsid w:val="00E104AF"/>
    <w:rsid w:val="00E1325E"/>
    <w:rsid w:val="00E1504A"/>
    <w:rsid w:val="00E1538A"/>
    <w:rsid w:val="00E15E6A"/>
    <w:rsid w:val="00E17673"/>
    <w:rsid w:val="00E17803"/>
    <w:rsid w:val="00E21C30"/>
    <w:rsid w:val="00E2439F"/>
    <w:rsid w:val="00E371B9"/>
    <w:rsid w:val="00E4682B"/>
    <w:rsid w:val="00E47D19"/>
    <w:rsid w:val="00E524D1"/>
    <w:rsid w:val="00E52831"/>
    <w:rsid w:val="00E619D9"/>
    <w:rsid w:val="00E63376"/>
    <w:rsid w:val="00E75ED5"/>
    <w:rsid w:val="00E84C58"/>
    <w:rsid w:val="00E97B5F"/>
    <w:rsid w:val="00EA73B1"/>
    <w:rsid w:val="00EB2299"/>
    <w:rsid w:val="00EC46D2"/>
    <w:rsid w:val="00ED35C2"/>
    <w:rsid w:val="00ED5325"/>
    <w:rsid w:val="00EE17C6"/>
    <w:rsid w:val="00EE2EAD"/>
    <w:rsid w:val="00EE3ADA"/>
    <w:rsid w:val="00EE7904"/>
    <w:rsid w:val="00EF44DC"/>
    <w:rsid w:val="00EF7926"/>
    <w:rsid w:val="00F01D8A"/>
    <w:rsid w:val="00F07B9B"/>
    <w:rsid w:val="00F1606F"/>
    <w:rsid w:val="00F1702F"/>
    <w:rsid w:val="00F2477C"/>
    <w:rsid w:val="00F26C35"/>
    <w:rsid w:val="00F34BAB"/>
    <w:rsid w:val="00F35B54"/>
    <w:rsid w:val="00F461B0"/>
    <w:rsid w:val="00F46624"/>
    <w:rsid w:val="00F5668B"/>
    <w:rsid w:val="00F6035E"/>
    <w:rsid w:val="00F610F1"/>
    <w:rsid w:val="00F61A63"/>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1412"/>
    <w:rsid w:val="00FA2787"/>
    <w:rsid w:val="00FA4C80"/>
    <w:rsid w:val="00FA5336"/>
    <w:rsid w:val="00FA720E"/>
    <w:rsid w:val="00FA7875"/>
    <w:rsid w:val="00FA7DE4"/>
    <w:rsid w:val="00FB3D2A"/>
    <w:rsid w:val="00FC4CDF"/>
    <w:rsid w:val="00FD40C6"/>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00934450">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948776040">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371608976">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www.gov.ca.gov/wp-content/uploads/2022/09/9.13.22-EO-N-16-22-Equity.pdf?emrc=c115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6112</TotalTime>
  <Pages>8</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337</cp:revision>
  <dcterms:created xsi:type="dcterms:W3CDTF">2022-10-12T18:17:00Z</dcterms:created>
  <dcterms:modified xsi:type="dcterms:W3CDTF">2023-08-03T17:49:00Z</dcterms:modified>
</cp:coreProperties>
</file>