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85C3" w14:textId="77777777" w:rsidR="00DE7713" w:rsidRDefault="00DE7713" w:rsidP="006F796E"/>
    <w:p w14:paraId="098966A0" w14:textId="77777777" w:rsidR="00DD3FF0" w:rsidRDefault="00DD3FF0" w:rsidP="006F796E"/>
    <w:p w14:paraId="584ABE31" w14:textId="63A33B29" w:rsidR="00DD3FF0" w:rsidRDefault="00DD3FF0" w:rsidP="00DD3FF0">
      <w:pPr>
        <w:rPr>
          <w:b/>
          <w:bCs/>
        </w:rPr>
      </w:pPr>
      <w:r w:rsidRPr="002D0DEC">
        <w:rPr>
          <w:b/>
          <w:bCs/>
        </w:rPr>
        <w:t>California State Rehabilitation Council (SRC)</w:t>
      </w:r>
      <w:r>
        <w:rPr>
          <w:b/>
          <w:bCs/>
        </w:rPr>
        <w:t xml:space="preserve"> </w:t>
      </w:r>
      <w:r w:rsidRPr="002D0DEC">
        <w:rPr>
          <w:b/>
          <w:bCs/>
        </w:rPr>
        <w:t>Quarterly Meeting</w:t>
      </w:r>
    </w:p>
    <w:p w14:paraId="070E04DE" w14:textId="359D5F56" w:rsidR="00DD3FF0" w:rsidRPr="00DD3FF0" w:rsidRDefault="00DD3FF0" w:rsidP="00DD3FF0">
      <w:r w:rsidRPr="00DD3FF0">
        <w:t xml:space="preserve">Wednesday, June 7, 2023, and Thursday, June 8, 2023 </w:t>
      </w:r>
    </w:p>
    <w:p w14:paraId="507B668F" w14:textId="2896A0A3" w:rsidR="00DD3FF0" w:rsidRPr="00DD3FF0" w:rsidRDefault="00DD3FF0" w:rsidP="00DD3FF0">
      <w:r w:rsidRPr="00DD3FF0">
        <w:t>9:00 a.m. – 4:00 p.m. both days</w:t>
      </w:r>
    </w:p>
    <w:p w14:paraId="446F1BA5" w14:textId="77777777" w:rsidR="00981823" w:rsidRDefault="00DD3FF0" w:rsidP="00DD3FF0">
      <w:r>
        <w:t>Meeting location: Department of Rehabilitation (DOR)</w:t>
      </w:r>
    </w:p>
    <w:p w14:paraId="466F4979" w14:textId="6AA48429" w:rsidR="00DD3FF0" w:rsidRDefault="00DD3FF0" w:rsidP="00DD3FF0">
      <w:r>
        <w:t>721 Capitol Mall, Room 301, Sacramento, CA, 95814</w:t>
      </w:r>
    </w:p>
    <w:p w14:paraId="36628179" w14:textId="77777777" w:rsidR="00DD3FF0" w:rsidRDefault="00DD3FF0" w:rsidP="00DD3FF0">
      <w:r>
        <w:t>Virtual and telephone participation options offered via Zoom.</w:t>
      </w:r>
    </w:p>
    <w:p w14:paraId="714B097E" w14:textId="77777777" w:rsidR="00DD3FF0" w:rsidRDefault="00DD3FF0" w:rsidP="006F796E"/>
    <w:p w14:paraId="6E9D3220" w14:textId="77777777" w:rsidR="00DD3FF0" w:rsidRPr="002D0DEC" w:rsidRDefault="00DD3FF0" w:rsidP="00DD3FF0">
      <w:pPr>
        <w:pStyle w:val="Heading1"/>
      </w:pPr>
      <w:r w:rsidRPr="002D0DEC">
        <w:t>DRAFT MEETING MINUTES</w:t>
      </w:r>
    </w:p>
    <w:p w14:paraId="404C271F" w14:textId="77777777" w:rsidR="00DD3FF0" w:rsidRDefault="00DD3FF0" w:rsidP="006F796E"/>
    <w:p w14:paraId="56659E6B" w14:textId="0509D116" w:rsidR="00DD3FF0" w:rsidRDefault="00DD3FF0" w:rsidP="00155A53">
      <w:pPr>
        <w:pStyle w:val="Heading1"/>
      </w:pPr>
      <w:r>
        <w:t>Attendance</w:t>
      </w:r>
    </w:p>
    <w:p w14:paraId="2BA2D24B" w14:textId="77777777" w:rsidR="00134C05" w:rsidRDefault="00DD3FF0" w:rsidP="006F796E">
      <w:r w:rsidRPr="00155A53">
        <w:rPr>
          <w:u w:val="single"/>
        </w:rPr>
        <w:t>SRC members (in-person)</w:t>
      </w:r>
      <w:r>
        <w:t xml:space="preserve">: Theresa Comstock, La Trena Robinson, </w:t>
      </w:r>
    </w:p>
    <w:p w14:paraId="78B576D0" w14:textId="1E57DC15" w:rsidR="00DD3FF0" w:rsidRDefault="00DD3FF0" w:rsidP="006F796E">
      <w:r>
        <w:t xml:space="preserve">Nick Wavrin. </w:t>
      </w:r>
    </w:p>
    <w:p w14:paraId="7DE305CB" w14:textId="77777777" w:rsidR="00DD3FF0" w:rsidRDefault="00DD3FF0" w:rsidP="006F796E"/>
    <w:p w14:paraId="0A69C50C" w14:textId="40827CBE" w:rsidR="0018117C" w:rsidRDefault="0018117C" w:rsidP="006F796E">
      <w:r w:rsidRPr="0018117C">
        <w:rPr>
          <w:u w:val="single"/>
        </w:rPr>
        <w:t>SRC members (by Zoom)</w:t>
      </w:r>
      <w:r>
        <w:t>: Ivan Guillen, Chanel Brisbane, Benjamin Aviles, Susan Henderson, Lisa Hayes</w:t>
      </w:r>
      <w:r w:rsidR="004F3298">
        <w:t>, Elizabeth Lewis, Kecia Weller.</w:t>
      </w:r>
    </w:p>
    <w:p w14:paraId="0E576D81" w14:textId="77777777" w:rsidR="0018117C" w:rsidRDefault="0018117C" w:rsidP="006F796E"/>
    <w:p w14:paraId="5A044184" w14:textId="68F86A06" w:rsidR="0018117C" w:rsidRDefault="0018117C" w:rsidP="006F796E">
      <w:r w:rsidRPr="0018117C">
        <w:rPr>
          <w:u w:val="single"/>
        </w:rPr>
        <w:t>DOR staff (in-person)</w:t>
      </w:r>
      <w:r>
        <w:t xml:space="preserve">: Kate Bjerke, Jessica Grove, </w:t>
      </w:r>
      <w:r w:rsidR="00E357FE">
        <w:t>Victor Duron</w:t>
      </w:r>
      <w:r w:rsidR="000B280E">
        <w:t>, Jay Harris</w:t>
      </w:r>
      <w:r w:rsidR="000A523A">
        <w:t>, Mark Erlichman</w:t>
      </w:r>
      <w:r w:rsidR="00663F8B">
        <w:t>, Peter Frangel</w:t>
      </w:r>
      <w:r w:rsidR="004F3298">
        <w:t>.</w:t>
      </w:r>
    </w:p>
    <w:p w14:paraId="2313C6CE" w14:textId="77777777" w:rsidR="0018117C" w:rsidRDefault="0018117C" w:rsidP="006F796E"/>
    <w:p w14:paraId="50E85C3D" w14:textId="7C6DB935" w:rsidR="0018117C" w:rsidRDefault="0018117C" w:rsidP="006F796E">
      <w:r w:rsidRPr="0018117C">
        <w:rPr>
          <w:u w:val="single"/>
        </w:rPr>
        <w:t>DOR staff (by Zoom)</w:t>
      </w:r>
      <w:r>
        <w:t xml:space="preserve">: Daphne </w:t>
      </w:r>
      <w:proofErr w:type="spellStart"/>
      <w:r>
        <w:t>Leake</w:t>
      </w:r>
      <w:proofErr w:type="spellEnd"/>
      <w:r w:rsidR="00E357FE">
        <w:t>, Melinda Wetzel, Katelynn Williams, Brian Connors, Carol Asch</w:t>
      </w:r>
      <w:r w:rsidR="00F57873">
        <w:t>, Daisy Hughes</w:t>
      </w:r>
      <w:r w:rsidR="00D609C6">
        <w:t xml:space="preserve">, </w:t>
      </w:r>
      <w:r w:rsidR="00D609C6">
        <w:rPr>
          <w:rFonts w:cstheme="minorBidi"/>
        </w:rPr>
        <w:t xml:space="preserve">Lori Bruno, </w:t>
      </w:r>
      <w:r w:rsidR="00D609C6">
        <w:rPr>
          <w:rFonts w:cs="Arial"/>
          <w:szCs w:val="28"/>
        </w:rPr>
        <w:t xml:space="preserve">Sean Nunez, </w:t>
      </w:r>
      <w:r w:rsidR="00D609C6" w:rsidRPr="009953EC">
        <w:rPr>
          <w:rFonts w:cs="Arial"/>
          <w:szCs w:val="28"/>
        </w:rPr>
        <w:t>Peter Blanco</w:t>
      </w:r>
      <w:r w:rsidR="00D609C6">
        <w:rPr>
          <w:rFonts w:cs="Arial"/>
          <w:szCs w:val="28"/>
        </w:rPr>
        <w:t xml:space="preserve">, </w:t>
      </w:r>
      <w:r w:rsidR="00D609C6" w:rsidRPr="009953EC">
        <w:rPr>
          <w:rFonts w:cs="Arial"/>
          <w:szCs w:val="28"/>
        </w:rPr>
        <w:t>Sherri Han-Lam</w:t>
      </w:r>
      <w:r w:rsidR="00D609C6">
        <w:rPr>
          <w:rFonts w:cs="Arial"/>
          <w:szCs w:val="28"/>
        </w:rPr>
        <w:t xml:space="preserve">, </w:t>
      </w:r>
      <w:r w:rsidR="00D609C6" w:rsidRPr="00501E25">
        <w:rPr>
          <w:rFonts w:cs="Arial"/>
          <w:szCs w:val="28"/>
        </w:rPr>
        <w:t xml:space="preserve">Gina </w:t>
      </w:r>
      <w:r w:rsidR="00D609C6">
        <w:rPr>
          <w:rFonts w:cs="Arial"/>
          <w:szCs w:val="28"/>
        </w:rPr>
        <w:t>Franklin</w:t>
      </w:r>
      <w:r w:rsidR="000B280E">
        <w:rPr>
          <w:rFonts w:cs="Arial"/>
          <w:szCs w:val="28"/>
        </w:rPr>
        <w:t xml:space="preserve">, </w:t>
      </w:r>
      <w:r w:rsidR="000B280E">
        <w:rPr>
          <w:rFonts w:cs="Arial"/>
          <w:color w:val="000000" w:themeColor="text1"/>
          <w:szCs w:val="28"/>
        </w:rPr>
        <w:t>M</w:t>
      </w:r>
      <w:r w:rsidR="000B280E" w:rsidRPr="00E051EC">
        <w:rPr>
          <w:rFonts w:cs="Arial"/>
          <w:color w:val="000000" w:themeColor="text1"/>
          <w:szCs w:val="28"/>
        </w:rPr>
        <w:t xml:space="preserve">aria </w:t>
      </w:r>
      <w:proofErr w:type="spellStart"/>
      <w:r w:rsidR="000B280E" w:rsidRPr="00E051EC">
        <w:rPr>
          <w:rFonts w:cs="Arial"/>
          <w:color w:val="000000" w:themeColor="text1"/>
          <w:szCs w:val="28"/>
        </w:rPr>
        <w:t>Aliferis-Gjerde</w:t>
      </w:r>
      <w:proofErr w:type="spellEnd"/>
      <w:r w:rsidR="00663F8B">
        <w:rPr>
          <w:rFonts w:cs="Arial"/>
          <w:color w:val="000000" w:themeColor="text1"/>
          <w:szCs w:val="28"/>
        </w:rPr>
        <w:t>, Marla Harper, Judy Gonzalez</w:t>
      </w:r>
    </w:p>
    <w:p w14:paraId="28311373" w14:textId="77777777" w:rsidR="0018117C" w:rsidRDefault="0018117C" w:rsidP="006F796E"/>
    <w:p w14:paraId="509127A0" w14:textId="7255AC38" w:rsidR="0018117C" w:rsidRDefault="0018117C" w:rsidP="006F796E">
      <w:r w:rsidRPr="00E357FE">
        <w:rPr>
          <w:u w:val="single"/>
        </w:rPr>
        <w:t>Members of the Public (by Zoom)</w:t>
      </w:r>
      <w:r>
        <w:t>: Danny Marquez</w:t>
      </w:r>
    </w:p>
    <w:p w14:paraId="3507E0D6" w14:textId="77777777" w:rsidR="001D6B32" w:rsidRDefault="001D6B32" w:rsidP="0097257C"/>
    <w:p w14:paraId="1F907EB3" w14:textId="3491E01E" w:rsidR="00042860" w:rsidRPr="00E1455E" w:rsidRDefault="009B3B8B" w:rsidP="00A32BD9">
      <w:pPr>
        <w:pStyle w:val="Heading1"/>
        <w:rPr>
          <w:u w:val="single"/>
        </w:rPr>
      </w:pPr>
      <w:bookmarkStart w:id="0" w:name="_Hlk111646742"/>
      <w:bookmarkStart w:id="1" w:name="_Hlk111647517"/>
      <w:r w:rsidRPr="00E1455E">
        <w:rPr>
          <w:u w:val="single"/>
        </w:rPr>
        <w:t xml:space="preserve">WEDNESDAY, </w:t>
      </w:r>
      <w:r w:rsidR="00FF4042">
        <w:rPr>
          <w:u w:val="single"/>
        </w:rPr>
        <w:t>JUNE 7</w:t>
      </w:r>
      <w:r w:rsidRPr="00E1455E">
        <w:rPr>
          <w:u w:val="single"/>
        </w:rPr>
        <w:t>, 202</w:t>
      </w:r>
      <w:r w:rsidR="005B4908" w:rsidRPr="00E1455E">
        <w:rPr>
          <w:u w:val="single"/>
        </w:rPr>
        <w:t>3</w:t>
      </w:r>
      <w:r w:rsidR="0018117C">
        <w:rPr>
          <w:u w:val="single"/>
        </w:rPr>
        <w:t xml:space="preserve"> </w:t>
      </w:r>
    </w:p>
    <w:p w14:paraId="086DCA72" w14:textId="285248F3" w:rsidR="005B5379" w:rsidRPr="001D6B32" w:rsidRDefault="0018117C" w:rsidP="0018117C">
      <w:r>
        <w:t xml:space="preserve"> </w:t>
      </w:r>
    </w:p>
    <w:p w14:paraId="3F9B1C97" w14:textId="77C56BD0" w:rsidR="00C72398" w:rsidRPr="001D6B32" w:rsidRDefault="007E288D" w:rsidP="00C72398">
      <w:pPr>
        <w:pStyle w:val="Heading1"/>
      </w:pPr>
      <w:r w:rsidRPr="001D6B32">
        <w:t>Item</w:t>
      </w:r>
      <w:r w:rsidR="00DB48C9" w:rsidRPr="001D6B32">
        <w:t xml:space="preserve"> 1</w:t>
      </w:r>
      <w:r w:rsidRPr="001D6B32">
        <w:t xml:space="preserve">: </w:t>
      </w:r>
      <w:r w:rsidR="00B33AA8" w:rsidRPr="001D6B32">
        <w:t>Welcome</w:t>
      </w:r>
      <w:r w:rsidR="001D4AB2" w:rsidRPr="001D6B32">
        <w:t xml:space="preserve"> and</w:t>
      </w:r>
      <w:r w:rsidR="00A74EDF" w:rsidRPr="001D6B32">
        <w:t xml:space="preserve"> </w:t>
      </w:r>
      <w:r w:rsidR="00B33AA8" w:rsidRPr="001D6B32">
        <w:t>Introductions</w:t>
      </w:r>
      <w:r w:rsidR="00C83125" w:rsidRPr="001D6B32">
        <w:t xml:space="preserve"> </w:t>
      </w:r>
    </w:p>
    <w:p w14:paraId="4FEF09FF" w14:textId="4C2E53D1" w:rsidR="001F029C" w:rsidRPr="001D6B32" w:rsidRDefault="0018117C" w:rsidP="000C09C7">
      <w:r>
        <w:t xml:space="preserve">A quorum was established and Ivan Guillen, SRC Vice Chair, called the meeting to order at 9:05 a.m. SRC members and DOR staff introduced themselves. </w:t>
      </w:r>
    </w:p>
    <w:p w14:paraId="6B622532" w14:textId="77777777" w:rsidR="00AF3704" w:rsidRDefault="00AF3704" w:rsidP="0097257C"/>
    <w:p w14:paraId="787A10E1" w14:textId="6BC60D16" w:rsidR="00343DA0" w:rsidRDefault="007E288D" w:rsidP="0018117C">
      <w:pPr>
        <w:pStyle w:val="Heading1"/>
      </w:pPr>
      <w:r w:rsidRPr="001D6B32">
        <w:t>Item</w:t>
      </w:r>
      <w:r w:rsidR="00DB48C9" w:rsidRPr="001D6B32">
        <w:t xml:space="preserve"> 2</w:t>
      </w:r>
      <w:r w:rsidRPr="001D6B32">
        <w:t xml:space="preserve">: </w:t>
      </w:r>
      <w:r w:rsidR="00B33AA8" w:rsidRPr="001D6B32">
        <w:t>Public Commen</w:t>
      </w:r>
      <w:r w:rsidR="00DA1589" w:rsidRPr="001D6B32">
        <w:t>t</w:t>
      </w:r>
      <w:r w:rsidR="00343DA0" w:rsidRPr="001D6B32">
        <w:t xml:space="preserve"> </w:t>
      </w:r>
      <w:bookmarkStart w:id="2" w:name="_Hlk29542449"/>
    </w:p>
    <w:p w14:paraId="610E4731" w14:textId="1A2B9642" w:rsidR="0018117C" w:rsidRPr="0018117C" w:rsidRDefault="0018117C" w:rsidP="0018117C">
      <w:r>
        <w:t xml:space="preserve">Danny Marquez representing the </w:t>
      </w:r>
      <w:r w:rsidRPr="0018117C">
        <w:t>California Association of Social Rehabilitation Agencies (CASRA)</w:t>
      </w:r>
      <w:r>
        <w:t xml:space="preserve"> thanked DOR</w:t>
      </w:r>
      <w:r w:rsidR="00F57873">
        <w:t xml:space="preserve"> </w:t>
      </w:r>
      <w:r>
        <w:t>representatives</w:t>
      </w:r>
      <w:r w:rsidR="003F4D38">
        <w:t xml:space="preserve"> for stopping by the CASRA booth at the May 24, 2023, Mental Health Matters Day at the State Capitol.</w:t>
      </w:r>
    </w:p>
    <w:p w14:paraId="74395318" w14:textId="77777777" w:rsidR="001C0F9C" w:rsidRPr="001D6B32" w:rsidRDefault="001C0F9C" w:rsidP="009B3B8B">
      <w:pPr>
        <w:rPr>
          <w:b/>
          <w:bCs/>
        </w:rPr>
      </w:pPr>
      <w:bookmarkStart w:id="3" w:name="_Hlk56687544"/>
      <w:bookmarkEnd w:id="2"/>
    </w:p>
    <w:p w14:paraId="06A7A5E5" w14:textId="2004B3E1" w:rsidR="00144CB3" w:rsidRPr="001D6B32" w:rsidRDefault="007E288D" w:rsidP="00B523CE">
      <w:pPr>
        <w:pStyle w:val="Heading1"/>
      </w:pPr>
      <w:r w:rsidRPr="001D6B32">
        <w:t>Item</w:t>
      </w:r>
      <w:r w:rsidR="00DB48C9" w:rsidRPr="001D6B32">
        <w:t xml:space="preserve"> </w:t>
      </w:r>
      <w:r w:rsidR="00B66F05" w:rsidRPr="001D6B32">
        <w:t>3</w:t>
      </w:r>
      <w:r w:rsidRPr="001D6B32">
        <w:t xml:space="preserve">: </w:t>
      </w:r>
      <w:r w:rsidR="0019795F" w:rsidRPr="001D6B32">
        <w:t xml:space="preserve">Approval of the </w:t>
      </w:r>
      <w:r w:rsidR="00B523CE" w:rsidRPr="001D6B32">
        <w:t>March 8 – 9, 2023</w:t>
      </w:r>
      <w:r w:rsidR="00886CB8" w:rsidRPr="001D6B32">
        <w:t xml:space="preserve"> </w:t>
      </w:r>
      <w:r w:rsidR="0019795F" w:rsidRPr="001D6B32">
        <w:t xml:space="preserve">SRC </w:t>
      </w:r>
      <w:r w:rsidR="00465EAB" w:rsidRPr="001D6B32">
        <w:t>Quarterly</w:t>
      </w:r>
      <w:r w:rsidR="00B523CE" w:rsidRPr="001D6B32">
        <w:t xml:space="preserve"> </w:t>
      </w:r>
      <w:r w:rsidR="0019795F" w:rsidRPr="001D6B32">
        <w:t xml:space="preserve">Meeting Minutes </w:t>
      </w:r>
    </w:p>
    <w:p w14:paraId="0B693473" w14:textId="77777777" w:rsidR="003F4D38" w:rsidRDefault="003F4D38" w:rsidP="00F74A8A">
      <w:pPr>
        <w:ind w:left="360" w:hanging="360"/>
      </w:pPr>
      <w:r>
        <w:t>Motion: It was moved/seconded (Comstock/Henderson) to approve the March 8</w:t>
      </w:r>
    </w:p>
    <w:p w14:paraId="2274017B" w14:textId="77777777" w:rsidR="003F4D38" w:rsidRDefault="003F4D38" w:rsidP="00F74A8A">
      <w:pPr>
        <w:ind w:left="360" w:hanging="360"/>
      </w:pPr>
      <w:r>
        <w:t>– 9, 2023 SRC quarterly meeting minutes with the following minor corrections:</w:t>
      </w:r>
    </w:p>
    <w:p w14:paraId="1C87F45B" w14:textId="77777777" w:rsidR="003E5C5C" w:rsidRDefault="003F4D38" w:rsidP="003E5C5C">
      <w:pPr>
        <w:ind w:left="360" w:hanging="360"/>
      </w:pPr>
      <w:r>
        <w:t>on page 13, last paragraph, change “you” to “youth”, top of page 16</w:t>
      </w:r>
      <w:r w:rsidR="003E5C5C">
        <w:t>, change</w:t>
      </w:r>
    </w:p>
    <w:p w14:paraId="7B4DE8BC" w14:textId="20559E1D" w:rsidR="003F4D38" w:rsidRPr="003F4D38" w:rsidRDefault="003E5C5C" w:rsidP="003E5C5C">
      <w:r>
        <w:lastRenderedPageBreak/>
        <w:t>“…</w:t>
      </w:r>
      <w:r w:rsidR="003F4D38">
        <w:t>down</w:t>
      </w:r>
      <w:r>
        <w:t xml:space="preserve"> </w:t>
      </w:r>
      <w:r w:rsidR="003F4D38">
        <w:t>staffing by 80%</w:t>
      </w:r>
      <w:r>
        <w:t>” to “…are</w:t>
      </w:r>
      <w:r w:rsidR="003F4D38">
        <w:t xml:space="preserve"> reporting staff vacancy rates of 20 – 40%. A roll</w:t>
      </w:r>
      <w:r>
        <w:t xml:space="preserve"> </w:t>
      </w:r>
      <w:r w:rsidR="003F4D38">
        <w:t>call vote</w:t>
      </w:r>
      <w:r>
        <w:t xml:space="preserve"> </w:t>
      </w:r>
      <w:r w:rsidR="003F4D38">
        <w:t>was</w:t>
      </w:r>
      <w:r>
        <w:t xml:space="preserve"> </w:t>
      </w:r>
      <w:r w:rsidR="003F4D38">
        <w:t>conducted: (Yes - Comstock, Wavrin, Robinson, Aviles, Guillen, Brisbane,</w:t>
      </w:r>
      <w:r>
        <w:t xml:space="preserve"> </w:t>
      </w:r>
      <w:r w:rsidR="003F4D38">
        <w:t>Lewis, Henderson, Hayes), (No – 0), (Absent – Hasak, Weller), (Abstain – 0).</w:t>
      </w:r>
      <w:r>
        <w:t xml:space="preserve"> </w:t>
      </w:r>
      <w:r w:rsidR="003F4D38">
        <w:t>The motion carried and the approved minutes will be posted on the SRC</w:t>
      </w:r>
      <w:r>
        <w:t xml:space="preserve"> </w:t>
      </w:r>
      <w:r w:rsidR="003F4D38">
        <w:t>webpage.</w:t>
      </w:r>
    </w:p>
    <w:p w14:paraId="3B249D01" w14:textId="06A805AF" w:rsidR="00FA460F" w:rsidRPr="001D6B32" w:rsidRDefault="00FA460F" w:rsidP="00FA460F">
      <w:bookmarkStart w:id="4" w:name="_Hlk118299001"/>
    </w:p>
    <w:p w14:paraId="76EEC7A3" w14:textId="0CA258BE" w:rsidR="00FA460F" w:rsidRPr="001D6B32" w:rsidRDefault="0008694B" w:rsidP="003549EF">
      <w:pPr>
        <w:pStyle w:val="Heading1"/>
      </w:pPr>
      <w:r w:rsidRPr="001D6B32">
        <w:t xml:space="preserve">Item </w:t>
      </w:r>
      <w:r w:rsidR="007D2BDC" w:rsidRPr="001D6B32">
        <w:t>4</w:t>
      </w:r>
      <w:r w:rsidRPr="001D6B32">
        <w:t xml:space="preserve">: </w:t>
      </w:r>
      <w:r w:rsidR="00D443E9" w:rsidRPr="001D6B32">
        <w:t>CalDOR Consumer Payment Card</w:t>
      </w:r>
      <w:r w:rsidR="006962B3" w:rsidRPr="001D6B32">
        <w:t xml:space="preserve"> (9:25 – 10:00 a.m.)</w:t>
      </w:r>
    </w:p>
    <w:p w14:paraId="1277CABF" w14:textId="01E4C35F" w:rsidR="00AA58B1" w:rsidRPr="003B6B52" w:rsidRDefault="000B4C8B" w:rsidP="00F07D23">
      <w:pPr>
        <w:rPr>
          <w:rFonts w:cstheme="minorBidi"/>
        </w:rPr>
      </w:pPr>
      <w:r>
        <w:rPr>
          <w:rFonts w:cstheme="minorBidi"/>
        </w:rPr>
        <w:t xml:space="preserve">DOR representatives </w:t>
      </w:r>
      <w:r w:rsidR="00D043F3">
        <w:rPr>
          <w:rFonts w:cstheme="minorBidi"/>
        </w:rPr>
        <w:t xml:space="preserve">from Accounting Services and the VR Employment Division </w:t>
      </w:r>
      <w:r w:rsidR="00F57873">
        <w:rPr>
          <w:rFonts w:cstheme="minorBidi"/>
        </w:rPr>
        <w:t>joined the SRC to provide</w:t>
      </w:r>
      <w:r>
        <w:rPr>
          <w:rFonts w:cstheme="minorBidi"/>
        </w:rPr>
        <w:t xml:space="preserve"> </w:t>
      </w:r>
      <w:r w:rsidR="006F6328">
        <w:rPr>
          <w:rFonts w:cstheme="minorBidi"/>
        </w:rPr>
        <w:t xml:space="preserve">an </w:t>
      </w:r>
      <w:r>
        <w:rPr>
          <w:rFonts w:cstheme="minorBidi"/>
        </w:rPr>
        <w:t>update on the implementation of the CalDOR Consumer Payment Card</w:t>
      </w:r>
      <w:r w:rsidR="00F57873">
        <w:rPr>
          <w:rFonts w:cstheme="minorBidi"/>
        </w:rPr>
        <w:t xml:space="preserve"> (CPC)</w:t>
      </w:r>
      <w:r>
        <w:rPr>
          <w:rFonts w:cstheme="minorBidi"/>
        </w:rPr>
        <w:t>, which VR consumers can use to purchase authorized goods and services needed for their employment plan.</w:t>
      </w:r>
      <w:r w:rsidR="00F57873">
        <w:rPr>
          <w:rFonts w:cstheme="minorBidi"/>
        </w:rPr>
        <w:t xml:space="preserve"> (Reference </w:t>
      </w:r>
      <w:hyperlink w:anchor="_Appendix_(xx)_–" w:history="1">
        <w:r w:rsidR="00F57873" w:rsidRPr="00F57873">
          <w:rPr>
            <w:rStyle w:val="Hyperlink"/>
            <w:rFonts w:cstheme="minorBidi"/>
          </w:rPr>
          <w:t>Appendix A</w:t>
        </w:r>
      </w:hyperlink>
      <w:r w:rsidR="00F57873">
        <w:rPr>
          <w:rFonts w:cstheme="minorBidi"/>
        </w:rPr>
        <w:t xml:space="preserve"> for the full presentation). Lori Bruno, DOR C</w:t>
      </w:r>
      <w:r w:rsidR="00F57873" w:rsidRPr="00F57873">
        <w:rPr>
          <w:rFonts w:cstheme="minorBidi"/>
        </w:rPr>
        <w:t>hief Accounting Officer</w:t>
      </w:r>
      <w:r w:rsidR="000726EC">
        <w:rPr>
          <w:rFonts w:cstheme="minorBidi"/>
        </w:rPr>
        <w:t>, began by providing background information on the CPC</w:t>
      </w:r>
      <w:r w:rsidR="003B6B52">
        <w:rPr>
          <w:rFonts w:cstheme="minorBidi"/>
        </w:rPr>
        <w:t xml:space="preserve"> and </w:t>
      </w:r>
      <w:r w:rsidR="00B234D9">
        <w:rPr>
          <w:rFonts w:cs="Arial"/>
          <w:szCs w:val="28"/>
        </w:rPr>
        <w:t>the initial testing conducted in DOR’s Napa Branch Office</w:t>
      </w:r>
      <w:r w:rsidR="003B6B52">
        <w:rPr>
          <w:rFonts w:cs="Arial"/>
          <w:szCs w:val="28"/>
        </w:rPr>
        <w:t xml:space="preserve">. Sean Nunez, District Administrator, DOR Redwood Empire, </w:t>
      </w:r>
      <w:r w:rsidR="00B234D9">
        <w:rPr>
          <w:rFonts w:cs="Arial"/>
          <w:szCs w:val="28"/>
        </w:rPr>
        <w:t>spoke about the benefits of the CPC which include</w:t>
      </w:r>
      <w:r w:rsidR="00F07D23">
        <w:rPr>
          <w:rFonts w:cs="Arial"/>
          <w:szCs w:val="28"/>
        </w:rPr>
        <w:t xml:space="preserve"> </w:t>
      </w:r>
      <w:r w:rsidR="00B234D9">
        <w:rPr>
          <w:rFonts w:cs="Arial"/>
          <w:szCs w:val="28"/>
        </w:rPr>
        <w:t>convenienc</w:t>
      </w:r>
      <w:r w:rsidR="00AB40B1">
        <w:rPr>
          <w:rFonts w:cs="Arial"/>
          <w:szCs w:val="28"/>
        </w:rPr>
        <w:t>e</w:t>
      </w:r>
      <w:r w:rsidR="00F07D23">
        <w:rPr>
          <w:rFonts w:cs="Arial"/>
          <w:szCs w:val="28"/>
        </w:rPr>
        <w:t>, privacy, expedited purchasing, increased</w:t>
      </w:r>
      <w:r w:rsidR="00AB40B1">
        <w:rPr>
          <w:rFonts w:cs="Arial"/>
          <w:szCs w:val="28"/>
        </w:rPr>
        <w:t xml:space="preserve"> options </w:t>
      </w:r>
      <w:r w:rsidR="00B234D9">
        <w:rPr>
          <w:rFonts w:cs="Arial"/>
          <w:szCs w:val="28"/>
        </w:rPr>
        <w:t>for consumers</w:t>
      </w:r>
      <w:r w:rsidR="003B6B52">
        <w:rPr>
          <w:rFonts w:cs="Arial"/>
          <w:szCs w:val="28"/>
        </w:rPr>
        <w:t>, and reduced administrative burden for DOR staff</w:t>
      </w:r>
      <w:r w:rsidR="00F07D23">
        <w:rPr>
          <w:rFonts w:cs="Arial"/>
          <w:szCs w:val="28"/>
        </w:rPr>
        <w:t xml:space="preserve">. </w:t>
      </w:r>
      <w:r w:rsidR="00AB40B1">
        <w:rPr>
          <w:rFonts w:cs="Arial"/>
          <w:szCs w:val="28"/>
        </w:rPr>
        <w:t xml:space="preserve">Once a good or service is authorized by the DOR Counselor, the funds </w:t>
      </w:r>
      <w:r w:rsidR="00F07D23">
        <w:rPr>
          <w:rFonts w:cs="Arial"/>
          <w:szCs w:val="28"/>
        </w:rPr>
        <w:t>are</w:t>
      </w:r>
      <w:r w:rsidR="00AB40B1">
        <w:rPr>
          <w:rFonts w:cs="Arial"/>
          <w:szCs w:val="28"/>
        </w:rPr>
        <w:t xml:space="preserve"> electronically uploaded </w:t>
      </w:r>
      <w:r w:rsidR="00F07D23">
        <w:rPr>
          <w:rFonts w:cs="Arial"/>
          <w:szCs w:val="28"/>
        </w:rPr>
        <w:t xml:space="preserve">to the CPC </w:t>
      </w:r>
      <w:r w:rsidR="00AB40B1">
        <w:rPr>
          <w:rFonts w:cs="Arial"/>
          <w:szCs w:val="28"/>
        </w:rPr>
        <w:t xml:space="preserve">and made available to the consumer within 15 minutes </w:t>
      </w:r>
      <w:r w:rsidR="00F07D23">
        <w:rPr>
          <w:rFonts w:cs="Arial"/>
          <w:szCs w:val="28"/>
        </w:rPr>
        <w:t xml:space="preserve">to </w:t>
      </w:r>
      <w:r w:rsidR="00AB40B1">
        <w:rPr>
          <w:rFonts w:cs="Arial"/>
          <w:szCs w:val="28"/>
        </w:rPr>
        <w:t xml:space="preserve">1 hour. </w:t>
      </w:r>
      <w:r w:rsidR="00AA58B1">
        <w:rPr>
          <w:rFonts w:cs="Arial"/>
          <w:szCs w:val="28"/>
        </w:rPr>
        <w:t xml:space="preserve">The CPC </w:t>
      </w:r>
      <w:r w:rsidR="00F07D23">
        <w:rPr>
          <w:rFonts w:cs="Arial"/>
          <w:szCs w:val="28"/>
        </w:rPr>
        <w:t xml:space="preserve">allows the consumer to </w:t>
      </w:r>
      <w:r w:rsidR="00AB40B1">
        <w:rPr>
          <w:rFonts w:cs="Arial"/>
          <w:szCs w:val="28"/>
        </w:rPr>
        <w:t>make online purchases that offer faster shipping</w:t>
      </w:r>
      <w:r w:rsidR="003B6B52">
        <w:rPr>
          <w:rFonts w:cs="Arial"/>
          <w:szCs w:val="28"/>
        </w:rPr>
        <w:t xml:space="preserve"> and to</w:t>
      </w:r>
      <w:r w:rsidR="00AB40B1">
        <w:rPr>
          <w:rFonts w:cs="Arial"/>
          <w:szCs w:val="28"/>
        </w:rPr>
        <w:t xml:space="preserve"> work with smaller and </w:t>
      </w:r>
      <w:r w:rsidR="00F07D23">
        <w:rPr>
          <w:rFonts w:cs="Arial"/>
          <w:szCs w:val="28"/>
        </w:rPr>
        <w:t>nontraditional</w:t>
      </w:r>
      <w:r w:rsidR="00AB40B1">
        <w:rPr>
          <w:rFonts w:cs="Arial"/>
          <w:szCs w:val="28"/>
        </w:rPr>
        <w:t xml:space="preserve"> businesses</w:t>
      </w:r>
      <w:r w:rsidR="00F07D23">
        <w:rPr>
          <w:rFonts w:cs="Arial"/>
          <w:szCs w:val="28"/>
        </w:rPr>
        <w:t xml:space="preserve">. </w:t>
      </w:r>
      <w:r w:rsidR="003B6B52">
        <w:rPr>
          <w:rFonts w:cs="Arial"/>
          <w:szCs w:val="28"/>
        </w:rPr>
        <w:t xml:space="preserve">A </w:t>
      </w:r>
      <w:hyperlink r:id="rId8" w:history="1">
        <w:r w:rsidR="003B6B52" w:rsidRPr="00F07D23">
          <w:rPr>
            <w:rStyle w:val="Hyperlink"/>
            <w:rFonts w:cs="Arial"/>
            <w:szCs w:val="28"/>
          </w:rPr>
          <w:t>video</w:t>
        </w:r>
      </w:hyperlink>
      <w:r w:rsidR="003B6B52">
        <w:rPr>
          <w:rFonts w:cs="Arial"/>
          <w:szCs w:val="28"/>
        </w:rPr>
        <w:t xml:space="preserve"> featuring the first CPC consumer, Anne, was played. </w:t>
      </w:r>
      <w:r w:rsidR="00AB40B1">
        <w:rPr>
          <w:rFonts w:cs="Arial"/>
          <w:szCs w:val="28"/>
        </w:rPr>
        <w:t xml:space="preserve">Nunez </w:t>
      </w:r>
      <w:r w:rsidR="00A75EEF">
        <w:rPr>
          <w:rFonts w:cs="Arial"/>
          <w:szCs w:val="28"/>
        </w:rPr>
        <w:t>shared</w:t>
      </w:r>
      <w:r w:rsidR="00AB40B1">
        <w:rPr>
          <w:rFonts w:cs="Arial"/>
          <w:szCs w:val="28"/>
        </w:rPr>
        <w:t xml:space="preserve"> a few consumer </w:t>
      </w:r>
      <w:proofErr w:type="gramStart"/>
      <w:r w:rsidR="00AB40B1">
        <w:rPr>
          <w:rFonts w:cs="Arial"/>
          <w:szCs w:val="28"/>
        </w:rPr>
        <w:t>success</w:t>
      </w:r>
      <w:proofErr w:type="gramEnd"/>
      <w:r w:rsidR="00AB40B1">
        <w:rPr>
          <w:rFonts w:cs="Arial"/>
          <w:szCs w:val="28"/>
        </w:rPr>
        <w:t xml:space="preserve"> stories.</w:t>
      </w:r>
      <w:r w:rsidR="003B6B52">
        <w:rPr>
          <w:rFonts w:cs="Arial"/>
          <w:szCs w:val="28"/>
        </w:rPr>
        <w:t xml:space="preserve"> DOR </w:t>
      </w:r>
      <w:r w:rsidR="00AA58B1">
        <w:rPr>
          <w:rFonts w:cs="Arial"/>
          <w:szCs w:val="28"/>
        </w:rPr>
        <w:t xml:space="preserve">is </w:t>
      </w:r>
      <w:r w:rsidR="003B6B52">
        <w:rPr>
          <w:rFonts w:cs="Arial"/>
          <w:szCs w:val="28"/>
        </w:rPr>
        <w:t xml:space="preserve">exploring the option of having consumers purchase gas on the CPC which would alleviate </w:t>
      </w:r>
      <w:r w:rsidR="00AB40B1">
        <w:rPr>
          <w:rFonts w:cs="Arial"/>
          <w:szCs w:val="28"/>
        </w:rPr>
        <w:t xml:space="preserve">the need for consumers to pay out of </w:t>
      </w:r>
      <w:r w:rsidR="003B6B52">
        <w:rPr>
          <w:rFonts w:cs="Arial"/>
          <w:szCs w:val="28"/>
        </w:rPr>
        <w:t xml:space="preserve">pocket and </w:t>
      </w:r>
      <w:r w:rsidR="00AB40B1">
        <w:rPr>
          <w:rFonts w:cs="Arial"/>
          <w:szCs w:val="28"/>
        </w:rPr>
        <w:t>wait to be reimbursed.</w:t>
      </w:r>
      <w:r w:rsidR="00AA58B1">
        <w:rPr>
          <w:rFonts w:cs="Arial"/>
          <w:szCs w:val="28"/>
        </w:rPr>
        <w:t xml:space="preserve"> </w:t>
      </w:r>
      <w:r w:rsidR="003B6B52">
        <w:rPr>
          <w:rFonts w:cs="Arial"/>
          <w:szCs w:val="28"/>
        </w:rPr>
        <w:t xml:space="preserve"> </w:t>
      </w:r>
      <w:r w:rsidR="00D609C6">
        <w:rPr>
          <w:rFonts w:cs="Arial"/>
          <w:szCs w:val="28"/>
        </w:rPr>
        <w:t xml:space="preserve"> </w:t>
      </w:r>
      <w:r w:rsidR="009953EC">
        <w:rPr>
          <w:rFonts w:cs="Arial"/>
          <w:szCs w:val="28"/>
        </w:rPr>
        <w:t xml:space="preserve"> </w:t>
      </w:r>
    </w:p>
    <w:p w14:paraId="4010E507" w14:textId="77777777" w:rsidR="00AA58B1" w:rsidRDefault="00AA58B1" w:rsidP="00F07D23">
      <w:pPr>
        <w:rPr>
          <w:rFonts w:cs="Arial"/>
          <w:szCs w:val="28"/>
        </w:rPr>
      </w:pPr>
    </w:p>
    <w:p w14:paraId="583CE5A1" w14:textId="46657815" w:rsidR="00050302" w:rsidRDefault="009953EC" w:rsidP="00D609C6">
      <w:pPr>
        <w:rPr>
          <w:rFonts w:cs="Arial"/>
          <w:szCs w:val="28"/>
        </w:rPr>
      </w:pPr>
      <w:r w:rsidRPr="009953EC">
        <w:rPr>
          <w:rFonts w:cs="Arial"/>
          <w:szCs w:val="28"/>
        </w:rPr>
        <w:t>Peter Blanco, Regional Director</w:t>
      </w:r>
      <w:r>
        <w:rPr>
          <w:rFonts w:cs="Arial"/>
          <w:szCs w:val="28"/>
        </w:rPr>
        <w:t>, DOR San Diego District,</w:t>
      </w:r>
      <w:r w:rsidR="00D609C6">
        <w:rPr>
          <w:rFonts w:cstheme="minorBidi"/>
        </w:rPr>
        <w:t xml:space="preserve"> and </w:t>
      </w:r>
      <w:r w:rsidRPr="009953EC">
        <w:rPr>
          <w:rFonts w:cs="Arial"/>
          <w:szCs w:val="28"/>
        </w:rPr>
        <w:t>Sherri Han-Lam, Regional Director</w:t>
      </w:r>
      <w:r>
        <w:rPr>
          <w:rFonts w:cs="Arial"/>
          <w:szCs w:val="28"/>
        </w:rPr>
        <w:t>, DOR Orange San Gabriel District, spoke about</w:t>
      </w:r>
      <w:r w:rsidR="00D609C6">
        <w:rPr>
          <w:rFonts w:cs="Arial"/>
          <w:szCs w:val="28"/>
        </w:rPr>
        <w:t xml:space="preserve"> the CPC from the</w:t>
      </w:r>
      <w:r>
        <w:rPr>
          <w:rFonts w:cs="Arial"/>
          <w:szCs w:val="28"/>
        </w:rPr>
        <w:t xml:space="preserve"> field leadership perspective. </w:t>
      </w:r>
      <w:r w:rsidR="00D609C6">
        <w:rPr>
          <w:rFonts w:cs="Arial"/>
          <w:szCs w:val="28"/>
        </w:rPr>
        <w:t xml:space="preserve">It was noted that </w:t>
      </w:r>
      <w:r>
        <w:rPr>
          <w:rFonts w:cs="Arial"/>
          <w:szCs w:val="28"/>
        </w:rPr>
        <w:t xml:space="preserve">California is the first VR program in the nation to roll out a </w:t>
      </w:r>
      <w:r w:rsidR="00D609C6">
        <w:rPr>
          <w:rFonts w:cs="Arial"/>
          <w:szCs w:val="28"/>
        </w:rPr>
        <w:t>CPC.</w:t>
      </w:r>
      <w:r>
        <w:rPr>
          <w:rFonts w:cs="Arial"/>
          <w:szCs w:val="28"/>
        </w:rPr>
        <w:t xml:space="preserve"> To date,</w:t>
      </w:r>
      <w:r w:rsidR="00D609C6">
        <w:rPr>
          <w:rFonts w:cs="Arial"/>
          <w:szCs w:val="28"/>
        </w:rPr>
        <w:t xml:space="preserve"> there are</w:t>
      </w:r>
      <w:r>
        <w:rPr>
          <w:rFonts w:cs="Arial"/>
          <w:szCs w:val="28"/>
        </w:rPr>
        <w:t xml:space="preserve"> over 11,000 </w:t>
      </w:r>
      <w:r w:rsidR="00501E25">
        <w:rPr>
          <w:rFonts w:cs="Arial"/>
          <w:szCs w:val="28"/>
        </w:rPr>
        <w:t xml:space="preserve">active </w:t>
      </w:r>
      <w:r w:rsidR="00D609C6">
        <w:rPr>
          <w:rFonts w:cs="Arial"/>
          <w:szCs w:val="28"/>
        </w:rPr>
        <w:t xml:space="preserve">CPC consumer </w:t>
      </w:r>
      <w:r w:rsidR="00A75EEF">
        <w:rPr>
          <w:rFonts w:cs="Arial"/>
          <w:szCs w:val="28"/>
        </w:rPr>
        <w:t>accounts</w:t>
      </w:r>
      <w:r w:rsidR="00D609C6">
        <w:rPr>
          <w:rFonts w:cs="Arial"/>
          <w:szCs w:val="28"/>
        </w:rPr>
        <w:t xml:space="preserve">. </w:t>
      </w:r>
      <w:r>
        <w:rPr>
          <w:rFonts w:cs="Arial"/>
          <w:szCs w:val="28"/>
        </w:rPr>
        <w:t xml:space="preserve">Blanco and Han-Lam </w:t>
      </w:r>
      <w:r w:rsidR="003B6B52">
        <w:rPr>
          <w:rFonts w:cs="Arial"/>
          <w:szCs w:val="28"/>
        </w:rPr>
        <w:t xml:space="preserve">have </w:t>
      </w:r>
      <w:r>
        <w:rPr>
          <w:rFonts w:cs="Arial"/>
          <w:szCs w:val="28"/>
        </w:rPr>
        <w:t>met with leaders from all 14 DOR District</w:t>
      </w:r>
      <w:r w:rsidR="00D609C6">
        <w:rPr>
          <w:rFonts w:cs="Arial"/>
          <w:szCs w:val="28"/>
        </w:rPr>
        <w:t xml:space="preserve">s </w:t>
      </w:r>
      <w:r>
        <w:rPr>
          <w:rFonts w:cs="Arial"/>
          <w:szCs w:val="28"/>
        </w:rPr>
        <w:t xml:space="preserve">to encourage buy </w:t>
      </w:r>
      <w:r w:rsidR="00A75EEF">
        <w:rPr>
          <w:rFonts w:cs="Arial"/>
          <w:szCs w:val="28"/>
        </w:rPr>
        <w:t>in and</w:t>
      </w:r>
      <w:r>
        <w:rPr>
          <w:rFonts w:cs="Arial"/>
          <w:szCs w:val="28"/>
        </w:rPr>
        <w:t xml:space="preserve"> provide support/technical assistance. Overall, </w:t>
      </w:r>
      <w:r w:rsidR="00D609C6">
        <w:rPr>
          <w:rFonts w:cs="Arial"/>
          <w:szCs w:val="28"/>
        </w:rPr>
        <w:t xml:space="preserve">the response from staff and consumers has been positive. </w:t>
      </w:r>
      <w:r w:rsidR="00501E25" w:rsidRPr="00501E25">
        <w:rPr>
          <w:rFonts w:cs="Arial"/>
          <w:szCs w:val="28"/>
        </w:rPr>
        <w:t xml:space="preserve">Gina </w:t>
      </w:r>
      <w:r w:rsidR="00D609C6">
        <w:rPr>
          <w:rFonts w:cs="Arial"/>
          <w:szCs w:val="28"/>
        </w:rPr>
        <w:t xml:space="preserve">Franklin, DOR </w:t>
      </w:r>
      <w:r w:rsidR="00501E25" w:rsidRPr="00501E25">
        <w:rPr>
          <w:rFonts w:cs="Arial"/>
          <w:szCs w:val="28"/>
        </w:rPr>
        <w:t>CPC Program Administrator</w:t>
      </w:r>
      <w:r w:rsidR="00501E25">
        <w:rPr>
          <w:rFonts w:cs="Arial"/>
          <w:szCs w:val="28"/>
        </w:rPr>
        <w:t xml:space="preserve">, </w:t>
      </w:r>
      <w:r w:rsidR="00D609C6">
        <w:rPr>
          <w:rFonts w:cs="Arial"/>
          <w:szCs w:val="28"/>
        </w:rPr>
        <w:t xml:space="preserve">provided information on </w:t>
      </w:r>
      <w:r w:rsidR="003B6B52">
        <w:rPr>
          <w:rFonts w:cs="Arial"/>
          <w:szCs w:val="28"/>
        </w:rPr>
        <w:t xml:space="preserve">the </w:t>
      </w:r>
      <w:r w:rsidR="00D609C6">
        <w:rPr>
          <w:rFonts w:cs="Arial"/>
          <w:szCs w:val="28"/>
        </w:rPr>
        <w:t xml:space="preserve">CPC </w:t>
      </w:r>
      <w:r w:rsidR="00501E25">
        <w:rPr>
          <w:rFonts w:cs="Arial"/>
          <w:szCs w:val="28"/>
        </w:rPr>
        <w:t xml:space="preserve">administrative portal, </w:t>
      </w:r>
      <w:r w:rsidR="003B6B52">
        <w:rPr>
          <w:rFonts w:cs="Arial"/>
          <w:szCs w:val="28"/>
        </w:rPr>
        <w:t>the toll-free</w:t>
      </w:r>
      <w:r w:rsidR="00501E25">
        <w:rPr>
          <w:rFonts w:cs="Arial"/>
          <w:szCs w:val="28"/>
        </w:rPr>
        <w:t xml:space="preserve"> number for consumers, information on the DOR intranet and public website, </w:t>
      </w:r>
      <w:r w:rsidR="00D609C6">
        <w:rPr>
          <w:rFonts w:cs="Arial"/>
          <w:szCs w:val="28"/>
        </w:rPr>
        <w:t xml:space="preserve">and </w:t>
      </w:r>
      <w:r w:rsidR="00501E25">
        <w:rPr>
          <w:rFonts w:cs="Arial"/>
          <w:szCs w:val="28"/>
        </w:rPr>
        <w:t xml:space="preserve">the mobile app available for consumers to </w:t>
      </w:r>
      <w:r w:rsidR="003B6B52">
        <w:rPr>
          <w:rFonts w:cs="Arial"/>
          <w:szCs w:val="28"/>
        </w:rPr>
        <w:t>check their balance</w:t>
      </w:r>
      <w:r w:rsidR="00501E25">
        <w:rPr>
          <w:rFonts w:cs="Arial"/>
          <w:szCs w:val="28"/>
        </w:rPr>
        <w:t xml:space="preserve"> and upload receipts. </w:t>
      </w:r>
    </w:p>
    <w:p w14:paraId="7DAD79CB" w14:textId="77777777" w:rsidR="003B6B52" w:rsidRDefault="003B6B52" w:rsidP="00D609C6">
      <w:pPr>
        <w:rPr>
          <w:rFonts w:cs="Arial"/>
          <w:szCs w:val="28"/>
        </w:rPr>
      </w:pPr>
    </w:p>
    <w:p w14:paraId="70F7EC51" w14:textId="4AA80FCB" w:rsidR="003B6B52" w:rsidRPr="00D609C6" w:rsidRDefault="003B6B52" w:rsidP="00D609C6">
      <w:pPr>
        <w:rPr>
          <w:rFonts w:cstheme="minorBidi"/>
        </w:rPr>
      </w:pPr>
      <w:r>
        <w:rPr>
          <w:rFonts w:cs="Arial"/>
          <w:szCs w:val="28"/>
        </w:rPr>
        <w:t>Discussion highlights included the following:</w:t>
      </w:r>
    </w:p>
    <w:p w14:paraId="16E688C6" w14:textId="3FCDE028" w:rsidR="00501E25" w:rsidRDefault="00501E25" w:rsidP="00455103">
      <w:pPr>
        <w:pStyle w:val="ListParagraph"/>
        <w:numPr>
          <w:ilvl w:val="0"/>
          <w:numId w:val="17"/>
        </w:numPr>
        <w:spacing w:line="259" w:lineRule="auto"/>
        <w:rPr>
          <w:rFonts w:cs="Arial"/>
          <w:szCs w:val="28"/>
        </w:rPr>
      </w:pPr>
      <w:r>
        <w:rPr>
          <w:rFonts w:cs="Arial"/>
          <w:szCs w:val="28"/>
        </w:rPr>
        <w:t xml:space="preserve">Additional information about the </w:t>
      </w:r>
      <w:r w:rsidR="00A75EEF">
        <w:rPr>
          <w:rFonts w:cs="Arial"/>
          <w:szCs w:val="28"/>
        </w:rPr>
        <w:t>resources</w:t>
      </w:r>
      <w:r>
        <w:rPr>
          <w:rFonts w:cs="Arial"/>
          <w:szCs w:val="28"/>
        </w:rPr>
        <w:t xml:space="preserve"> and policy guidance available to DOR </w:t>
      </w:r>
      <w:r w:rsidR="003F418E">
        <w:rPr>
          <w:rFonts w:cs="Arial"/>
          <w:szCs w:val="28"/>
        </w:rPr>
        <w:t>Counselors.</w:t>
      </w:r>
    </w:p>
    <w:p w14:paraId="47CDDF97" w14:textId="3C94DDBB" w:rsidR="00501E25" w:rsidRDefault="00501E25" w:rsidP="00455103">
      <w:pPr>
        <w:pStyle w:val="ListParagraph"/>
        <w:numPr>
          <w:ilvl w:val="0"/>
          <w:numId w:val="17"/>
        </w:numPr>
        <w:spacing w:line="259" w:lineRule="auto"/>
        <w:rPr>
          <w:rFonts w:cs="Arial"/>
          <w:szCs w:val="28"/>
        </w:rPr>
      </w:pPr>
      <w:r>
        <w:rPr>
          <w:rFonts w:cs="Arial"/>
          <w:szCs w:val="28"/>
        </w:rPr>
        <w:t>Updating</w:t>
      </w:r>
      <w:r w:rsidR="00230DFA">
        <w:rPr>
          <w:rFonts w:cs="Arial"/>
          <w:szCs w:val="28"/>
        </w:rPr>
        <w:t xml:space="preserve"> the Rehabilitation Administrative Manual (RAM)</w:t>
      </w:r>
      <w:r>
        <w:rPr>
          <w:rFonts w:cs="Arial"/>
          <w:szCs w:val="28"/>
        </w:rPr>
        <w:t xml:space="preserve"> to include information on the DOR CPC</w:t>
      </w:r>
      <w:r w:rsidR="003F418E">
        <w:rPr>
          <w:rFonts w:cs="Arial"/>
          <w:szCs w:val="28"/>
        </w:rPr>
        <w:t xml:space="preserve">, which is in progress. </w:t>
      </w:r>
    </w:p>
    <w:p w14:paraId="0E51F40D" w14:textId="6D720D07" w:rsidR="00501E25" w:rsidRDefault="003F418E" w:rsidP="00455103">
      <w:pPr>
        <w:pStyle w:val="ListParagraph"/>
        <w:numPr>
          <w:ilvl w:val="0"/>
          <w:numId w:val="17"/>
        </w:numPr>
        <w:spacing w:line="259" w:lineRule="auto"/>
        <w:rPr>
          <w:rFonts w:cs="Arial"/>
          <w:szCs w:val="28"/>
        </w:rPr>
      </w:pPr>
      <w:r>
        <w:rPr>
          <w:rFonts w:cs="Arial"/>
          <w:szCs w:val="28"/>
        </w:rPr>
        <w:lastRenderedPageBreak/>
        <w:t>The o</w:t>
      </w:r>
      <w:r w:rsidR="00501E25">
        <w:rPr>
          <w:rFonts w:cs="Arial"/>
          <w:szCs w:val="28"/>
        </w:rPr>
        <w:t>riginal goal of enrolling 50,000 consumers by July 1, 2023</w:t>
      </w:r>
      <w:r>
        <w:rPr>
          <w:rFonts w:cs="Arial"/>
          <w:szCs w:val="28"/>
        </w:rPr>
        <w:t xml:space="preserve">. The minimum needed for the contract was 10,000 active consumer accounts. </w:t>
      </w:r>
      <w:r w:rsidR="00501E25">
        <w:rPr>
          <w:rFonts w:cs="Arial"/>
          <w:szCs w:val="28"/>
        </w:rPr>
        <w:t xml:space="preserve"> </w:t>
      </w:r>
      <w:r>
        <w:rPr>
          <w:rFonts w:cs="Arial"/>
          <w:szCs w:val="28"/>
        </w:rPr>
        <w:t xml:space="preserve"> </w:t>
      </w:r>
      <w:r w:rsidR="00501E25">
        <w:rPr>
          <w:rFonts w:cs="Arial"/>
          <w:szCs w:val="28"/>
        </w:rPr>
        <w:t xml:space="preserve"> </w:t>
      </w:r>
    </w:p>
    <w:p w14:paraId="23BC2042" w14:textId="35BCF0E0" w:rsidR="00501E25" w:rsidRPr="00501E25" w:rsidRDefault="003F418E" w:rsidP="00455103">
      <w:pPr>
        <w:pStyle w:val="ListParagraph"/>
        <w:numPr>
          <w:ilvl w:val="0"/>
          <w:numId w:val="17"/>
        </w:numPr>
        <w:spacing w:line="259" w:lineRule="auto"/>
        <w:rPr>
          <w:rFonts w:cs="Arial"/>
          <w:szCs w:val="28"/>
        </w:rPr>
      </w:pPr>
      <w:r>
        <w:rPr>
          <w:rFonts w:cs="Arial"/>
          <w:szCs w:val="28"/>
        </w:rPr>
        <w:t xml:space="preserve">Hesitation from a small number of DOR staff and encouraging buy-in. </w:t>
      </w:r>
    </w:p>
    <w:p w14:paraId="0BBA4DFC" w14:textId="77777777" w:rsidR="00050302" w:rsidRDefault="00050302" w:rsidP="00B523CE">
      <w:pPr>
        <w:rPr>
          <w:rFonts w:cs="Arial"/>
          <w:szCs w:val="28"/>
        </w:rPr>
      </w:pPr>
    </w:p>
    <w:p w14:paraId="1BE6AF78" w14:textId="43016041" w:rsidR="003F418E" w:rsidRDefault="00501E25" w:rsidP="00B523CE">
      <w:pPr>
        <w:rPr>
          <w:rFonts w:cs="Arial"/>
          <w:szCs w:val="28"/>
        </w:rPr>
      </w:pPr>
      <w:r>
        <w:rPr>
          <w:rFonts w:cs="Arial"/>
          <w:szCs w:val="28"/>
        </w:rPr>
        <w:t xml:space="preserve">Public </w:t>
      </w:r>
      <w:r w:rsidR="003F418E">
        <w:rPr>
          <w:rFonts w:cs="Arial"/>
          <w:szCs w:val="28"/>
        </w:rPr>
        <w:t>c</w:t>
      </w:r>
      <w:r>
        <w:rPr>
          <w:rFonts w:cs="Arial"/>
          <w:szCs w:val="28"/>
        </w:rPr>
        <w:t>omment</w:t>
      </w:r>
      <w:r w:rsidR="003F418E">
        <w:rPr>
          <w:rFonts w:cs="Arial"/>
          <w:szCs w:val="28"/>
        </w:rPr>
        <w:t>s</w:t>
      </w:r>
      <w:r>
        <w:rPr>
          <w:rFonts w:cs="Arial"/>
          <w:szCs w:val="28"/>
        </w:rPr>
        <w:t xml:space="preserve">: </w:t>
      </w:r>
    </w:p>
    <w:p w14:paraId="34DC08D4" w14:textId="4E16CDE8" w:rsidR="003F418E" w:rsidRDefault="00501E25" w:rsidP="008265B2">
      <w:pPr>
        <w:pStyle w:val="ListParagraph"/>
        <w:numPr>
          <w:ilvl w:val="0"/>
          <w:numId w:val="39"/>
        </w:numPr>
        <w:rPr>
          <w:rFonts w:cs="Arial"/>
          <w:szCs w:val="28"/>
        </w:rPr>
      </w:pPr>
      <w:r w:rsidRPr="003F418E">
        <w:rPr>
          <w:rFonts w:cs="Arial"/>
          <w:szCs w:val="28"/>
        </w:rPr>
        <w:t xml:space="preserve">Danny Marquez: providers may offer a different perspective on the CPC </w:t>
      </w:r>
      <w:r w:rsidR="00A75EEF" w:rsidRPr="003F418E">
        <w:rPr>
          <w:rFonts w:cs="Arial"/>
          <w:szCs w:val="28"/>
        </w:rPr>
        <w:t>program</w:t>
      </w:r>
      <w:r w:rsidRPr="003F418E">
        <w:rPr>
          <w:rFonts w:cs="Arial"/>
          <w:szCs w:val="28"/>
        </w:rPr>
        <w:t xml:space="preserve">, still seeing issues around transportation, gas and using the cards. Some consumers may need training to develop the technical and digital literacy skills needed to use a CPC. </w:t>
      </w:r>
    </w:p>
    <w:p w14:paraId="5463E042" w14:textId="57114F29" w:rsidR="00501E25" w:rsidRPr="003F418E" w:rsidRDefault="00501E25" w:rsidP="008265B2">
      <w:pPr>
        <w:pStyle w:val="ListParagraph"/>
        <w:numPr>
          <w:ilvl w:val="0"/>
          <w:numId w:val="39"/>
        </w:numPr>
        <w:rPr>
          <w:rFonts w:cs="Arial"/>
          <w:szCs w:val="28"/>
        </w:rPr>
      </w:pPr>
      <w:r w:rsidRPr="003F418E">
        <w:rPr>
          <w:rFonts w:cs="Arial"/>
          <w:szCs w:val="28"/>
        </w:rPr>
        <w:t>Kate Bjerke</w:t>
      </w:r>
      <w:r w:rsidR="00230DFA">
        <w:rPr>
          <w:rFonts w:cs="Arial"/>
          <w:szCs w:val="28"/>
        </w:rPr>
        <w:t>, SRC Executive Officer,</w:t>
      </w:r>
      <w:r w:rsidRPr="003F418E">
        <w:rPr>
          <w:rFonts w:cs="Arial"/>
          <w:szCs w:val="28"/>
        </w:rPr>
        <w:t xml:space="preserve"> read a public comment that was submitted in writing by Lesley Ann Gibbons of Sterling </w:t>
      </w:r>
      <w:proofErr w:type="spellStart"/>
      <w:r w:rsidRPr="003F418E">
        <w:rPr>
          <w:rFonts w:cs="Arial"/>
          <w:szCs w:val="28"/>
        </w:rPr>
        <w:t>Adaptives</w:t>
      </w:r>
      <w:proofErr w:type="spellEnd"/>
      <w:r w:rsidRPr="003F418E">
        <w:rPr>
          <w:rFonts w:cs="Arial"/>
          <w:szCs w:val="28"/>
        </w:rPr>
        <w:t xml:space="preserve">. </w:t>
      </w:r>
    </w:p>
    <w:bookmarkEnd w:id="4"/>
    <w:p w14:paraId="5AD02678" w14:textId="6611DBAE" w:rsidR="00CF0074" w:rsidRPr="001D6B32" w:rsidRDefault="00CF0074" w:rsidP="00D503AD"/>
    <w:p w14:paraId="713AFA85" w14:textId="12DCDB2B" w:rsidR="00E5524A" w:rsidRDefault="00A979E4" w:rsidP="003A49BE">
      <w:pPr>
        <w:pStyle w:val="Heading1"/>
      </w:pPr>
      <w:r w:rsidRPr="00587F0B">
        <w:t xml:space="preserve">Item </w:t>
      </w:r>
      <w:r>
        <w:t>5</w:t>
      </w:r>
      <w:r w:rsidRPr="00587F0B">
        <w:t xml:space="preserve">: </w:t>
      </w:r>
      <w:r w:rsidR="003A49BE">
        <w:t xml:space="preserve">DOR Older Individuals who are Blind Program </w:t>
      </w:r>
    </w:p>
    <w:p w14:paraId="6CF43BEE" w14:textId="5BE61A57" w:rsidR="003A49BE" w:rsidRDefault="003A49BE" w:rsidP="003A49BE">
      <w:r>
        <w:t>Jay Harris, Manager, DOR Older Individuals who are Blind (OIB) Program, provide</w:t>
      </w:r>
      <w:r w:rsidR="0066638D">
        <w:t>d</w:t>
      </w:r>
      <w:r>
        <w:t xml:space="preserve"> an overview of the OIB Program core services and </w:t>
      </w:r>
      <w:r w:rsidR="0066638D">
        <w:t>shared</w:t>
      </w:r>
      <w:r>
        <w:t xml:space="preserve"> information on recent requests for applications and awards. </w:t>
      </w:r>
    </w:p>
    <w:p w14:paraId="6DB62EA3" w14:textId="7ECB457B" w:rsidR="00C54D74" w:rsidRDefault="00455103" w:rsidP="00455103">
      <w:pPr>
        <w:pStyle w:val="ListParagraph"/>
        <w:numPr>
          <w:ilvl w:val="0"/>
          <w:numId w:val="29"/>
        </w:numPr>
      </w:pPr>
      <w:r>
        <w:t xml:space="preserve">There </w:t>
      </w:r>
      <w:r w:rsidR="00C54D74">
        <w:t xml:space="preserve">is </w:t>
      </w:r>
      <w:r>
        <w:t>no required employment component of the</w:t>
      </w:r>
      <w:r w:rsidR="00FC30F7">
        <w:t xml:space="preserve"> OIB</w:t>
      </w:r>
      <w:r>
        <w:t xml:space="preserve"> grant</w:t>
      </w:r>
      <w:r w:rsidR="00C54D74">
        <w:t xml:space="preserve">. The funding provided by RSA is specifically targeted to assist individuals ages 55 and older to become as independent as possible in their homes and communities, and to maintain their independence.  </w:t>
      </w:r>
    </w:p>
    <w:p w14:paraId="2EE9DD39" w14:textId="7A975890" w:rsidR="00455103" w:rsidRDefault="00C54D74" w:rsidP="00455103">
      <w:pPr>
        <w:pStyle w:val="ListParagraph"/>
        <w:numPr>
          <w:ilvl w:val="0"/>
          <w:numId w:val="29"/>
        </w:numPr>
      </w:pPr>
      <w:r>
        <w:t xml:space="preserve">The OIB program assists individuals with obtaining the training and/or devices they need to be independent and carry out the activities of daily living. Examples </w:t>
      </w:r>
      <w:r w:rsidR="00FC30F7">
        <w:t xml:space="preserve">include </w:t>
      </w:r>
      <w:r>
        <w:t>adaptive lighting, screen reader</w:t>
      </w:r>
      <w:r w:rsidR="00FC30F7">
        <w:t>s</w:t>
      </w:r>
      <w:r>
        <w:t xml:space="preserve">, and magnification. </w:t>
      </w:r>
      <w:r w:rsidR="00455103">
        <w:t xml:space="preserve"> </w:t>
      </w:r>
      <w:r>
        <w:t xml:space="preserve"> </w:t>
      </w:r>
    </w:p>
    <w:p w14:paraId="54C5B6E2" w14:textId="4A08BD6D" w:rsidR="00455103" w:rsidRDefault="00455103" w:rsidP="00455103">
      <w:pPr>
        <w:pStyle w:val="ListParagraph"/>
        <w:numPr>
          <w:ilvl w:val="0"/>
          <w:numId w:val="29"/>
        </w:numPr>
      </w:pPr>
      <w:r>
        <w:t>DOR</w:t>
      </w:r>
      <w:r w:rsidR="00FC30F7">
        <w:t xml:space="preserve"> contracts with 17 nonprofit providers throughout California who</w:t>
      </w:r>
      <w:r>
        <w:t xml:space="preserve"> offer services through </w:t>
      </w:r>
      <w:r w:rsidR="005D61EC">
        <w:t xml:space="preserve">the OIB grant. </w:t>
      </w:r>
      <w:r>
        <w:t xml:space="preserve"> </w:t>
      </w:r>
    </w:p>
    <w:p w14:paraId="49D53780" w14:textId="4D46730C" w:rsidR="00455103" w:rsidRDefault="00455103" w:rsidP="00CE33D7">
      <w:pPr>
        <w:pStyle w:val="ListParagraph"/>
        <w:numPr>
          <w:ilvl w:val="0"/>
          <w:numId w:val="29"/>
        </w:numPr>
      </w:pPr>
      <w:r>
        <w:t xml:space="preserve">Harris </w:t>
      </w:r>
      <w:r w:rsidR="005D61EC">
        <w:t>serves as the DOR OIB Grant Administrator</w:t>
      </w:r>
      <w:r>
        <w:t xml:space="preserve"> and refers individuals to the appropriate nonprofit in their area to receive direct </w:t>
      </w:r>
      <w:r w:rsidR="00655CE7">
        <w:t>services</w:t>
      </w:r>
      <w:r>
        <w:t xml:space="preserve">. </w:t>
      </w:r>
      <w:r w:rsidR="00655CE7">
        <w:t>In</w:t>
      </w:r>
      <w:r>
        <w:t xml:space="preserve"> a typical year, 5,000 people are served</w:t>
      </w:r>
      <w:r w:rsidR="00CF51EA">
        <w:t xml:space="preserve"> through the OIB program</w:t>
      </w:r>
      <w:r>
        <w:t xml:space="preserve">. The nonprofits </w:t>
      </w:r>
      <w:r w:rsidR="005D61EC">
        <w:t>engage the consumer to identify training and assessments that may be needed.</w:t>
      </w:r>
      <w:r>
        <w:t xml:space="preserve"> </w:t>
      </w:r>
      <w:r w:rsidR="00CE33D7">
        <w:t>Currently, these services are available in all of California except for Alpine and Inyo counties due to a lack of nonprofit service providers in those areas.</w:t>
      </w:r>
    </w:p>
    <w:p w14:paraId="77A4ABA6" w14:textId="77777777" w:rsidR="00CE33D7" w:rsidRDefault="00CE33D7" w:rsidP="00CE33D7"/>
    <w:p w14:paraId="23A5029F" w14:textId="05BB4E99" w:rsidR="00CE33D7" w:rsidRDefault="00CE33D7" w:rsidP="00CE33D7">
      <w:r>
        <w:t>Questions and comments from the SRC members included:</w:t>
      </w:r>
    </w:p>
    <w:p w14:paraId="63B14A80" w14:textId="23DC40E3" w:rsidR="00CF51EA" w:rsidRDefault="00455103" w:rsidP="00455103">
      <w:pPr>
        <w:pStyle w:val="ListParagraph"/>
        <w:numPr>
          <w:ilvl w:val="0"/>
          <w:numId w:val="30"/>
        </w:numPr>
      </w:pPr>
      <w:r>
        <w:t>The CCRs have a section</w:t>
      </w:r>
      <w:r w:rsidR="00CF51EA">
        <w:t xml:space="preserve"> that</w:t>
      </w:r>
      <w:r>
        <w:t xml:space="preserve"> </w:t>
      </w:r>
      <w:r w:rsidR="00CE33D7">
        <w:t xml:space="preserve">identifies </w:t>
      </w:r>
      <w:r>
        <w:t xml:space="preserve">non-vocational services for </w:t>
      </w:r>
      <w:r w:rsidR="00230DFA">
        <w:t xml:space="preserve">individuals who are </w:t>
      </w:r>
      <w:r>
        <w:t>blind</w:t>
      </w:r>
      <w:r w:rsidR="00CE33D7">
        <w:t xml:space="preserve">. These services are </w:t>
      </w:r>
      <w:r>
        <w:t>broken down into different categories, one of which is the personal goal services category.</w:t>
      </w:r>
      <w:r w:rsidR="00CE33D7">
        <w:t xml:space="preserve"> </w:t>
      </w:r>
      <w:r w:rsidR="00CF51EA">
        <w:t>Are these services contingent upon the OIB grant being available?</w:t>
      </w:r>
    </w:p>
    <w:p w14:paraId="17EBD6C6" w14:textId="2384011F" w:rsidR="00CE33D7" w:rsidRDefault="00CE33D7" w:rsidP="00455103">
      <w:pPr>
        <w:pStyle w:val="ListParagraph"/>
        <w:numPr>
          <w:ilvl w:val="0"/>
          <w:numId w:val="30"/>
        </w:numPr>
      </w:pPr>
      <w:r>
        <w:t>It was noted that AB 2480 became effective on January 1,</w:t>
      </w:r>
      <w:r w:rsidR="00455103">
        <w:t xml:space="preserve"> 2023</w:t>
      </w:r>
      <w:r w:rsidR="000A28BC">
        <w:t>,</w:t>
      </w:r>
      <w:r>
        <w:t xml:space="preserve"> which provides additional funding for the OIB program. Moving forward, consumers will need to receive services from a community provider instead of directly from DOR. </w:t>
      </w:r>
      <w:r w:rsidR="000A28BC">
        <w:t xml:space="preserve"> </w:t>
      </w:r>
      <w:r>
        <w:t xml:space="preserve"> </w:t>
      </w:r>
    </w:p>
    <w:p w14:paraId="6815E351" w14:textId="5AB403B4" w:rsidR="00455103" w:rsidRDefault="00CE33D7" w:rsidP="00455103">
      <w:pPr>
        <w:pStyle w:val="ListParagraph"/>
        <w:numPr>
          <w:ilvl w:val="0"/>
          <w:numId w:val="30"/>
        </w:numPr>
      </w:pPr>
      <w:r>
        <w:lastRenderedPageBreak/>
        <w:t xml:space="preserve">Harris can provide an update at a future SRC meeting regarding services and nonprofit providers in rural areas. </w:t>
      </w:r>
      <w:r w:rsidR="000A28BC">
        <w:t xml:space="preserve"> </w:t>
      </w:r>
    </w:p>
    <w:p w14:paraId="309BA4EA" w14:textId="53B206A0" w:rsidR="00CF1137" w:rsidRDefault="00CF51EA" w:rsidP="00CF1137">
      <w:pPr>
        <w:pStyle w:val="ListParagraph"/>
        <w:numPr>
          <w:ilvl w:val="0"/>
          <w:numId w:val="30"/>
        </w:numPr>
      </w:pPr>
      <w:r>
        <w:t xml:space="preserve">On April 4, 2023, funding awards were announced for 42 counties. </w:t>
      </w:r>
      <w:r w:rsidR="00CF1137">
        <w:t xml:space="preserve"> </w:t>
      </w:r>
    </w:p>
    <w:p w14:paraId="6D7B3103" w14:textId="4F8BE481" w:rsidR="005662AD" w:rsidRDefault="005662AD" w:rsidP="00CF1137">
      <w:pPr>
        <w:pStyle w:val="ListParagraph"/>
        <w:numPr>
          <w:ilvl w:val="0"/>
          <w:numId w:val="30"/>
        </w:numPr>
      </w:pPr>
      <w:r>
        <w:t>How are the tribal VR programs utilizing the OIB program?</w:t>
      </w:r>
    </w:p>
    <w:p w14:paraId="40A56080" w14:textId="7AC591F6" w:rsidR="00CF1137" w:rsidRPr="003A49BE" w:rsidRDefault="00CF1137" w:rsidP="00CF1137">
      <w:pPr>
        <w:pStyle w:val="ListParagraph"/>
        <w:numPr>
          <w:ilvl w:val="0"/>
          <w:numId w:val="30"/>
        </w:numPr>
      </w:pPr>
      <w:r>
        <w:t>Challenges with finding providers who service Inyo County.</w:t>
      </w:r>
    </w:p>
    <w:p w14:paraId="2D7C4F27" w14:textId="77777777" w:rsidR="007062D2" w:rsidRPr="001D6B32" w:rsidRDefault="007062D2" w:rsidP="00F353AC"/>
    <w:p w14:paraId="6C1C8056" w14:textId="77777777" w:rsidR="007D5AB8" w:rsidRPr="001D6B32" w:rsidRDefault="006525D6" w:rsidP="003549EF">
      <w:pPr>
        <w:pStyle w:val="Heading1"/>
      </w:pPr>
      <w:r w:rsidRPr="001D6B32">
        <w:t xml:space="preserve">Item 6: </w:t>
      </w:r>
      <w:r w:rsidR="00EC54D0" w:rsidRPr="001D6B32">
        <w:t>Benefits Planning Cross-Advisory Workgroup</w:t>
      </w:r>
      <w:r w:rsidR="005633DD" w:rsidRPr="001D6B32">
        <w:t xml:space="preserve"> </w:t>
      </w:r>
      <w:r w:rsidR="007D5AB8" w:rsidRPr="001D6B32">
        <w:t xml:space="preserve">Report Out </w:t>
      </w:r>
    </w:p>
    <w:p w14:paraId="41098D6E" w14:textId="6B7391CF" w:rsidR="00964840" w:rsidRPr="006F43D5" w:rsidRDefault="000B4C8B" w:rsidP="006F43D5">
      <w:pPr>
        <w:rPr>
          <w:rFonts w:cs="Arial"/>
          <w:color w:val="000000" w:themeColor="text1"/>
          <w:szCs w:val="28"/>
        </w:rPr>
      </w:pPr>
      <w:r>
        <w:rPr>
          <w:rFonts w:cs="Arial"/>
          <w:color w:val="000000" w:themeColor="text1"/>
          <w:szCs w:val="28"/>
        </w:rPr>
        <w:t>M</w:t>
      </w:r>
      <w:r w:rsidRPr="00E051EC">
        <w:rPr>
          <w:rFonts w:cs="Arial"/>
          <w:color w:val="000000" w:themeColor="text1"/>
          <w:szCs w:val="28"/>
        </w:rPr>
        <w:t xml:space="preserve">aria </w:t>
      </w:r>
      <w:proofErr w:type="spellStart"/>
      <w:r w:rsidRPr="00E051EC">
        <w:rPr>
          <w:rFonts w:cs="Arial"/>
          <w:color w:val="000000" w:themeColor="text1"/>
          <w:szCs w:val="28"/>
        </w:rPr>
        <w:t>Aliferis-Gjerde</w:t>
      </w:r>
      <w:proofErr w:type="spellEnd"/>
      <w:r>
        <w:rPr>
          <w:rFonts w:cs="Arial"/>
          <w:color w:val="000000" w:themeColor="text1"/>
          <w:szCs w:val="28"/>
        </w:rPr>
        <w:t xml:space="preserve">, Executive Officer, </w:t>
      </w:r>
      <w:r w:rsidRPr="00E051EC">
        <w:rPr>
          <w:color w:val="000000" w:themeColor="text1"/>
        </w:rPr>
        <w:t>California Committee on the Employment of People with Disabilities</w:t>
      </w:r>
      <w:r w:rsidRPr="00E051EC">
        <w:rPr>
          <w:rFonts w:cs="Arial"/>
          <w:color w:val="000000" w:themeColor="text1"/>
          <w:szCs w:val="28"/>
        </w:rPr>
        <w:t xml:space="preserve"> (CCEPD)</w:t>
      </w:r>
      <w:r w:rsidR="005662AD">
        <w:rPr>
          <w:rFonts w:cs="Arial"/>
          <w:color w:val="000000" w:themeColor="text1"/>
          <w:szCs w:val="28"/>
        </w:rPr>
        <w:t xml:space="preserve">, </w:t>
      </w:r>
      <w:r>
        <w:rPr>
          <w:rFonts w:cs="Arial"/>
          <w:color w:val="000000" w:themeColor="text1"/>
          <w:szCs w:val="28"/>
        </w:rPr>
        <w:t>provide</w:t>
      </w:r>
      <w:r w:rsidR="005662AD">
        <w:rPr>
          <w:rFonts w:cs="Arial"/>
          <w:color w:val="000000" w:themeColor="text1"/>
          <w:szCs w:val="28"/>
        </w:rPr>
        <w:t xml:space="preserve">d a brief </w:t>
      </w:r>
      <w:r>
        <w:rPr>
          <w:rFonts w:cs="Arial"/>
          <w:color w:val="000000" w:themeColor="text1"/>
          <w:szCs w:val="28"/>
        </w:rPr>
        <w:t xml:space="preserve">update on the efforts of the cross-advisory body workgroup </w:t>
      </w:r>
      <w:r w:rsidR="00847E64">
        <w:rPr>
          <w:rFonts w:cs="Arial"/>
          <w:color w:val="000000" w:themeColor="text1"/>
          <w:szCs w:val="28"/>
        </w:rPr>
        <w:t xml:space="preserve">that is developing a report to highlight systemic, state policy issues. </w:t>
      </w:r>
      <w:r w:rsidR="006F43D5">
        <w:rPr>
          <w:rFonts w:cs="Arial"/>
          <w:color w:val="000000" w:themeColor="text1"/>
          <w:szCs w:val="28"/>
        </w:rPr>
        <w:t xml:space="preserve">The organizations participating on the workgroup include: </w:t>
      </w:r>
      <w:r w:rsidR="00964840" w:rsidRPr="006F43D5">
        <w:rPr>
          <w:rFonts w:cs="Arial"/>
          <w:color w:val="000000" w:themeColor="text1"/>
          <w:szCs w:val="28"/>
        </w:rPr>
        <w:t xml:space="preserve">CCEPD, SRC, </w:t>
      </w:r>
      <w:proofErr w:type="spellStart"/>
      <w:r w:rsidR="00964840" w:rsidRPr="006F43D5">
        <w:rPr>
          <w:rFonts w:cs="Arial"/>
          <w:color w:val="000000" w:themeColor="text1"/>
          <w:szCs w:val="28"/>
        </w:rPr>
        <w:t>CalABLE</w:t>
      </w:r>
      <w:proofErr w:type="spellEnd"/>
      <w:r w:rsidR="00964840" w:rsidRPr="006F43D5">
        <w:rPr>
          <w:rFonts w:cs="Arial"/>
          <w:color w:val="000000" w:themeColor="text1"/>
          <w:szCs w:val="28"/>
        </w:rPr>
        <w:t xml:space="preserve">, California Behavioral Health Planning Council, California Commission on Aging, State Council on Developmental Disabilities, and the State Independent Living Council, DOR, Department of Developmental Services, Employment Development Department, </w:t>
      </w:r>
      <w:r w:rsidR="006F43D5">
        <w:rPr>
          <w:rFonts w:cs="Arial"/>
          <w:color w:val="000000" w:themeColor="text1"/>
          <w:szCs w:val="28"/>
        </w:rPr>
        <w:t xml:space="preserve">and the </w:t>
      </w:r>
      <w:r w:rsidR="00964840" w:rsidRPr="006F43D5">
        <w:rPr>
          <w:rFonts w:cs="Arial"/>
          <w:color w:val="000000" w:themeColor="text1"/>
          <w:szCs w:val="28"/>
        </w:rPr>
        <w:t>California Workforce Development Board.</w:t>
      </w:r>
      <w:r w:rsidR="006F43D5">
        <w:rPr>
          <w:rFonts w:cs="Arial"/>
          <w:color w:val="000000" w:themeColor="text1"/>
          <w:szCs w:val="28"/>
        </w:rPr>
        <w:t xml:space="preserve"> The workgroup began meeting in March 2023 and will continue meeting monthly until a report that includes policy recommendations is finalized. During the March 2023 workgroup meeting, the goals and objectives of the workgroup were discussed. In April 2023, the workgroup received a presentation from the Department of Health Care Services and </w:t>
      </w:r>
      <w:r w:rsidR="00230DFA">
        <w:rPr>
          <w:rFonts w:cs="Arial"/>
          <w:color w:val="000000" w:themeColor="text1"/>
          <w:szCs w:val="28"/>
        </w:rPr>
        <w:t>discussed</w:t>
      </w:r>
      <w:r w:rsidR="006F43D5">
        <w:rPr>
          <w:rFonts w:cs="Arial"/>
          <w:color w:val="000000" w:themeColor="text1"/>
          <w:szCs w:val="28"/>
        </w:rPr>
        <w:t xml:space="preserve"> the elimination of the asset limits for Medi-Cal programs. In May 2023, benefits counselors discussed issues and barriers. In June 2023, the goal is to have consumers and/or family members share information regarding benefits planning challenges. Future topics will include supports for transition age youth, long term services and supports, and looking at what other states are doing. SRC members commented that it is interesting to hear what other states are doing, and compelling to hear consumer stories.</w:t>
      </w:r>
      <w:r w:rsidR="006F43D5" w:rsidRPr="006F43D5">
        <w:rPr>
          <w:rFonts w:cs="Arial"/>
          <w:color w:val="000000" w:themeColor="text1"/>
          <w:szCs w:val="28"/>
        </w:rPr>
        <w:t xml:space="preserve"> </w:t>
      </w:r>
    </w:p>
    <w:p w14:paraId="43C7C598" w14:textId="622DAA72" w:rsidR="005F2D14" w:rsidRPr="001D6B32" w:rsidRDefault="005F2D14" w:rsidP="00B523CE">
      <w:pPr>
        <w:rPr>
          <w:rFonts w:cs="Arial"/>
          <w:bCs/>
          <w:i/>
          <w:iCs/>
          <w:szCs w:val="28"/>
        </w:rPr>
      </w:pPr>
    </w:p>
    <w:p w14:paraId="4F9571A7" w14:textId="6A4B93FB" w:rsidR="00D77608" w:rsidRDefault="00E93E34" w:rsidP="00CF3557">
      <w:pPr>
        <w:pStyle w:val="Heading1"/>
      </w:pPr>
      <w:r w:rsidRPr="001D6B32">
        <w:t xml:space="preserve">Item </w:t>
      </w:r>
      <w:r w:rsidR="003E5785" w:rsidRPr="001D6B32">
        <w:t>7</w:t>
      </w:r>
      <w:r w:rsidRPr="001D6B32">
        <w:t>:</w:t>
      </w:r>
      <w:r w:rsidR="002E4996" w:rsidRPr="001D6B32">
        <w:t xml:space="preserve"> </w:t>
      </w:r>
      <w:r w:rsidR="00CF3557">
        <w:t xml:space="preserve">DOR </w:t>
      </w:r>
      <w:r w:rsidR="00847E64">
        <w:t>S</w:t>
      </w:r>
      <w:r w:rsidR="00CF3557">
        <w:t xml:space="preserve">tudent Services </w:t>
      </w:r>
      <w:r w:rsidR="00847E64">
        <w:t>U</w:t>
      </w:r>
      <w:r w:rsidR="00CF3557">
        <w:t xml:space="preserve">pdate </w:t>
      </w:r>
    </w:p>
    <w:p w14:paraId="48806CC7" w14:textId="4BADA451" w:rsidR="00791AAF" w:rsidRDefault="00847E64" w:rsidP="00CD272D">
      <w:pPr>
        <w:rPr>
          <w:rFonts w:cs="Arial"/>
          <w:szCs w:val="28"/>
        </w:rPr>
      </w:pPr>
      <w:r>
        <w:t>Carol Asch, Assistant Deputy Director, DOR VR Employment Division</w:t>
      </w:r>
      <w:r w:rsidR="00230DFA">
        <w:t>,</w:t>
      </w:r>
      <w:r w:rsidR="00D043F3">
        <w:t xml:space="preserve"> </w:t>
      </w:r>
      <w:r w:rsidR="00CD272D">
        <w:t xml:space="preserve">joined the SRC to discuss the following questions related to </w:t>
      </w:r>
      <w:r w:rsidR="00CF1CE3">
        <w:t>S</w:t>
      </w:r>
      <w:r w:rsidR="00CD272D">
        <w:t xml:space="preserve">tudent </w:t>
      </w:r>
      <w:r w:rsidR="00CF1CE3">
        <w:t>S</w:t>
      </w:r>
      <w:r w:rsidR="00CD272D">
        <w:t xml:space="preserve">ervices that were identified by the SRC’s Policy Committee: </w:t>
      </w:r>
      <w:r>
        <w:t xml:space="preserve"> </w:t>
      </w:r>
    </w:p>
    <w:p w14:paraId="18C9E76A" w14:textId="77777777" w:rsidR="00E11B14" w:rsidRPr="00E11B14" w:rsidRDefault="00E11B14" w:rsidP="00E11B14">
      <w:pPr>
        <w:rPr>
          <w:rFonts w:cs="Arial"/>
          <w:szCs w:val="28"/>
        </w:rPr>
      </w:pPr>
    </w:p>
    <w:p w14:paraId="5B64C19D" w14:textId="6F868BA0" w:rsidR="00361586" w:rsidRPr="00CD272D" w:rsidRDefault="00791AAF" w:rsidP="00791AAF">
      <w:pPr>
        <w:rPr>
          <w:rFonts w:cs="Arial"/>
          <w:szCs w:val="28"/>
          <w:u w:val="single"/>
        </w:rPr>
      </w:pPr>
      <w:r w:rsidRPr="00CD272D">
        <w:rPr>
          <w:rFonts w:cs="Arial"/>
          <w:szCs w:val="28"/>
          <w:u w:val="single"/>
        </w:rPr>
        <w:t xml:space="preserve">How many </w:t>
      </w:r>
      <w:r w:rsidR="00764CB8">
        <w:rPr>
          <w:rFonts w:cs="Arial"/>
          <w:szCs w:val="28"/>
          <w:u w:val="single"/>
        </w:rPr>
        <w:t>Community Rehabilitation Programs (</w:t>
      </w:r>
      <w:r w:rsidRPr="00CD272D">
        <w:rPr>
          <w:rFonts w:cs="Arial"/>
          <w:szCs w:val="28"/>
          <w:u w:val="single"/>
        </w:rPr>
        <w:t>CRPs</w:t>
      </w:r>
      <w:r w:rsidR="00764CB8">
        <w:rPr>
          <w:rFonts w:cs="Arial"/>
          <w:szCs w:val="28"/>
          <w:u w:val="single"/>
        </w:rPr>
        <w:t>)</w:t>
      </w:r>
      <w:r w:rsidRPr="00CD272D">
        <w:rPr>
          <w:rFonts w:cs="Arial"/>
          <w:szCs w:val="28"/>
          <w:u w:val="single"/>
        </w:rPr>
        <w:t xml:space="preserve"> are providing DOR </w:t>
      </w:r>
      <w:r w:rsidR="00764CB8">
        <w:rPr>
          <w:rFonts w:cs="Arial"/>
          <w:szCs w:val="28"/>
          <w:u w:val="single"/>
        </w:rPr>
        <w:t>S</w:t>
      </w:r>
      <w:r w:rsidRPr="00CD272D">
        <w:rPr>
          <w:rFonts w:cs="Arial"/>
          <w:szCs w:val="28"/>
          <w:u w:val="single"/>
        </w:rPr>
        <w:t xml:space="preserve">tudent </w:t>
      </w:r>
      <w:r w:rsidR="00764CB8">
        <w:rPr>
          <w:rFonts w:cs="Arial"/>
          <w:szCs w:val="28"/>
          <w:u w:val="single"/>
        </w:rPr>
        <w:t>S</w:t>
      </w:r>
      <w:r w:rsidRPr="00CD272D">
        <w:rPr>
          <w:rFonts w:cs="Arial"/>
          <w:szCs w:val="28"/>
          <w:u w:val="single"/>
        </w:rPr>
        <w:t>ervices?</w:t>
      </w:r>
      <w:r w:rsidR="00CD272D" w:rsidRPr="00CD272D">
        <w:rPr>
          <w:rFonts w:cs="Arial"/>
          <w:szCs w:val="28"/>
          <w:u w:val="single"/>
        </w:rPr>
        <w:t xml:space="preserve"> Is data available</w:t>
      </w:r>
      <w:r w:rsidRPr="00CD272D">
        <w:rPr>
          <w:rFonts w:cs="Arial"/>
          <w:szCs w:val="28"/>
          <w:u w:val="single"/>
        </w:rPr>
        <w:t xml:space="preserve"> </w:t>
      </w:r>
      <w:r w:rsidR="00E11B14" w:rsidRPr="00CD272D">
        <w:rPr>
          <w:rFonts w:cs="Arial"/>
          <w:szCs w:val="28"/>
          <w:u w:val="single"/>
        </w:rPr>
        <w:t>on the growth/expansion of student services since bringing on the CRPs in January 2023</w:t>
      </w:r>
      <w:r w:rsidR="00CD272D" w:rsidRPr="00CD272D">
        <w:rPr>
          <w:rFonts w:cs="Arial"/>
          <w:szCs w:val="28"/>
          <w:u w:val="single"/>
        </w:rPr>
        <w:t>?</w:t>
      </w:r>
    </w:p>
    <w:p w14:paraId="005D9623" w14:textId="72919655" w:rsidR="00361586" w:rsidRDefault="00361586" w:rsidP="00455103">
      <w:pPr>
        <w:pStyle w:val="ListParagraph"/>
        <w:numPr>
          <w:ilvl w:val="0"/>
          <w:numId w:val="1"/>
        </w:numPr>
        <w:rPr>
          <w:rFonts w:cs="Arial"/>
          <w:szCs w:val="28"/>
        </w:rPr>
      </w:pPr>
      <w:r w:rsidRPr="00361586">
        <w:rPr>
          <w:rFonts w:cs="Arial"/>
          <w:szCs w:val="28"/>
        </w:rPr>
        <w:t>The DOR Community Resources Division (CRD) is collaborating with vendors as they work to become certified to provide additional student services.</w:t>
      </w:r>
    </w:p>
    <w:p w14:paraId="1BB32555" w14:textId="004481AA" w:rsidR="00361586" w:rsidRDefault="00361586" w:rsidP="00455103">
      <w:pPr>
        <w:pStyle w:val="ListParagraph"/>
        <w:numPr>
          <w:ilvl w:val="0"/>
          <w:numId w:val="1"/>
        </w:numPr>
        <w:rPr>
          <w:rFonts w:cs="Arial"/>
          <w:szCs w:val="28"/>
        </w:rPr>
      </w:pPr>
      <w:r>
        <w:rPr>
          <w:rFonts w:cs="Arial"/>
          <w:szCs w:val="28"/>
        </w:rPr>
        <w:t>Over 50 CRPs are currently providing Student Services, including work experience opportunities.</w:t>
      </w:r>
    </w:p>
    <w:p w14:paraId="0851CD40" w14:textId="04A7D943" w:rsidR="00E11B14" w:rsidRPr="00E11B14" w:rsidRDefault="00361586" w:rsidP="00455103">
      <w:pPr>
        <w:pStyle w:val="ListParagraph"/>
        <w:numPr>
          <w:ilvl w:val="0"/>
          <w:numId w:val="1"/>
        </w:numPr>
        <w:rPr>
          <w:rFonts w:cs="Arial"/>
          <w:szCs w:val="28"/>
        </w:rPr>
      </w:pPr>
      <w:r>
        <w:rPr>
          <w:rFonts w:cs="Arial"/>
          <w:szCs w:val="28"/>
        </w:rPr>
        <w:t xml:space="preserve">In January 2023, </w:t>
      </w:r>
      <w:r w:rsidR="00E11B14">
        <w:rPr>
          <w:rFonts w:cs="Arial"/>
          <w:szCs w:val="28"/>
        </w:rPr>
        <w:t xml:space="preserve">CRPs </w:t>
      </w:r>
      <w:r w:rsidR="00764CB8">
        <w:rPr>
          <w:rFonts w:cs="Arial"/>
          <w:szCs w:val="28"/>
        </w:rPr>
        <w:t>started providing</w:t>
      </w:r>
      <w:r w:rsidR="00E11B14">
        <w:rPr>
          <w:rFonts w:cs="Arial"/>
          <w:szCs w:val="28"/>
        </w:rPr>
        <w:t xml:space="preserve"> all five student services (1 - j</w:t>
      </w:r>
      <w:r w:rsidR="00E11B14" w:rsidRPr="00E11B14">
        <w:rPr>
          <w:rFonts w:cs="Arial"/>
          <w:szCs w:val="28"/>
        </w:rPr>
        <w:t xml:space="preserve">ob </w:t>
      </w:r>
      <w:r w:rsidR="00E11B14">
        <w:rPr>
          <w:rFonts w:cs="Arial"/>
          <w:szCs w:val="28"/>
        </w:rPr>
        <w:t>e</w:t>
      </w:r>
      <w:r w:rsidR="00E11B14" w:rsidRPr="00E11B14">
        <w:rPr>
          <w:rFonts w:cs="Arial"/>
          <w:szCs w:val="28"/>
        </w:rPr>
        <w:t xml:space="preserve">xploration </w:t>
      </w:r>
      <w:r w:rsidR="00E11B14">
        <w:rPr>
          <w:rFonts w:cs="Arial"/>
          <w:szCs w:val="28"/>
        </w:rPr>
        <w:t>c</w:t>
      </w:r>
      <w:r w:rsidR="00E11B14" w:rsidRPr="00E11B14">
        <w:rPr>
          <w:rFonts w:cs="Arial"/>
          <w:szCs w:val="28"/>
        </w:rPr>
        <w:t>ounseling</w:t>
      </w:r>
      <w:r w:rsidR="00E11B14">
        <w:rPr>
          <w:rFonts w:cs="Arial"/>
          <w:szCs w:val="28"/>
        </w:rPr>
        <w:t>, 2 - w</w:t>
      </w:r>
      <w:r w:rsidR="00E11B14" w:rsidRPr="00E11B14">
        <w:rPr>
          <w:rFonts w:cs="Arial"/>
          <w:szCs w:val="28"/>
        </w:rPr>
        <w:t>ork-</w:t>
      </w:r>
      <w:r w:rsidR="00E11B14">
        <w:rPr>
          <w:rFonts w:cs="Arial"/>
          <w:szCs w:val="28"/>
        </w:rPr>
        <w:t>b</w:t>
      </w:r>
      <w:r w:rsidR="00E11B14" w:rsidRPr="00E11B14">
        <w:rPr>
          <w:rFonts w:cs="Arial"/>
          <w:szCs w:val="28"/>
        </w:rPr>
        <w:t xml:space="preserve">ased </w:t>
      </w:r>
      <w:r w:rsidR="00E11B14">
        <w:rPr>
          <w:rFonts w:cs="Arial"/>
          <w:szCs w:val="28"/>
        </w:rPr>
        <w:t>l</w:t>
      </w:r>
      <w:r w:rsidR="00E11B14" w:rsidRPr="00E11B14">
        <w:rPr>
          <w:rFonts w:cs="Arial"/>
          <w:szCs w:val="28"/>
        </w:rPr>
        <w:t>earning</w:t>
      </w:r>
      <w:r w:rsidR="00E11B14">
        <w:rPr>
          <w:rFonts w:cs="Arial"/>
          <w:szCs w:val="28"/>
        </w:rPr>
        <w:t xml:space="preserve"> e</w:t>
      </w:r>
      <w:r w:rsidR="00E11B14" w:rsidRPr="00E11B14">
        <w:rPr>
          <w:rFonts w:cs="Arial"/>
          <w:szCs w:val="28"/>
        </w:rPr>
        <w:t>xperiences</w:t>
      </w:r>
      <w:r w:rsidR="00E11B14">
        <w:rPr>
          <w:rFonts w:cs="Arial"/>
          <w:szCs w:val="28"/>
        </w:rPr>
        <w:t xml:space="preserve">, 3- </w:t>
      </w:r>
      <w:r w:rsidR="00E11B14">
        <w:rPr>
          <w:rFonts w:cs="Arial"/>
          <w:szCs w:val="28"/>
        </w:rPr>
        <w:lastRenderedPageBreak/>
        <w:t>p</w:t>
      </w:r>
      <w:r w:rsidR="00E11B14" w:rsidRPr="00E11B14">
        <w:rPr>
          <w:rFonts w:cs="Arial"/>
          <w:szCs w:val="28"/>
        </w:rPr>
        <w:t xml:space="preserve">ostsecondary </w:t>
      </w:r>
      <w:r w:rsidR="00E11B14">
        <w:rPr>
          <w:rFonts w:cs="Arial"/>
          <w:szCs w:val="28"/>
        </w:rPr>
        <w:t>e</w:t>
      </w:r>
      <w:r w:rsidR="00E11B14" w:rsidRPr="00E11B14">
        <w:rPr>
          <w:rFonts w:cs="Arial"/>
          <w:szCs w:val="28"/>
        </w:rPr>
        <w:t>ducation</w:t>
      </w:r>
      <w:r w:rsidR="00E11B14">
        <w:rPr>
          <w:rFonts w:cs="Arial"/>
          <w:szCs w:val="28"/>
        </w:rPr>
        <w:t xml:space="preserve"> c</w:t>
      </w:r>
      <w:r w:rsidR="00E11B14" w:rsidRPr="00E11B14">
        <w:rPr>
          <w:rFonts w:cs="Arial"/>
          <w:szCs w:val="28"/>
        </w:rPr>
        <w:t>ounseling</w:t>
      </w:r>
      <w:r w:rsidR="00E11B14">
        <w:rPr>
          <w:rFonts w:cs="Arial"/>
          <w:szCs w:val="28"/>
        </w:rPr>
        <w:t>, 4 - w</w:t>
      </w:r>
      <w:r w:rsidR="00E11B14" w:rsidRPr="00E11B14">
        <w:rPr>
          <w:rFonts w:cs="Arial"/>
          <w:szCs w:val="28"/>
        </w:rPr>
        <w:t xml:space="preserve">orkplace </w:t>
      </w:r>
      <w:r w:rsidR="00E11B14">
        <w:rPr>
          <w:rFonts w:cs="Arial"/>
          <w:szCs w:val="28"/>
        </w:rPr>
        <w:t>r</w:t>
      </w:r>
      <w:r w:rsidR="00E11B14" w:rsidRPr="00E11B14">
        <w:rPr>
          <w:rFonts w:cs="Arial"/>
          <w:szCs w:val="28"/>
        </w:rPr>
        <w:t xml:space="preserve">eadiness </w:t>
      </w:r>
      <w:r w:rsidR="00E11B14">
        <w:rPr>
          <w:rFonts w:cs="Arial"/>
          <w:szCs w:val="28"/>
        </w:rPr>
        <w:t>t</w:t>
      </w:r>
      <w:r w:rsidR="00E11B14" w:rsidRPr="00E11B14">
        <w:rPr>
          <w:rFonts w:cs="Arial"/>
          <w:szCs w:val="28"/>
        </w:rPr>
        <w:t>raining</w:t>
      </w:r>
      <w:r w:rsidR="00E11B14">
        <w:rPr>
          <w:rFonts w:cs="Arial"/>
          <w:szCs w:val="28"/>
        </w:rPr>
        <w:t>, and 5 - i</w:t>
      </w:r>
      <w:r w:rsidR="00E11B14" w:rsidRPr="00E11B14">
        <w:rPr>
          <w:rFonts w:cs="Arial"/>
          <w:szCs w:val="28"/>
        </w:rPr>
        <w:t xml:space="preserve">nstruction in </w:t>
      </w:r>
      <w:r w:rsidR="00E11B14">
        <w:rPr>
          <w:rFonts w:cs="Arial"/>
          <w:szCs w:val="28"/>
        </w:rPr>
        <w:t>s</w:t>
      </w:r>
      <w:r w:rsidR="00E11B14" w:rsidRPr="00E11B14">
        <w:rPr>
          <w:rFonts w:cs="Arial"/>
          <w:szCs w:val="28"/>
        </w:rPr>
        <w:t>elf-</w:t>
      </w:r>
      <w:r w:rsidR="00E11B14">
        <w:rPr>
          <w:rFonts w:cs="Arial"/>
          <w:szCs w:val="28"/>
        </w:rPr>
        <w:t>a</w:t>
      </w:r>
      <w:r w:rsidR="00E11B14" w:rsidRPr="00E11B14">
        <w:rPr>
          <w:rFonts w:cs="Arial"/>
          <w:szCs w:val="28"/>
        </w:rPr>
        <w:t>dvocacy</w:t>
      </w:r>
      <w:r w:rsidR="00764CB8">
        <w:rPr>
          <w:rFonts w:cs="Arial"/>
          <w:szCs w:val="28"/>
        </w:rPr>
        <w:t>.</w:t>
      </w:r>
    </w:p>
    <w:p w14:paraId="6F482B0B" w14:textId="77777777" w:rsidR="00D20FF5" w:rsidRDefault="00D20FF5" w:rsidP="00791AAF">
      <w:pPr>
        <w:rPr>
          <w:rFonts w:cs="Arial"/>
          <w:szCs w:val="28"/>
        </w:rPr>
      </w:pPr>
    </w:p>
    <w:p w14:paraId="15C61366" w14:textId="36469D88" w:rsidR="00D20FF5" w:rsidRPr="00E11B14" w:rsidRDefault="00D20FF5" w:rsidP="00791AAF">
      <w:pPr>
        <w:rPr>
          <w:rFonts w:cs="Arial"/>
          <w:szCs w:val="28"/>
          <w:u w:val="single"/>
        </w:rPr>
      </w:pPr>
      <w:r w:rsidRPr="00E11B14">
        <w:rPr>
          <w:rFonts w:cs="Arial"/>
          <w:szCs w:val="28"/>
          <w:u w:val="single"/>
        </w:rPr>
        <w:t xml:space="preserve">What is working well, and what challenges have been encountered? </w:t>
      </w:r>
      <w:r w:rsidR="00E11B14" w:rsidRPr="00E11B14">
        <w:rPr>
          <w:rFonts w:cs="Arial"/>
          <w:szCs w:val="28"/>
          <w:u w:val="single"/>
        </w:rPr>
        <w:t xml:space="preserve">CRD managers have reported that group services are rolling out. How has this been going, and what has been learned so far? </w:t>
      </w:r>
    </w:p>
    <w:p w14:paraId="102B2AEE" w14:textId="43CF01BF" w:rsidR="00E11B14" w:rsidRDefault="00E11B14" w:rsidP="00455103">
      <w:pPr>
        <w:pStyle w:val="ListParagraph"/>
        <w:numPr>
          <w:ilvl w:val="0"/>
          <w:numId w:val="2"/>
        </w:numPr>
        <w:rPr>
          <w:rFonts w:cs="Arial"/>
          <w:szCs w:val="28"/>
        </w:rPr>
      </w:pPr>
      <w:r>
        <w:rPr>
          <w:rFonts w:cs="Arial"/>
          <w:szCs w:val="28"/>
        </w:rPr>
        <w:t>CRPs are interested in providing Student Services in group formats, a model used by many high school Transition Partnership Programs (TPPs). DOR is working on developing a fee structure for group billing. Currently the only fee structure available is for individual services. Updates on the group fee structure will be available in the future. This challenge is not preventing DOR from moving forward and working with the CRPs, however.</w:t>
      </w:r>
    </w:p>
    <w:p w14:paraId="3360A55C" w14:textId="77777777" w:rsidR="00E11B14" w:rsidRDefault="00E11B14" w:rsidP="00455103">
      <w:pPr>
        <w:pStyle w:val="ListParagraph"/>
        <w:numPr>
          <w:ilvl w:val="0"/>
          <w:numId w:val="2"/>
        </w:numPr>
        <w:rPr>
          <w:rFonts w:cs="Arial"/>
          <w:szCs w:val="28"/>
        </w:rPr>
      </w:pPr>
      <w:r>
        <w:rPr>
          <w:rFonts w:cs="Arial"/>
          <w:szCs w:val="28"/>
        </w:rPr>
        <w:t xml:space="preserve">No reported challenges with service provision. </w:t>
      </w:r>
    </w:p>
    <w:p w14:paraId="7160B867" w14:textId="2011C72C" w:rsidR="00E11B14" w:rsidRDefault="00E11B14" w:rsidP="00455103">
      <w:pPr>
        <w:pStyle w:val="ListParagraph"/>
        <w:numPr>
          <w:ilvl w:val="0"/>
          <w:numId w:val="2"/>
        </w:numPr>
        <w:rPr>
          <w:rFonts w:cs="Arial"/>
          <w:szCs w:val="28"/>
        </w:rPr>
      </w:pPr>
      <w:r>
        <w:rPr>
          <w:rFonts w:cs="Arial"/>
          <w:szCs w:val="28"/>
        </w:rPr>
        <w:t>Some reports that DOR field staff are confused with the different options available</w:t>
      </w:r>
      <w:r w:rsidR="00230DFA">
        <w:rPr>
          <w:rFonts w:cs="Arial"/>
          <w:szCs w:val="28"/>
        </w:rPr>
        <w:t>.</w:t>
      </w:r>
    </w:p>
    <w:p w14:paraId="4DF2E1B7" w14:textId="40B77752" w:rsidR="00D20FF5" w:rsidRDefault="00E11B14" w:rsidP="00455103">
      <w:pPr>
        <w:pStyle w:val="ListParagraph"/>
        <w:numPr>
          <w:ilvl w:val="0"/>
          <w:numId w:val="2"/>
        </w:numPr>
        <w:rPr>
          <w:rFonts w:cs="Arial"/>
          <w:szCs w:val="28"/>
        </w:rPr>
      </w:pPr>
      <w:r>
        <w:rPr>
          <w:rFonts w:cs="Arial"/>
          <w:szCs w:val="28"/>
        </w:rPr>
        <w:t>Staffing can be a challenge for CRP</w:t>
      </w:r>
      <w:r w:rsidR="00230DFA">
        <w:rPr>
          <w:rFonts w:cs="Arial"/>
          <w:szCs w:val="28"/>
        </w:rPr>
        <w:t>s</w:t>
      </w:r>
      <w:r>
        <w:rPr>
          <w:rFonts w:cs="Arial"/>
          <w:szCs w:val="28"/>
        </w:rPr>
        <w:t xml:space="preserve"> in the same geographic regions where DOR has challenges with staffing, like the Redwood Empire and Greater East Bay.</w:t>
      </w:r>
      <w:r w:rsidR="00D20FF5" w:rsidRPr="00E11B14">
        <w:rPr>
          <w:rFonts w:cs="Arial"/>
          <w:szCs w:val="28"/>
        </w:rPr>
        <w:t xml:space="preserve"> </w:t>
      </w:r>
    </w:p>
    <w:p w14:paraId="142A8929" w14:textId="480A1665" w:rsidR="00E11B14" w:rsidRPr="00E11B14" w:rsidRDefault="00E11B14" w:rsidP="00455103">
      <w:pPr>
        <w:pStyle w:val="ListParagraph"/>
        <w:numPr>
          <w:ilvl w:val="0"/>
          <w:numId w:val="2"/>
        </w:numPr>
        <w:rPr>
          <w:rFonts w:cs="Arial"/>
          <w:szCs w:val="28"/>
        </w:rPr>
      </w:pPr>
      <w:r>
        <w:rPr>
          <w:rFonts w:cs="Arial"/>
          <w:szCs w:val="28"/>
        </w:rPr>
        <w:t>DOR welcomes innovative service design and encourages CRPs to develop unique service delivery models.</w:t>
      </w:r>
    </w:p>
    <w:p w14:paraId="742F036B" w14:textId="77777777" w:rsidR="00FA1606" w:rsidRDefault="00FA1606" w:rsidP="00791AAF">
      <w:pPr>
        <w:rPr>
          <w:rFonts w:cs="Arial"/>
          <w:szCs w:val="28"/>
        </w:rPr>
      </w:pPr>
    </w:p>
    <w:p w14:paraId="34CFC442" w14:textId="2843B4D0" w:rsidR="00FA1606" w:rsidRPr="00731C08" w:rsidRDefault="00791AAF" w:rsidP="00FA1606">
      <w:pPr>
        <w:rPr>
          <w:rFonts w:cs="Arial"/>
          <w:szCs w:val="28"/>
          <w:u w:val="single"/>
        </w:rPr>
      </w:pPr>
      <w:r w:rsidRPr="00731C08">
        <w:rPr>
          <w:rFonts w:cs="Arial"/>
          <w:szCs w:val="28"/>
          <w:u w:val="single"/>
        </w:rPr>
        <w:t xml:space="preserve">How are student services being marketed in the different regions throughout California? Is DOR marketing to service providers? </w:t>
      </w:r>
    </w:p>
    <w:p w14:paraId="5771E4F8" w14:textId="77777777" w:rsidR="00731C08" w:rsidRDefault="00731C08" w:rsidP="00455103">
      <w:pPr>
        <w:pStyle w:val="ListParagraph"/>
        <w:numPr>
          <w:ilvl w:val="0"/>
          <w:numId w:val="3"/>
        </w:numPr>
        <w:rPr>
          <w:rFonts w:cs="Arial"/>
          <w:szCs w:val="28"/>
        </w:rPr>
      </w:pPr>
      <w:r>
        <w:rPr>
          <w:rFonts w:cs="Arial"/>
          <w:szCs w:val="28"/>
        </w:rPr>
        <w:t xml:space="preserve">DOR </w:t>
      </w:r>
      <w:r w:rsidR="00FA1606" w:rsidRPr="00731C08">
        <w:rPr>
          <w:rFonts w:cs="Arial"/>
          <w:szCs w:val="28"/>
        </w:rPr>
        <w:t xml:space="preserve">CRD </w:t>
      </w:r>
      <w:r>
        <w:rPr>
          <w:rFonts w:cs="Arial"/>
          <w:szCs w:val="28"/>
        </w:rPr>
        <w:t>S</w:t>
      </w:r>
      <w:r w:rsidR="00FA1606" w:rsidRPr="00731C08">
        <w:rPr>
          <w:rFonts w:cs="Arial"/>
          <w:szCs w:val="28"/>
        </w:rPr>
        <w:t>pecialists reach out to all the CRPs that are currently providing service</w:t>
      </w:r>
      <w:r>
        <w:rPr>
          <w:rFonts w:cs="Arial"/>
          <w:szCs w:val="28"/>
        </w:rPr>
        <w:t xml:space="preserve">s by sending emails with information on the service structure. The CRD Specialists also conduct local outreach to entities interested in becoming a CRP. </w:t>
      </w:r>
    </w:p>
    <w:p w14:paraId="1F7EE6A4" w14:textId="312EC161" w:rsidR="002B7CD0" w:rsidRPr="002B7CD0" w:rsidRDefault="00722F13" w:rsidP="00455103">
      <w:pPr>
        <w:pStyle w:val="ListParagraph"/>
        <w:numPr>
          <w:ilvl w:val="0"/>
          <w:numId w:val="3"/>
        </w:numPr>
        <w:rPr>
          <w:rFonts w:cs="Arial"/>
          <w:szCs w:val="28"/>
        </w:rPr>
      </w:pPr>
      <w:r>
        <w:rPr>
          <w:rFonts w:cs="Arial"/>
          <w:szCs w:val="28"/>
        </w:rPr>
        <w:t xml:space="preserve">DOR maintains a list that is updated annually with information about each </w:t>
      </w:r>
      <w:r w:rsidR="00764CB8">
        <w:rPr>
          <w:rFonts w:cs="Arial"/>
          <w:szCs w:val="28"/>
        </w:rPr>
        <w:t>Local Education Agency (LEA).</w:t>
      </w:r>
      <w:r>
        <w:rPr>
          <w:rFonts w:cs="Arial"/>
          <w:szCs w:val="28"/>
        </w:rPr>
        <w:t xml:space="preserve"> Every school district has an assigned DOR Counselor or Team Manager liaison that sends out information to the school district on the availability of Student Services. In addition, outreach takes place locally at workforce development board meetings, parent groups, etc.</w:t>
      </w:r>
    </w:p>
    <w:p w14:paraId="6262F559" w14:textId="26CD7591" w:rsidR="002B7CD0" w:rsidRPr="002B7CD0" w:rsidRDefault="002B7CD0" w:rsidP="00455103">
      <w:pPr>
        <w:pStyle w:val="ListParagraph"/>
        <w:numPr>
          <w:ilvl w:val="0"/>
          <w:numId w:val="3"/>
        </w:numPr>
        <w:rPr>
          <w:rFonts w:cs="Arial"/>
          <w:szCs w:val="28"/>
        </w:rPr>
      </w:pPr>
      <w:r w:rsidRPr="002B7CD0">
        <w:rPr>
          <w:rFonts w:cs="Arial"/>
          <w:szCs w:val="28"/>
        </w:rPr>
        <w:t>DOR is working with incarcerated youth</w:t>
      </w:r>
      <w:r w:rsidR="00230DFA">
        <w:rPr>
          <w:rFonts w:cs="Arial"/>
          <w:szCs w:val="28"/>
        </w:rPr>
        <w:t xml:space="preserve"> and</w:t>
      </w:r>
      <w:r w:rsidRPr="002B7CD0">
        <w:rPr>
          <w:rFonts w:cs="Arial"/>
          <w:szCs w:val="28"/>
        </w:rPr>
        <w:t xml:space="preserve"> will provide updates to the Office of Youth and Community Restoration about DOR’s efforts. DOR is also working with the foster care system through </w:t>
      </w:r>
      <w:r w:rsidR="00230DFA">
        <w:rPr>
          <w:rFonts w:cs="Arial"/>
          <w:szCs w:val="28"/>
        </w:rPr>
        <w:t xml:space="preserve">a </w:t>
      </w:r>
      <w:r w:rsidRPr="002B7CD0">
        <w:rPr>
          <w:rFonts w:cs="Arial"/>
          <w:szCs w:val="28"/>
        </w:rPr>
        <w:t xml:space="preserve">collaborative </w:t>
      </w:r>
      <w:r w:rsidR="00764CB8">
        <w:rPr>
          <w:rFonts w:cs="Arial"/>
          <w:szCs w:val="28"/>
        </w:rPr>
        <w:t xml:space="preserve">Memorandum of Understanding (MOU) </w:t>
      </w:r>
      <w:r w:rsidRPr="002B7CD0">
        <w:rPr>
          <w:rFonts w:cs="Arial"/>
          <w:szCs w:val="28"/>
        </w:rPr>
        <w:t xml:space="preserve">with counties. </w:t>
      </w:r>
    </w:p>
    <w:p w14:paraId="468D4E53" w14:textId="77777777" w:rsidR="00FA1606" w:rsidRPr="00FA1606" w:rsidRDefault="00FA1606" w:rsidP="00FA1606">
      <w:pPr>
        <w:rPr>
          <w:rFonts w:cs="Arial"/>
          <w:szCs w:val="28"/>
        </w:rPr>
      </w:pPr>
    </w:p>
    <w:p w14:paraId="1D549789" w14:textId="77777777" w:rsidR="00791AAF" w:rsidRPr="00722F13" w:rsidRDefault="00791AAF" w:rsidP="00731C08">
      <w:pPr>
        <w:rPr>
          <w:rFonts w:cs="Arial"/>
          <w:szCs w:val="28"/>
          <w:u w:val="single"/>
        </w:rPr>
      </w:pPr>
      <w:r w:rsidRPr="00722F13">
        <w:rPr>
          <w:rFonts w:cs="Arial"/>
          <w:szCs w:val="28"/>
          <w:u w:val="single"/>
        </w:rPr>
        <w:t xml:space="preserve">How many Local Education Agencies (LEAs) are actively participating with DOR to provide student services? </w:t>
      </w:r>
    </w:p>
    <w:p w14:paraId="61FA2519" w14:textId="01F6DCDA" w:rsidR="00FA1606" w:rsidRDefault="00722F13" w:rsidP="00455103">
      <w:pPr>
        <w:pStyle w:val="ListParagraph"/>
        <w:numPr>
          <w:ilvl w:val="0"/>
          <w:numId w:val="3"/>
        </w:numPr>
        <w:rPr>
          <w:rFonts w:cs="Arial"/>
          <w:szCs w:val="28"/>
        </w:rPr>
      </w:pPr>
      <w:r>
        <w:rPr>
          <w:rFonts w:cs="Arial"/>
          <w:szCs w:val="28"/>
        </w:rPr>
        <w:t xml:space="preserve">DOR does not collect data by school district but captures data by county and city. DOR receives information from CDE by county on how many students with disabilities have </w:t>
      </w:r>
      <w:r w:rsidR="00764CB8">
        <w:rPr>
          <w:rFonts w:cs="Arial"/>
          <w:szCs w:val="28"/>
        </w:rPr>
        <w:t>Individualized Education Plans (IEP).</w:t>
      </w:r>
      <w:r>
        <w:rPr>
          <w:rFonts w:cs="Arial"/>
          <w:szCs w:val="28"/>
        </w:rPr>
        <w:t xml:space="preserve"> </w:t>
      </w:r>
    </w:p>
    <w:p w14:paraId="522DADDA" w14:textId="6E7C5603" w:rsidR="00722F13" w:rsidRDefault="00722F13" w:rsidP="00455103">
      <w:pPr>
        <w:pStyle w:val="ListParagraph"/>
        <w:numPr>
          <w:ilvl w:val="0"/>
          <w:numId w:val="3"/>
        </w:numPr>
        <w:rPr>
          <w:rFonts w:cs="Arial"/>
          <w:szCs w:val="28"/>
        </w:rPr>
      </w:pPr>
      <w:r>
        <w:rPr>
          <w:rFonts w:cs="Arial"/>
          <w:szCs w:val="28"/>
        </w:rPr>
        <w:lastRenderedPageBreak/>
        <w:t xml:space="preserve">DOR is serving students with disabilities in all 58 counties and reaches out to every school district. </w:t>
      </w:r>
    </w:p>
    <w:p w14:paraId="15792422" w14:textId="0BA79860" w:rsidR="00722F13" w:rsidRDefault="00722F13" w:rsidP="00455103">
      <w:pPr>
        <w:pStyle w:val="ListParagraph"/>
        <w:numPr>
          <w:ilvl w:val="0"/>
          <w:numId w:val="3"/>
        </w:numPr>
        <w:rPr>
          <w:rFonts w:cs="Arial"/>
          <w:szCs w:val="28"/>
        </w:rPr>
      </w:pPr>
      <w:r>
        <w:rPr>
          <w:rFonts w:cs="Arial"/>
          <w:szCs w:val="28"/>
        </w:rPr>
        <w:t>DOR has 103 TPPs with school districts, providing all five Student Services.</w:t>
      </w:r>
    </w:p>
    <w:p w14:paraId="42AD683F" w14:textId="20C0EB4D" w:rsidR="00722F13" w:rsidRDefault="00722F13" w:rsidP="00455103">
      <w:pPr>
        <w:pStyle w:val="ListParagraph"/>
        <w:numPr>
          <w:ilvl w:val="0"/>
          <w:numId w:val="3"/>
        </w:numPr>
        <w:rPr>
          <w:rFonts w:cs="Arial"/>
          <w:szCs w:val="28"/>
        </w:rPr>
      </w:pPr>
      <w:r>
        <w:rPr>
          <w:rFonts w:cs="Arial"/>
          <w:szCs w:val="28"/>
        </w:rPr>
        <w:t xml:space="preserve">DOR has 59 We Can Work contracts with school district, providing paid work experience opportunities for students. </w:t>
      </w:r>
    </w:p>
    <w:p w14:paraId="7F8084E2" w14:textId="2D553922" w:rsidR="00722F13" w:rsidRDefault="00722F13" w:rsidP="00455103">
      <w:pPr>
        <w:pStyle w:val="ListParagraph"/>
        <w:numPr>
          <w:ilvl w:val="0"/>
          <w:numId w:val="3"/>
        </w:numPr>
        <w:rPr>
          <w:rFonts w:cs="Arial"/>
          <w:szCs w:val="28"/>
        </w:rPr>
      </w:pPr>
      <w:r>
        <w:rPr>
          <w:rFonts w:cs="Arial"/>
          <w:szCs w:val="28"/>
        </w:rPr>
        <w:t xml:space="preserve">There are seven We Can Work contracts in school districts that have a TPP contract. </w:t>
      </w:r>
    </w:p>
    <w:p w14:paraId="5BC3AE8D" w14:textId="77777777" w:rsidR="00FA1606" w:rsidRPr="00FA1606" w:rsidRDefault="00FA1606" w:rsidP="00FA1606">
      <w:pPr>
        <w:rPr>
          <w:rFonts w:cs="Arial"/>
          <w:szCs w:val="28"/>
        </w:rPr>
      </w:pPr>
    </w:p>
    <w:p w14:paraId="0A5F8E51" w14:textId="4A27C263" w:rsidR="00873485" w:rsidRPr="002B7CD0" w:rsidRDefault="00791AAF" w:rsidP="00873485">
      <w:pPr>
        <w:rPr>
          <w:rFonts w:cs="Arial"/>
          <w:szCs w:val="28"/>
          <w:u w:val="single"/>
        </w:rPr>
      </w:pPr>
      <w:r w:rsidRPr="00722F13">
        <w:rPr>
          <w:rFonts w:cs="Arial"/>
          <w:szCs w:val="28"/>
          <w:u w:val="single"/>
        </w:rPr>
        <w:t>There was a recent addition to the California Education Code 45125.1a requiring entities that contract with an LEA to have those individuals on the contract fingerprinted if they are going to be working with students outside of the direct supervision of LEA staff, and this has had a chilling effect on work experience programs. Can DOR advocate on this issue and/or perhaps bring forth a legislative proposal to amend the law?</w:t>
      </w:r>
    </w:p>
    <w:p w14:paraId="2792DA79" w14:textId="2C3DF62D" w:rsidR="00122375" w:rsidRDefault="00122375" w:rsidP="00455103">
      <w:pPr>
        <w:pStyle w:val="ListParagraph"/>
        <w:numPr>
          <w:ilvl w:val="0"/>
          <w:numId w:val="4"/>
        </w:numPr>
        <w:rPr>
          <w:rFonts w:cs="Arial"/>
          <w:szCs w:val="28"/>
        </w:rPr>
      </w:pPr>
      <w:r>
        <w:rPr>
          <w:rFonts w:cs="Arial"/>
          <w:szCs w:val="28"/>
        </w:rPr>
        <w:t xml:space="preserve">There have been reports that this new requirement was having a </w:t>
      </w:r>
      <w:r w:rsidR="00873485" w:rsidRPr="00122375">
        <w:rPr>
          <w:rFonts w:cs="Arial"/>
          <w:szCs w:val="28"/>
        </w:rPr>
        <w:t>negative impact on businesses and local partners that did</w:t>
      </w:r>
      <w:r>
        <w:rPr>
          <w:rFonts w:cs="Arial"/>
          <w:szCs w:val="28"/>
        </w:rPr>
        <w:t xml:space="preserve"> not want to have </w:t>
      </w:r>
      <w:proofErr w:type="gramStart"/>
      <w:r>
        <w:rPr>
          <w:rFonts w:cs="Arial"/>
          <w:szCs w:val="28"/>
        </w:rPr>
        <w:t>all of</w:t>
      </w:r>
      <w:proofErr w:type="gramEnd"/>
      <w:r>
        <w:rPr>
          <w:rFonts w:cs="Arial"/>
          <w:szCs w:val="28"/>
        </w:rPr>
        <w:t xml:space="preserve"> their employees fingerprinted. Impacts to all students involved in work experience and </w:t>
      </w:r>
      <w:r w:rsidR="00230DFA">
        <w:rPr>
          <w:rFonts w:cs="Arial"/>
          <w:szCs w:val="28"/>
        </w:rPr>
        <w:t>Career Technical Education</w:t>
      </w:r>
      <w:r>
        <w:rPr>
          <w:rFonts w:cs="Arial"/>
          <w:szCs w:val="28"/>
        </w:rPr>
        <w:t xml:space="preserve"> programs were unintended. </w:t>
      </w:r>
    </w:p>
    <w:p w14:paraId="7412EFEC" w14:textId="5CB63BC0" w:rsidR="00122375" w:rsidRDefault="00873485" w:rsidP="00455103">
      <w:pPr>
        <w:pStyle w:val="ListParagraph"/>
        <w:numPr>
          <w:ilvl w:val="0"/>
          <w:numId w:val="4"/>
        </w:numPr>
        <w:rPr>
          <w:rFonts w:cs="Arial"/>
          <w:szCs w:val="28"/>
        </w:rPr>
      </w:pPr>
      <w:r w:rsidRPr="00122375">
        <w:rPr>
          <w:rFonts w:cs="Arial"/>
          <w:szCs w:val="28"/>
        </w:rPr>
        <w:t xml:space="preserve">CDE has been working with the California state legislature and other partners to modify </w:t>
      </w:r>
      <w:r w:rsidR="00122375">
        <w:rPr>
          <w:rFonts w:cs="Arial"/>
          <w:szCs w:val="28"/>
        </w:rPr>
        <w:t xml:space="preserve">applicable language in the code. There will be a hearing in June 2023 regarding the language. </w:t>
      </w:r>
      <w:r w:rsidR="0048379A" w:rsidRPr="00122375">
        <w:rPr>
          <w:rFonts w:cs="Arial"/>
          <w:szCs w:val="28"/>
        </w:rPr>
        <w:t xml:space="preserve">CDE has advised local LEAs to look at the legislation and </w:t>
      </w:r>
      <w:r w:rsidR="00122375">
        <w:rPr>
          <w:rFonts w:cs="Arial"/>
          <w:szCs w:val="28"/>
        </w:rPr>
        <w:t>determine how it will impact activities locally – some LEAs have reported</w:t>
      </w:r>
      <w:r w:rsidR="0048379A" w:rsidRPr="00122375">
        <w:rPr>
          <w:rFonts w:cs="Arial"/>
          <w:szCs w:val="28"/>
        </w:rPr>
        <w:t xml:space="preserve"> no impacts, </w:t>
      </w:r>
      <w:r w:rsidR="00122375">
        <w:rPr>
          <w:rFonts w:cs="Arial"/>
          <w:szCs w:val="28"/>
        </w:rPr>
        <w:t xml:space="preserve">and </w:t>
      </w:r>
      <w:r w:rsidR="0048379A" w:rsidRPr="00122375">
        <w:rPr>
          <w:rFonts w:cs="Arial"/>
          <w:szCs w:val="28"/>
        </w:rPr>
        <w:t xml:space="preserve">some LEAs have reported significant impacts and </w:t>
      </w:r>
      <w:r w:rsidR="00122375">
        <w:rPr>
          <w:rFonts w:cs="Arial"/>
          <w:szCs w:val="28"/>
        </w:rPr>
        <w:t xml:space="preserve">the </w:t>
      </w:r>
      <w:r w:rsidR="0048379A" w:rsidRPr="00122375">
        <w:rPr>
          <w:rFonts w:cs="Arial"/>
          <w:szCs w:val="28"/>
        </w:rPr>
        <w:t xml:space="preserve">need to pause </w:t>
      </w:r>
      <w:r w:rsidR="00122375">
        <w:rPr>
          <w:rFonts w:cs="Arial"/>
          <w:szCs w:val="28"/>
        </w:rPr>
        <w:t xml:space="preserve">programs </w:t>
      </w:r>
      <w:r w:rsidR="0048379A" w:rsidRPr="00122375">
        <w:rPr>
          <w:rFonts w:cs="Arial"/>
          <w:szCs w:val="28"/>
        </w:rPr>
        <w:t xml:space="preserve">or go in a different direction. Hoping that after committee hearing in June, there will be revised legislation that will allow for more work experience for students. </w:t>
      </w:r>
      <w:r w:rsidR="00122375">
        <w:rPr>
          <w:rFonts w:cs="Arial"/>
          <w:szCs w:val="28"/>
        </w:rPr>
        <w:t xml:space="preserve"> </w:t>
      </w:r>
    </w:p>
    <w:p w14:paraId="409FFB2A" w14:textId="3E8B442A" w:rsidR="0048379A" w:rsidRDefault="0048379A" w:rsidP="00455103">
      <w:pPr>
        <w:pStyle w:val="ListParagraph"/>
        <w:numPr>
          <w:ilvl w:val="0"/>
          <w:numId w:val="4"/>
        </w:numPr>
        <w:rPr>
          <w:rFonts w:cs="Arial"/>
          <w:szCs w:val="28"/>
        </w:rPr>
      </w:pPr>
      <w:r w:rsidRPr="00122375">
        <w:rPr>
          <w:rFonts w:cs="Arial"/>
          <w:szCs w:val="28"/>
        </w:rPr>
        <w:t>DOR can provide work experience through the</w:t>
      </w:r>
      <w:r w:rsidR="00122375">
        <w:rPr>
          <w:rFonts w:cs="Arial"/>
          <w:szCs w:val="28"/>
        </w:rPr>
        <w:t xml:space="preserve"> Department’s</w:t>
      </w:r>
      <w:r w:rsidRPr="00122375">
        <w:rPr>
          <w:rFonts w:cs="Arial"/>
          <w:szCs w:val="28"/>
        </w:rPr>
        <w:t xml:space="preserve"> contract with the </w:t>
      </w:r>
      <w:r w:rsidR="00122375">
        <w:rPr>
          <w:rFonts w:cs="Arial"/>
          <w:szCs w:val="28"/>
        </w:rPr>
        <w:t>F</w:t>
      </w:r>
      <w:r w:rsidRPr="00122375">
        <w:rPr>
          <w:rFonts w:cs="Arial"/>
          <w:szCs w:val="28"/>
        </w:rPr>
        <w:t xml:space="preserve">oundation for California </w:t>
      </w:r>
      <w:r w:rsidR="00122375">
        <w:rPr>
          <w:rFonts w:cs="Arial"/>
          <w:szCs w:val="28"/>
        </w:rPr>
        <w:t>C</w:t>
      </w:r>
      <w:r w:rsidRPr="00122375">
        <w:rPr>
          <w:rFonts w:cs="Arial"/>
          <w:szCs w:val="28"/>
        </w:rPr>
        <w:t xml:space="preserve">ommunity </w:t>
      </w:r>
      <w:r w:rsidR="00122375">
        <w:rPr>
          <w:rFonts w:cs="Arial"/>
          <w:szCs w:val="28"/>
        </w:rPr>
        <w:t>C</w:t>
      </w:r>
      <w:r w:rsidRPr="00122375">
        <w:rPr>
          <w:rFonts w:cs="Arial"/>
          <w:szCs w:val="28"/>
        </w:rPr>
        <w:t>olleges wh</w:t>
      </w:r>
      <w:r w:rsidR="0085429F">
        <w:rPr>
          <w:rFonts w:cs="Arial"/>
          <w:szCs w:val="28"/>
        </w:rPr>
        <w:t>ich</w:t>
      </w:r>
      <w:r w:rsidRPr="00122375">
        <w:rPr>
          <w:rFonts w:cs="Arial"/>
          <w:szCs w:val="28"/>
        </w:rPr>
        <w:t xml:space="preserve"> can serve as the employer of record</w:t>
      </w:r>
      <w:r w:rsidR="00122375">
        <w:rPr>
          <w:rFonts w:cs="Arial"/>
          <w:szCs w:val="28"/>
        </w:rPr>
        <w:t xml:space="preserve"> for student work experience.</w:t>
      </w:r>
      <w:r w:rsidRPr="00122375">
        <w:rPr>
          <w:rFonts w:cs="Arial"/>
          <w:szCs w:val="28"/>
        </w:rPr>
        <w:t xml:space="preserve"> Other options </w:t>
      </w:r>
      <w:r w:rsidR="00122375">
        <w:rPr>
          <w:rFonts w:cs="Arial"/>
          <w:szCs w:val="28"/>
        </w:rPr>
        <w:t xml:space="preserve">include having work experience that takes place on campus and utilizing employers who perform background checks.  </w:t>
      </w:r>
    </w:p>
    <w:p w14:paraId="6464FCEE" w14:textId="7FC2D19A" w:rsidR="002B7CD0" w:rsidRDefault="00122375" w:rsidP="00455103">
      <w:pPr>
        <w:pStyle w:val="ListParagraph"/>
        <w:numPr>
          <w:ilvl w:val="0"/>
          <w:numId w:val="4"/>
        </w:numPr>
        <w:rPr>
          <w:rFonts w:cs="Arial"/>
          <w:szCs w:val="28"/>
        </w:rPr>
      </w:pPr>
      <w:r>
        <w:rPr>
          <w:rFonts w:cs="Arial"/>
          <w:szCs w:val="28"/>
        </w:rPr>
        <w:t xml:space="preserve">DOR follows the fingerprinting process and procedures of the local school district(s). </w:t>
      </w:r>
    </w:p>
    <w:p w14:paraId="46F58F54" w14:textId="77777777" w:rsidR="002B7CD0" w:rsidRDefault="002B7CD0" w:rsidP="002B7CD0">
      <w:pPr>
        <w:rPr>
          <w:rFonts w:cs="Arial"/>
          <w:szCs w:val="28"/>
        </w:rPr>
      </w:pPr>
    </w:p>
    <w:p w14:paraId="66AD587F" w14:textId="6FEFF2AF" w:rsidR="00122375" w:rsidRPr="002B7CD0" w:rsidRDefault="00834A75" w:rsidP="002B7CD0">
      <w:pPr>
        <w:rPr>
          <w:rFonts w:cs="Arial"/>
          <w:szCs w:val="28"/>
        </w:rPr>
      </w:pPr>
      <w:r>
        <w:rPr>
          <w:rFonts w:cs="Arial"/>
          <w:szCs w:val="28"/>
        </w:rPr>
        <w:t xml:space="preserve">Questions and comments from the SRC members included the following: </w:t>
      </w:r>
    </w:p>
    <w:p w14:paraId="19D65182" w14:textId="28AE7B2F" w:rsidR="00122375" w:rsidRDefault="00834A75" w:rsidP="00455103">
      <w:pPr>
        <w:pStyle w:val="ListParagraph"/>
        <w:numPr>
          <w:ilvl w:val="0"/>
          <w:numId w:val="4"/>
        </w:numPr>
        <w:rPr>
          <w:rFonts w:cs="Arial"/>
          <w:szCs w:val="28"/>
        </w:rPr>
      </w:pPr>
      <w:r>
        <w:rPr>
          <w:rFonts w:cs="Arial"/>
          <w:szCs w:val="28"/>
        </w:rPr>
        <w:t>Importance of</w:t>
      </w:r>
      <w:r w:rsidR="00122375">
        <w:rPr>
          <w:rFonts w:cs="Arial"/>
          <w:szCs w:val="28"/>
        </w:rPr>
        <w:t xml:space="preserve"> protecting students </w:t>
      </w:r>
      <w:r>
        <w:rPr>
          <w:rFonts w:cs="Arial"/>
          <w:szCs w:val="28"/>
        </w:rPr>
        <w:t xml:space="preserve">who participate in </w:t>
      </w:r>
      <w:r w:rsidR="0085429F">
        <w:rPr>
          <w:rFonts w:cs="Arial"/>
          <w:szCs w:val="28"/>
        </w:rPr>
        <w:t xml:space="preserve">work </w:t>
      </w:r>
      <w:r w:rsidR="00122375">
        <w:rPr>
          <w:rFonts w:cs="Arial"/>
          <w:szCs w:val="28"/>
        </w:rPr>
        <w:t xml:space="preserve">experience. </w:t>
      </w:r>
      <w:r w:rsidR="002B7CD0">
        <w:rPr>
          <w:rFonts w:cs="Arial"/>
          <w:szCs w:val="28"/>
        </w:rPr>
        <w:t>It was noted that DOR Student Services are often provided via a group, on campus, or at a DOR office.</w:t>
      </w:r>
      <w:r>
        <w:rPr>
          <w:rFonts w:cs="Arial"/>
          <w:szCs w:val="28"/>
        </w:rPr>
        <w:t xml:space="preserve"> It was noted that there is proposed language currently under development that will provide a </w:t>
      </w:r>
      <w:r w:rsidR="002B7CD0">
        <w:rPr>
          <w:rFonts w:cs="Arial"/>
          <w:szCs w:val="28"/>
        </w:rPr>
        <w:t xml:space="preserve">balance between safety and allowing access to work experience. </w:t>
      </w:r>
    </w:p>
    <w:p w14:paraId="7860588A" w14:textId="3B29B594" w:rsidR="00B70D93" w:rsidRPr="002B7CD0" w:rsidRDefault="002B7CD0" w:rsidP="00455103">
      <w:pPr>
        <w:pStyle w:val="ListParagraph"/>
        <w:numPr>
          <w:ilvl w:val="0"/>
          <w:numId w:val="4"/>
        </w:numPr>
        <w:rPr>
          <w:rFonts w:cs="Arial"/>
          <w:szCs w:val="28"/>
        </w:rPr>
      </w:pPr>
      <w:r>
        <w:rPr>
          <w:rFonts w:cs="Arial"/>
          <w:szCs w:val="28"/>
        </w:rPr>
        <w:t xml:space="preserve">At high school college and career centers, students with disabilities do not always receive the same level of support. How can DOR Student Services be </w:t>
      </w:r>
      <w:r>
        <w:rPr>
          <w:rFonts w:cs="Arial"/>
          <w:szCs w:val="28"/>
        </w:rPr>
        <w:lastRenderedPageBreak/>
        <w:t>integrated into what school counselors are doing? It was noted that DOR reaches out to community colleges.</w:t>
      </w:r>
    </w:p>
    <w:p w14:paraId="3D2FBD62" w14:textId="77777777" w:rsidR="00090BCA" w:rsidRDefault="00090BCA" w:rsidP="00873485">
      <w:pPr>
        <w:rPr>
          <w:rFonts w:cs="Arial"/>
          <w:szCs w:val="28"/>
        </w:rPr>
      </w:pPr>
    </w:p>
    <w:p w14:paraId="141BAC7B" w14:textId="073DE0D5" w:rsidR="00791AAF" w:rsidRPr="005A42CA" w:rsidRDefault="00791AAF" w:rsidP="00906916">
      <w:r w:rsidRPr="002B7CD0">
        <w:rPr>
          <w:rFonts w:cs="Arial"/>
          <w:szCs w:val="28"/>
        </w:rPr>
        <w:t xml:space="preserve">During the August 31 – September 1, 2022, SRC quarterly meeting, DOR reported the following goals had been established: 1) double the number of students served from 30,000 to 60,000, and 2) focus on ensuring </w:t>
      </w:r>
      <w:r w:rsidRPr="00821A3F">
        <w:t xml:space="preserve">that youth with disabilities leave high school with either a family sustaining wage or </w:t>
      </w:r>
      <w:r>
        <w:t xml:space="preserve">are </w:t>
      </w:r>
      <w:r w:rsidRPr="00821A3F">
        <w:t>enrolled in VR services</w:t>
      </w:r>
      <w:r>
        <w:t>.</w:t>
      </w:r>
      <w:r w:rsidR="00906916">
        <w:t xml:space="preserve"> </w:t>
      </w:r>
      <w:r w:rsidRPr="00834A75">
        <w:rPr>
          <w:u w:val="single"/>
        </w:rPr>
        <w:t>Ensuring that students leave high school with a wage that can support a family is an extremely high bar – can DOR provide an update, explanation, and/or clarification on this goal?</w:t>
      </w:r>
    </w:p>
    <w:p w14:paraId="357A1CB4" w14:textId="77777777" w:rsidR="00834A75" w:rsidRDefault="00834A75" w:rsidP="00906916"/>
    <w:p w14:paraId="43A961A5" w14:textId="1E5F0054" w:rsidR="00873485" w:rsidRPr="00CF3557" w:rsidRDefault="00873485" w:rsidP="00906916">
      <w:r>
        <w:t xml:space="preserve">DOR </w:t>
      </w:r>
      <w:r w:rsidR="002B7CD0">
        <w:t xml:space="preserve">is not </w:t>
      </w:r>
      <w:r>
        <w:t xml:space="preserve">expecting </w:t>
      </w:r>
      <w:r w:rsidR="002B7CD0">
        <w:t>students t</w:t>
      </w:r>
      <w:r>
        <w:t xml:space="preserve">o graduate </w:t>
      </w:r>
      <w:r w:rsidR="002B7CD0">
        <w:t>high school</w:t>
      </w:r>
      <w:r>
        <w:t xml:space="preserve"> with a family sustaining wage. </w:t>
      </w:r>
      <w:r w:rsidR="002B7CD0">
        <w:t xml:space="preserve">What is expected from </w:t>
      </w:r>
      <w:r>
        <w:t xml:space="preserve">DOR offices is that every student has access to all VR services and </w:t>
      </w:r>
      <w:r w:rsidR="002B7CD0">
        <w:t>has an</w:t>
      </w:r>
      <w:r>
        <w:t xml:space="preserve"> IPE before </w:t>
      </w:r>
      <w:r w:rsidR="002B7CD0">
        <w:t xml:space="preserve">graduation. </w:t>
      </w:r>
      <w:r>
        <w:t>This is a shift</w:t>
      </w:r>
      <w:r w:rsidR="002B7CD0">
        <w:t xml:space="preserve"> </w:t>
      </w:r>
      <w:r w:rsidR="0085429F">
        <w:t>from</w:t>
      </w:r>
      <w:r w:rsidR="002B7CD0">
        <w:t xml:space="preserve"> </w:t>
      </w:r>
      <w:r>
        <w:t xml:space="preserve">when </w:t>
      </w:r>
      <w:r w:rsidR="002B7CD0">
        <w:t>S</w:t>
      </w:r>
      <w:r>
        <w:t xml:space="preserve">tudent </w:t>
      </w:r>
      <w:r w:rsidR="002B7CD0">
        <w:t>S</w:t>
      </w:r>
      <w:r>
        <w:t>ervices was first rolled out</w:t>
      </w:r>
      <w:r w:rsidR="0085429F">
        <w:t>.</w:t>
      </w:r>
      <w:r>
        <w:t xml:space="preserve"> </w:t>
      </w:r>
      <w:r w:rsidR="0085429F">
        <w:t>T</w:t>
      </w:r>
      <w:r w:rsidR="002B7CD0">
        <w:t xml:space="preserve">he initial </w:t>
      </w:r>
      <w:r w:rsidR="0085429F">
        <w:t>thinking</w:t>
      </w:r>
      <w:r w:rsidR="002B7CD0">
        <w:t xml:space="preserve"> was that students would not need additional services or a VR case, but today the </w:t>
      </w:r>
      <w:r w:rsidR="0085429F">
        <w:t>approach</w:t>
      </w:r>
      <w:r w:rsidR="002B7CD0">
        <w:t xml:space="preserve"> is different. From the beginning, s</w:t>
      </w:r>
      <w:r>
        <w:t>tudents are made aware of all the available services, including that DOR can pay for postsecondary school/training</w:t>
      </w:r>
      <w:r w:rsidR="002B7CD0">
        <w:t>. The focus is on the needs of the individual</w:t>
      </w:r>
      <w:r w:rsidR="0085429F">
        <w:t xml:space="preserve"> and providing a continuum of services. </w:t>
      </w:r>
      <w:r w:rsidR="002B7CD0">
        <w:t xml:space="preserve"> </w:t>
      </w:r>
    </w:p>
    <w:p w14:paraId="539916CB" w14:textId="77777777" w:rsidR="005F0E89" w:rsidRPr="001D6B32" w:rsidRDefault="005F0E89" w:rsidP="00B55D54">
      <w:pPr>
        <w:rPr>
          <w:rFonts w:eastAsia="Times New Roman" w:cs="Arial"/>
          <w:b/>
          <w:bCs/>
          <w:szCs w:val="28"/>
        </w:rPr>
      </w:pPr>
    </w:p>
    <w:p w14:paraId="3768A3E7" w14:textId="0CD79E6B" w:rsidR="00604093" w:rsidRPr="001D6B32" w:rsidRDefault="00604093" w:rsidP="003549EF">
      <w:pPr>
        <w:pStyle w:val="Heading1"/>
      </w:pPr>
      <w:r w:rsidRPr="001D6B32">
        <w:t xml:space="preserve">Item </w:t>
      </w:r>
      <w:r w:rsidR="00152C97" w:rsidRPr="001D6B32">
        <w:t>8</w:t>
      </w:r>
      <w:r w:rsidRPr="001D6B32">
        <w:t xml:space="preserve">: Directorate Report </w:t>
      </w:r>
    </w:p>
    <w:p w14:paraId="6F2787C5" w14:textId="3D9C674A" w:rsidR="00DB5FC2" w:rsidRDefault="00DB5FC2" w:rsidP="00DB5FC2">
      <w:pPr>
        <w:rPr>
          <w:color w:val="000000" w:themeColor="text1"/>
        </w:rPr>
      </w:pPr>
      <w:r w:rsidRPr="00E1455E">
        <w:rPr>
          <w:color w:val="000000" w:themeColor="text1"/>
        </w:rPr>
        <w:t xml:space="preserve">Victor Duron, DOR Chief Deputy Director, </w:t>
      </w:r>
      <w:r>
        <w:rPr>
          <w:color w:val="000000" w:themeColor="text1"/>
        </w:rPr>
        <w:t xml:space="preserve">joined the SRC to </w:t>
      </w:r>
      <w:r w:rsidRPr="00E1455E">
        <w:rPr>
          <w:color w:val="000000" w:themeColor="text1"/>
        </w:rPr>
        <w:t xml:space="preserve">report on leadership and policy topics of interest. </w:t>
      </w:r>
      <w:r>
        <w:rPr>
          <w:color w:val="000000" w:themeColor="text1"/>
        </w:rPr>
        <w:t xml:space="preserve">Duron began by highlighting </w:t>
      </w:r>
      <w:r w:rsidR="00834A75">
        <w:rPr>
          <w:color w:val="000000" w:themeColor="text1"/>
        </w:rPr>
        <w:t>recent</w:t>
      </w:r>
      <w:r>
        <w:rPr>
          <w:color w:val="000000" w:themeColor="text1"/>
        </w:rPr>
        <w:t xml:space="preserve"> commemorations: </w:t>
      </w:r>
    </w:p>
    <w:p w14:paraId="535DD7BD" w14:textId="522A629F" w:rsidR="00DB5FC2" w:rsidRPr="00834A75" w:rsidRDefault="00DB5FC2" w:rsidP="008265B2">
      <w:pPr>
        <w:pStyle w:val="ListParagraph"/>
        <w:numPr>
          <w:ilvl w:val="0"/>
          <w:numId w:val="40"/>
        </w:numPr>
        <w:rPr>
          <w:szCs w:val="28"/>
        </w:rPr>
      </w:pPr>
      <w:r w:rsidRPr="00834A75">
        <w:rPr>
          <w:szCs w:val="28"/>
        </w:rPr>
        <w:t>Anniversary of the Olmstead Decision</w:t>
      </w:r>
    </w:p>
    <w:p w14:paraId="0D04AC87" w14:textId="075B5C10" w:rsidR="00DB5FC2" w:rsidRPr="00834A75" w:rsidRDefault="00DB5FC2" w:rsidP="008265B2">
      <w:pPr>
        <w:pStyle w:val="ListParagraph"/>
        <w:numPr>
          <w:ilvl w:val="0"/>
          <w:numId w:val="40"/>
        </w:numPr>
        <w:rPr>
          <w:szCs w:val="28"/>
        </w:rPr>
      </w:pPr>
      <w:r w:rsidRPr="00834A75">
        <w:rPr>
          <w:szCs w:val="28"/>
        </w:rPr>
        <w:t>LGBTQIA+ Pride Month</w:t>
      </w:r>
    </w:p>
    <w:p w14:paraId="35B3A0F9" w14:textId="2DA5D1C0" w:rsidR="00DB5FC2" w:rsidRPr="00834A75" w:rsidRDefault="00DB5FC2" w:rsidP="008265B2">
      <w:pPr>
        <w:pStyle w:val="ListParagraph"/>
        <w:numPr>
          <w:ilvl w:val="0"/>
          <w:numId w:val="40"/>
        </w:numPr>
        <w:rPr>
          <w:szCs w:val="28"/>
        </w:rPr>
      </w:pPr>
      <w:r w:rsidRPr="00834A75">
        <w:rPr>
          <w:szCs w:val="28"/>
        </w:rPr>
        <w:t>Immigrant Heritage Month</w:t>
      </w:r>
    </w:p>
    <w:p w14:paraId="0ACF9AF5" w14:textId="59786791" w:rsidR="00DB5FC2" w:rsidRPr="00834A75" w:rsidRDefault="00DB5FC2" w:rsidP="008265B2">
      <w:pPr>
        <w:pStyle w:val="ListParagraph"/>
        <w:numPr>
          <w:ilvl w:val="0"/>
          <w:numId w:val="40"/>
        </w:numPr>
        <w:rPr>
          <w:color w:val="000000" w:themeColor="text1"/>
        </w:rPr>
      </w:pPr>
      <w:r w:rsidRPr="00834A75">
        <w:rPr>
          <w:szCs w:val="28"/>
        </w:rPr>
        <w:t xml:space="preserve">Juneteenth National Independence Day  </w:t>
      </w:r>
    </w:p>
    <w:p w14:paraId="74E325F6" w14:textId="631F5BB3" w:rsidR="00B01C06" w:rsidRPr="00834A75" w:rsidRDefault="00DB5FC2" w:rsidP="008265B2">
      <w:pPr>
        <w:pStyle w:val="ListParagraph"/>
        <w:numPr>
          <w:ilvl w:val="0"/>
          <w:numId w:val="40"/>
        </w:numPr>
        <w:rPr>
          <w:szCs w:val="28"/>
        </w:rPr>
      </w:pPr>
      <w:r w:rsidRPr="00834A75">
        <w:rPr>
          <w:szCs w:val="28"/>
        </w:rPr>
        <w:t>World Elder Abuse Awareness Day</w:t>
      </w:r>
    </w:p>
    <w:p w14:paraId="0DEDE8A6" w14:textId="77777777" w:rsidR="00DB5FC2" w:rsidRDefault="00DB5FC2" w:rsidP="00CE3C55">
      <w:pPr>
        <w:rPr>
          <w:szCs w:val="28"/>
        </w:rPr>
      </w:pPr>
    </w:p>
    <w:p w14:paraId="395166D6" w14:textId="193EE77A" w:rsidR="00DB5FC2" w:rsidRPr="00AB66D7" w:rsidRDefault="00AB66D7" w:rsidP="00CE3C55">
      <w:pPr>
        <w:rPr>
          <w:szCs w:val="28"/>
          <w:u w:val="single"/>
        </w:rPr>
      </w:pPr>
      <w:r w:rsidRPr="00AB66D7">
        <w:rPr>
          <w:szCs w:val="28"/>
          <w:u w:val="single"/>
        </w:rPr>
        <w:t xml:space="preserve">National </w:t>
      </w:r>
      <w:r>
        <w:rPr>
          <w:szCs w:val="28"/>
          <w:u w:val="single"/>
        </w:rPr>
        <w:t>U</w:t>
      </w:r>
      <w:r w:rsidRPr="00AB66D7">
        <w:rPr>
          <w:szCs w:val="28"/>
          <w:u w:val="single"/>
        </w:rPr>
        <w:t xml:space="preserve">pdates </w:t>
      </w:r>
    </w:p>
    <w:p w14:paraId="7295DFBB" w14:textId="423B747B" w:rsidR="00FB0134" w:rsidRPr="00AB66D7" w:rsidRDefault="00AB66D7" w:rsidP="008265B2">
      <w:pPr>
        <w:pStyle w:val="ListParagraph"/>
        <w:numPr>
          <w:ilvl w:val="0"/>
          <w:numId w:val="31"/>
        </w:numPr>
        <w:rPr>
          <w:shd w:val="clear" w:color="auto" w:fill="FFFFFF"/>
        </w:rPr>
      </w:pPr>
      <w:r>
        <w:rPr>
          <w:szCs w:val="28"/>
        </w:rPr>
        <w:t xml:space="preserve">On </w:t>
      </w:r>
      <w:r w:rsidR="00FB0134">
        <w:rPr>
          <w:szCs w:val="28"/>
        </w:rPr>
        <w:t>May 1</w:t>
      </w:r>
      <w:r>
        <w:rPr>
          <w:szCs w:val="28"/>
        </w:rPr>
        <w:t xml:space="preserve">0, 2023, </w:t>
      </w:r>
      <w:r w:rsidR="00FB0134">
        <w:rPr>
          <w:szCs w:val="28"/>
        </w:rPr>
        <w:t xml:space="preserve">the US Senate </w:t>
      </w:r>
      <w:r w:rsidR="00FB0134" w:rsidRPr="004F3298">
        <w:rPr>
          <w:szCs w:val="28"/>
        </w:rPr>
        <w:t xml:space="preserve">confirmed </w:t>
      </w:r>
      <w:r w:rsidR="00FB0134" w:rsidRPr="004F3298">
        <w:rPr>
          <w:rStyle w:val="Strong"/>
          <w:b w:val="0"/>
          <w:bCs w:val="0"/>
          <w:szCs w:val="28"/>
        </w:rPr>
        <w:t>Glenna Wright-Gallo</w:t>
      </w:r>
      <w:r w:rsidR="00FB0134" w:rsidRPr="004F3298">
        <w:rPr>
          <w:szCs w:val="28"/>
        </w:rPr>
        <w:t> as</w:t>
      </w:r>
      <w:r w:rsidR="00FB0134" w:rsidRPr="00E42030">
        <w:rPr>
          <w:szCs w:val="28"/>
        </w:rPr>
        <w:t xml:space="preserve"> assistant secretary for special education and rehabilitative services at the </w:t>
      </w:r>
      <w:r w:rsidR="00FB0134">
        <w:rPr>
          <w:szCs w:val="28"/>
        </w:rPr>
        <w:t>US</w:t>
      </w:r>
      <w:r w:rsidR="00FB0134" w:rsidRPr="00E42030">
        <w:rPr>
          <w:szCs w:val="28"/>
        </w:rPr>
        <w:t xml:space="preserve"> Department of Education.</w:t>
      </w:r>
      <w:r w:rsidR="00FB0134">
        <w:rPr>
          <w:szCs w:val="28"/>
        </w:rPr>
        <w:t> </w:t>
      </w:r>
    </w:p>
    <w:p w14:paraId="673CEF2D" w14:textId="223FFC5D" w:rsidR="00AB66D7" w:rsidRPr="002F3B56" w:rsidRDefault="00AB66D7" w:rsidP="008265B2">
      <w:pPr>
        <w:pStyle w:val="ListParagraph"/>
        <w:numPr>
          <w:ilvl w:val="0"/>
          <w:numId w:val="31"/>
        </w:numPr>
        <w:rPr>
          <w:color w:val="000000" w:themeColor="text1"/>
        </w:rPr>
      </w:pPr>
      <w:r>
        <w:rPr>
          <w:rFonts w:cs="Arial"/>
          <w:szCs w:val="28"/>
        </w:rPr>
        <w:t>No</w:t>
      </w:r>
      <w:r w:rsidR="0085429F">
        <w:rPr>
          <w:rFonts w:cs="Arial"/>
          <w:szCs w:val="28"/>
        </w:rPr>
        <w:t xml:space="preserve"> current updates </w:t>
      </w:r>
      <w:r>
        <w:rPr>
          <w:rFonts w:cs="Arial"/>
          <w:szCs w:val="28"/>
        </w:rPr>
        <w:t xml:space="preserve">regarding the confirmation timeline for </w:t>
      </w:r>
      <w:proofErr w:type="spellStart"/>
      <w:r w:rsidRPr="00354AAA">
        <w:rPr>
          <w:rFonts w:cs="Arial"/>
          <w:szCs w:val="28"/>
        </w:rPr>
        <w:t>Danté</w:t>
      </w:r>
      <w:proofErr w:type="spellEnd"/>
      <w:r w:rsidRPr="00354AAA">
        <w:rPr>
          <w:rFonts w:cs="Arial"/>
          <w:color w:val="000000"/>
          <w:szCs w:val="28"/>
          <w:shd w:val="clear" w:color="auto" w:fill="FFFFFF"/>
        </w:rPr>
        <w:t xml:space="preserve"> Allen</w:t>
      </w:r>
      <w:r>
        <w:rPr>
          <w:rFonts w:cs="Arial"/>
          <w:color w:val="000000"/>
          <w:szCs w:val="28"/>
          <w:shd w:val="clear" w:color="auto" w:fill="FFFFFF"/>
        </w:rPr>
        <w:t>,</w:t>
      </w:r>
      <w:r w:rsidRPr="00354AAA">
        <w:rPr>
          <w:rFonts w:cs="Arial"/>
          <w:color w:val="000000"/>
          <w:szCs w:val="28"/>
          <w:shd w:val="clear" w:color="auto" w:fill="FFFFFF"/>
        </w:rPr>
        <w:t xml:space="preserve"> </w:t>
      </w:r>
      <w:r w:rsidR="004F3298">
        <w:rPr>
          <w:rFonts w:cs="Arial"/>
          <w:color w:val="000000"/>
          <w:szCs w:val="28"/>
          <w:shd w:val="clear" w:color="auto" w:fill="FFFFFF"/>
        </w:rPr>
        <w:t xml:space="preserve">who was </w:t>
      </w:r>
      <w:r w:rsidRPr="00354AAA">
        <w:rPr>
          <w:rFonts w:cs="Arial"/>
          <w:color w:val="000000"/>
          <w:szCs w:val="28"/>
          <w:shd w:val="clear" w:color="auto" w:fill="FFFFFF"/>
        </w:rPr>
        <w:t>nominated</w:t>
      </w:r>
      <w:r>
        <w:rPr>
          <w:rFonts w:cs="Arial"/>
          <w:color w:val="000000"/>
          <w:szCs w:val="28"/>
          <w:shd w:val="clear" w:color="auto" w:fill="FFFFFF"/>
        </w:rPr>
        <w:t xml:space="preserve"> in 2022 and renominated in January 2023</w:t>
      </w:r>
      <w:r w:rsidRPr="00354AAA">
        <w:rPr>
          <w:rFonts w:cs="Arial"/>
          <w:color w:val="000000"/>
          <w:szCs w:val="28"/>
          <w:shd w:val="clear" w:color="auto" w:fill="FFFFFF"/>
        </w:rPr>
        <w:t xml:space="preserve"> as Commissioner of the Rehabilitation Services Administration (RSA). </w:t>
      </w:r>
    </w:p>
    <w:p w14:paraId="17410BB0" w14:textId="250DFC39" w:rsidR="00FB0134" w:rsidRDefault="00AB66D7" w:rsidP="008265B2">
      <w:pPr>
        <w:pStyle w:val="ListParagraph"/>
        <w:numPr>
          <w:ilvl w:val="0"/>
          <w:numId w:val="31"/>
        </w:numPr>
        <w:rPr>
          <w:shd w:val="clear" w:color="auto" w:fill="FFFFFF"/>
        </w:rPr>
      </w:pPr>
      <w:r>
        <w:rPr>
          <w:szCs w:val="28"/>
        </w:rPr>
        <w:t xml:space="preserve">Updates from the </w:t>
      </w:r>
      <w:r w:rsidR="00FB0134">
        <w:rPr>
          <w:szCs w:val="28"/>
        </w:rPr>
        <w:t xml:space="preserve">April 2023 </w:t>
      </w:r>
      <w:r w:rsidRPr="00AB66D7">
        <w:rPr>
          <w:shd w:val="clear" w:color="auto" w:fill="FFFFFF"/>
        </w:rPr>
        <w:t>Council of State Administrators of Vocational Rehabilitation</w:t>
      </w:r>
      <w:r>
        <w:rPr>
          <w:shd w:val="clear" w:color="auto" w:fill="FFFFFF"/>
        </w:rPr>
        <w:t xml:space="preserve"> (CSAVR)</w:t>
      </w:r>
      <w:r w:rsidR="00FB0134" w:rsidRPr="00441FA6">
        <w:rPr>
          <w:shd w:val="clear" w:color="auto" w:fill="FFFFFF"/>
        </w:rPr>
        <w:t xml:space="preserve"> </w:t>
      </w:r>
      <w:r w:rsidR="00FB0134">
        <w:rPr>
          <w:shd w:val="clear" w:color="auto" w:fill="FFFFFF"/>
        </w:rPr>
        <w:t>conference</w:t>
      </w:r>
      <w:r>
        <w:rPr>
          <w:shd w:val="clear" w:color="auto" w:fill="FFFFFF"/>
        </w:rPr>
        <w:t>:</w:t>
      </w:r>
    </w:p>
    <w:p w14:paraId="42F2047B" w14:textId="0BC139D4" w:rsidR="00AB66D7" w:rsidRPr="00AB66D7" w:rsidRDefault="00AB66D7" w:rsidP="008265B2">
      <w:pPr>
        <w:pStyle w:val="ListParagraph"/>
        <w:numPr>
          <w:ilvl w:val="1"/>
          <w:numId w:val="31"/>
        </w:numPr>
        <w:rPr>
          <w:shd w:val="clear" w:color="auto" w:fill="FFFFFF"/>
        </w:rPr>
      </w:pPr>
      <w:r>
        <w:rPr>
          <w:szCs w:val="28"/>
        </w:rPr>
        <w:t xml:space="preserve">Agencies across the country look to California as leaders and </w:t>
      </w:r>
      <w:r w:rsidR="004F3298">
        <w:rPr>
          <w:szCs w:val="28"/>
        </w:rPr>
        <w:t>innovators.</w:t>
      </w:r>
    </w:p>
    <w:p w14:paraId="46C7EFF0" w14:textId="47EB0366" w:rsidR="00FB0134" w:rsidRPr="00FB0134" w:rsidRDefault="00AB66D7" w:rsidP="008265B2">
      <w:pPr>
        <w:pStyle w:val="ListParagraph"/>
        <w:numPr>
          <w:ilvl w:val="1"/>
          <w:numId w:val="31"/>
        </w:numPr>
        <w:rPr>
          <w:shd w:val="clear" w:color="auto" w:fill="FFFFFF"/>
        </w:rPr>
      </w:pPr>
      <w:r>
        <w:rPr>
          <w:szCs w:val="28"/>
        </w:rPr>
        <w:t>Emphasis from RSA on</w:t>
      </w:r>
      <w:r w:rsidR="00FB0134">
        <w:rPr>
          <w:szCs w:val="28"/>
        </w:rPr>
        <w:t xml:space="preserve"> fiscal and programmatic performance</w:t>
      </w:r>
      <w:r>
        <w:rPr>
          <w:szCs w:val="28"/>
        </w:rPr>
        <w:t>.</w:t>
      </w:r>
    </w:p>
    <w:p w14:paraId="3B1E8ABE" w14:textId="1C7841D3" w:rsidR="00FB0134" w:rsidRPr="00FB0134" w:rsidRDefault="00FB0134" w:rsidP="008265B2">
      <w:pPr>
        <w:pStyle w:val="ListParagraph"/>
        <w:numPr>
          <w:ilvl w:val="1"/>
          <w:numId w:val="31"/>
        </w:numPr>
        <w:rPr>
          <w:shd w:val="clear" w:color="auto" w:fill="FFFFFF"/>
        </w:rPr>
      </w:pPr>
      <w:r>
        <w:rPr>
          <w:szCs w:val="28"/>
        </w:rPr>
        <w:lastRenderedPageBreak/>
        <w:t xml:space="preserve">California continues to fully expend </w:t>
      </w:r>
      <w:r w:rsidR="00AB66D7">
        <w:rPr>
          <w:szCs w:val="28"/>
        </w:rPr>
        <w:t xml:space="preserve">its federal VR funding and pursue </w:t>
      </w:r>
      <w:r w:rsidR="0085429F">
        <w:rPr>
          <w:szCs w:val="28"/>
        </w:rPr>
        <w:t>re-allotment</w:t>
      </w:r>
      <w:r w:rsidR="00AB66D7">
        <w:rPr>
          <w:szCs w:val="28"/>
        </w:rPr>
        <w:t xml:space="preserve"> dollars. </w:t>
      </w:r>
      <w:r>
        <w:rPr>
          <w:szCs w:val="28"/>
        </w:rPr>
        <w:t xml:space="preserve"> </w:t>
      </w:r>
    </w:p>
    <w:p w14:paraId="49A04A2D" w14:textId="2F9198BB" w:rsidR="00FB0134" w:rsidRPr="00C25B22" w:rsidRDefault="00AB66D7" w:rsidP="008265B2">
      <w:pPr>
        <w:pStyle w:val="ListParagraph"/>
        <w:numPr>
          <w:ilvl w:val="1"/>
          <w:numId w:val="31"/>
        </w:numPr>
        <w:rPr>
          <w:shd w:val="clear" w:color="auto" w:fill="FFFFFF"/>
        </w:rPr>
      </w:pPr>
      <w:r>
        <w:rPr>
          <w:szCs w:val="28"/>
        </w:rPr>
        <w:t>RSA asked – what kind of technical assistance do states need from RSA? In response, DOR asked</w:t>
      </w:r>
      <w:r w:rsidR="00622205">
        <w:rPr>
          <w:szCs w:val="28"/>
        </w:rPr>
        <w:t xml:space="preserve"> the following: 1) H</w:t>
      </w:r>
      <w:r w:rsidR="00FB0134" w:rsidRPr="00622205">
        <w:rPr>
          <w:szCs w:val="28"/>
        </w:rPr>
        <w:t>ow do we create a culture of innovation</w:t>
      </w:r>
      <w:r w:rsidR="00622205">
        <w:rPr>
          <w:szCs w:val="28"/>
        </w:rPr>
        <w:t>,</w:t>
      </w:r>
      <w:r w:rsidR="00FB0134" w:rsidRPr="00622205">
        <w:rPr>
          <w:szCs w:val="28"/>
        </w:rPr>
        <w:t xml:space="preserve"> and what is RSA doi</w:t>
      </w:r>
      <w:r w:rsidR="00622205">
        <w:rPr>
          <w:szCs w:val="28"/>
        </w:rPr>
        <w:t xml:space="preserve">ng to support a culture of innovation? </w:t>
      </w:r>
      <w:r w:rsidR="0085429F">
        <w:rPr>
          <w:szCs w:val="28"/>
        </w:rPr>
        <w:t xml:space="preserve">and </w:t>
      </w:r>
      <w:r w:rsidR="00622205">
        <w:rPr>
          <w:szCs w:val="28"/>
        </w:rPr>
        <w:t xml:space="preserve">2) </w:t>
      </w:r>
      <w:r w:rsidR="00FB0134" w:rsidRPr="00622205">
        <w:rPr>
          <w:szCs w:val="28"/>
        </w:rPr>
        <w:t xml:space="preserve">What practices are not currently in use, and should be established, to help VR agencies across the country fully expend their VR funding and increase programmatic outcomes? </w:t>
      </w:r>
      <w:r w:rsidR="00622205">
        <w:rPr>
          <w:szCs w:val="28"/>
        </w:rPr>
        <w:t xml:space="preserve">3) </w:t>
      </w:r>
      <w:r w:rsidR="00FB0134" w:rsidRPr="00622205">
        <w:rPr>
          <w:szCs w:val="28"/>
        </w:rPr>
        <w:t xml:space="preserve">What are some of the controls that have outlived their usefulness and </w:t>
      </w:r>
      <w:r w:rsidR="004F3298">
        <w:rPr>
          <w:szCs w:val="28"/>
        </w:rPr>
        <w:t xml:space="preserve">can </w:t>
      </w:r>
      <w:r w:rsidR="00FB0134" w:rsidRPr="00622205">
        <w:rPr>
          <w:szCs w:val="28"/>
        </w:rPr>
        <w:t xml:space="preserve">be eliminated? </w:t>
      </w:r>
    </w:p>
    <w:p w14:paraId="0B5306CA" w14:textId="77777777" w:rsidR="00C25B22" w:rsidRDefault="00C25B22" w:rsidP="00C25B22">
      <w:pPr>
        <w:rPr>
          <w:shd w:val="clear" w:color="auto" w:fill="FFFFFF"/>
        </w:rPr>
      </w:pPr>
    </w:p>
    <w:p w14:paraId="46730CA0" w14:textId="16B26B45" w:rsidR="00C25B22" w:rsidRPr="004F3298" w:rsidRDefault="00C25B22" w:rsidP="00C25B22">
      <w:pPr>
        <w:rPr>
          <w:u w:val="single"/>
          <w:shd w:val="clear" w:color="auto" w:fill="FFFFFF"/>
        </w:rPr>
      </w:pPr>
      <w:r w:rsidRPr="004F3298">
        <w:rPr>
          <w:u w:val="single"/>
          <w:shd w:val="clear" w:color="auto" w:fill="FFFFFF"/>
        </w:rPr>
        <w:t>State Updates</w:t>
      </w:r>
    </w:p>
    <w:p w14:paraId="411CE66F" w14:textId="460A7DBF" w:rsidR="00C25B22" w:rsidRPr="00C25B22" w:rsidRDefault="00C25B22" w:rsidP="008265B2">
      <w:pPr>
        <w:pStyle w:val="ListParagraph"/>
        <w:numPr>
          <w:ilvl w:val="0"/>
          <w:numId w:val="41"/>
        </w:numPr>
        <w:rPr>
          <w:shd w:val="clear" w:color="auto" w:fill="FFFFFF"/>
        </w:rPr>
      </w:pPr>
      <w:r>
        <w:rPr>
          <w:shd w:val="clear" w:color="auto" w:fill="FFFFFF"/>
        </w:rPr>
        <w:t xml:space="preserve">Regarding the state budget, the Administration does not anticipate tapping into the </w:t>
      </w:r>
      <w:r w:rsidRPr="00C25B22">
        <w:rPr>
          <w:szCs w:val="28"/>
        </w:rPr>
        <w:t>rainy-day</w:t>
      </w:r>
      <w:r w:rsidR="00FB0134" w:rsidRPr="00C25B22">
        <w:rPr>
          <w:szCs w:val="28"/>
        </w:rPr>
        <w:t xml:space="preserve"> fund</w:t>
      </w:r>
      <w:r w:rsidR="009D0D4C" w:rsidRPr="00C25B22">
        <w:rPr>
          <w:szCs w:val="28"/>
        </w:rPr>
        <w:t xml:space="preserve">. </w:t>
      </w:r>
      <w:r>
        <w:rPr>
          <w:szCs w:val="28"/>
        </w:rPr>
        <w:t xml:space="preserve">There have been no adverse impacts to DOR’s budget </w:t>
      </w:r>
      <w:r w:rsidR="0085429F">
        <w:rPr>
          <w:szCs w:val="28"/>
        </w:rPr>
        <w:t>as a result of the</w:t>
      </w:r>
      <w:r>
        <w:rPr>
          <w:szCs w:val="28"/>
        </w:rPr>
        <w:t xml:space="preserve"> current deficit. </w:t>
      </w:r>
      <w:r w:rsidR="009D0D4C" w:rsidRPr="00C25B22">
        <w:rPr>
          <w:szCs w:val="28"/>
        </w:rPr>
        <w:t xml:space="preserve">Due to tax filing extensions, revenues are still coming in and the final state fiscal condition </w:t>
      </w:r>
      <w:r>
        <w:rPr>
          <w:szCs w:val="28"/>
        </w:rPr>
        <w:t>will not be known until the Fall.</w:t>
      </w:r>
    </w:p>
    <w:p w14:paraId="69DB06D3" w14:textId="6DA53870" w:rsidR="00C25B22" w:rsidRPr="004F3298" w:rsidRDefault="00C25B22" w:rsidP="008265B2">
      <w:pPr>
        <w:pStyle w:val="ListParagraph"/>
        <w:numPr>
          <w:ilvl w:val="0"/>
          <w:numId w:val="41"/>
        </w:numPr>
        <w:rPr>
          <w:szCs w:val="28"/>
        </w:rPr>
      </w:pPr>
      <w:r w:rsidRPr="004F3298">
        <w:rPr>
          <w:szCs w:val="28"/>
        </w:rPr>
        <w:t xml:space="preserve">A number of initiatives are underway at the California Health and Human Services Agency (CalHHS) including: a proposal </w:t>
      </w:r>
      <w:r w:rsidR="000A7098" w:rsidRPr="004F3298">
        <w:rPr>
          <w:szCs w:val="28"/>
        </w:rPr>
        <w:t>to renew the managed care organization fee through 2026</w:t>
      </w:r>
      <w:r w:rsidRPr="004F3298">
        <w:rPr>
          <w:szCs w:val="28"/>
        </w:rPr>
        <w:t xml:space="preserve">; </w:t>
      </w:r>
      <w:r w:rsidR="000A7098" w:rsidRPr="004F3298">
        <w:rPr>
          <w:shd w:val="clear" w:color="auto" w:fill="FFFFFF"/>
        </w:rPr>
        <w:t>988 Suicide and Crisis Lifeline</w:t>
      </w:r>
      <w:r w:rsidRPr="004F3298">
        <w:rPr>
          <w:shd w:val="clear" w:color="auto" w:fill="FFFFFF"/>
        </w:rPr>
        <w:t xml:space="preserve">; </w:t>
      </w:r>
      <w:r w:rsidRPr="004F3298">
        <w:rPr>
          <w:szCs w:val="28"/>
        </w:rPr>
        <w:t>a</w:t>
      </w:r>
      <w:r w:rsidR="000A7098" w:rsidRPr="004F3298">
        <w:rPr>
          <w:szCs w:val="28"/>
        </w:rPr>
        <w:t>ddition</w:t>
      </w:r>
      <w:r w:rsidRPr="004F3298">
        <w:rPr>
          <w:szCs w:val="28"/>
        </w:rPr>
        <w:t>al</w:t>
      </w:r>
      <w:r w:rsidR="000A7098" w:rsidRPr="004F3298">
        <w:rPr>
          <w:szCs w:val="28"/>
        </w:rPr>
        <w:t xml:space="preserve"> funding for distressed hospital loans</w:t>
      </w:r>
      <w:r w:rsidRPr="004F3298">
        <w:rPr>
          <w:szCs w:val="28"/>
        </w:rPr>
        <w:t xml:space="preserve">; </w:t>
      </w:r>
      <w:proofErr w:type="spellStart"/>
      <w:r w:rsidR="000A7098" w:rsidRPr="004F3298">
        <w:rPr>
          <w:szCs w:val="28"/>
        </w:rPr>
        <w:t>CalRX</w:t>
      </w:r>
      <w:proofErr w:type="spellEnd"/>
      <w:r w:rsidR="000A7098" w:rsidRPr="004F3298">
        <w:rPr>
          <w:szCs w:val="28"/>
        </w:rPr>
        <w:t xml:space="preserve"> – California’s prescription drug program</w:t>
      </w:r>
      <w:r w:rsidR="00500BA5" w:rsidRPr="004F3298">
        <w:rPr>
          <w:szCs w:val="28"/>
        </w:rPr>
        <w:t xml:space="preserve"> </w:t>
      </w:r>
      <w:r w:rsidR="000A7098" w:rsidRPr="004F3298">
        <w:rPr>
          <w:szCs w:val="28"/>
        </w:rPr>
        <w:t>to help create and compete for lower drug prices</w:t>
      </w:r>
      <w:r w:rsidRPr="004F3298">
        <w:rPr>
          <w:szCs w:val="28"/>
        </w:rPr>
        <w:t>: a</w:t>
      </w:r>
      <w:r w:rsidR="000A7098" w:rsidRPr="004F3298">
        <w:rPr>
          <w:szCs w:val="28"/>
        </w:rPr>
        <w:t>dditional funding for older adults with behavioral health needs</w:t>
      </w:r>
      <w:r w:rsidRPr="004F3298">
        <w:rPr>
          <w:szCs w:val="28"/>
        </w:rPr>
        <w:t>; l</w:t>
      </w:r>
      <w:r w:rsidR="00500BA5" w:rsidRPr="004F3298">
        <w:rPr>
          <w:szCs w:val="28"/>
        </w:rPr>
        <w:t xml:space="preserve">egislation proposing expanded access to childcare for low income families; </w:t>
      </w:r>
      <w:r w:rsidRPr="004F3298">
        <w:rPr>
          <w:szCs w:val="28"/>
        </w:rPr>
        <w:t xml:space="preserve">and efforts to </w:t>
      </w:r>
      <w:r w:rsidR="00500BA5" w:rsidRPr="004F3298">
        <w:rPr>
          <w:szCs w:val="28"/>
        </w:rPr>
        <w:t>modernize the behavioral health system including the Mental Health Services Act</w:t>
      </w:r>
      <w:r w:rsidRPr="004F3298">
        <w:rPr>
          <w:szCs w:val="28"/>
        </w:rPr>
        <w:t xml:space="preserve">. Although not directly related to VR, these programs and proposals impact the individuals served by DOR. </w:t>
      </w:r>
      <w:r w:rsidR="00C9669C" w:rsidRPr="004F3298">
        <w:rPr>
          <w:szCs w:val="28"/>
        </w:rPr>
        <w:t>The SRC’s feedback is welcomed on the following question: h</w:t>
      </w:r>
      <w:r w:rsidRPr="004F3298">
        <w:rPr>
          <w:szCs w:val="28"/>
        </w:rPr>
        <w:t>ow can DOR leverage these initiatives happening across systems</w:t>
      </w:r>
      <w:r w:rsidR="00C9669C" w:rsidRPr="004F3298">
        <w:rPr>
          <w:szCs w:val="28"/>
        </w:rPr>
        <w:t xml:space="preserve">? </w:t>
      </w:r>
    </w:p>
    <w:p w14:paraId="6AB47184" w14:textId="6BFB9E54" w:rsidR="00500BA5" w:rsidRPr="004F3298" w:rsidRDefault="00C25B22" w:rsidP="008265B2">
      <w:pPr>
        <w:pStyle w:val="ListParagraph"/>
        <w:numPr>
          <w:ilvl w:val="0"/>
          <w:numId w:val="41"/>
        </w:numPr>
        <w:rPr>
          <w:shd w:val="clear" w:color="auto" w:fill="FFFFFF"/>
        </w:rPr>
      </w:pPr>
      <w:r w:rsidRPr="004F3298">
        <w:rPr>
          <w:szCs w:val="28"/>
        </w:rPr>
        <w:t xml:space="preserve">There is a continued emphasis on </w:t>
      </w:r>
      <w:r w:rsidR="00500BA5" w:rsidRPr="004F3298">
        <w:rPr>
          <w:szCs w:val="28"/>
        </w:rPr>
        <w:t>diversity, equity, inclusion</w:t>
      </w:r>
      <w:r w:rsidR="004F3298">
        <w:rPr>
          <w:szCs w:val="28"/>
        </w:rPr>
        <w:t>,</w:t>
      </w:r>
      <w:r w:rsidR="00500BA5" w:rsidRPr="004F3298">
        <w:rPr>
          <w:szCs w:val="28"/>
        </w:rPr>
        <w:t xml:space="preserve"> and access</w:t>
      </w:r>
      <w:r w:rsidRPr="004F3298">
        <w:rPr>
          <w:szCs w:val="28"/>
        </w:rPr>
        <w:t xml:space="preserve"> at CalHHS, including a new language policy under development</w:t>
      </w:r>
      <w:r w:rsidR="004F3298">
        <w:rPr>
          <w:szCs w:val="28"/>
        </w:rPr>
        <w:t>.</w:t>
      </w:r>
      <w:r w:rsidRPr="004F3298">
        <w:rPr>
          <w:szCs w:val="28"/>
        </w:rPr>
        <w:t xml:space="preserve"> DOR will update the department’s </w:t>
      </w:r>
      <w:r w:rsidR="004F3298">
        <w:rPr>
          <w:szCs w:val="28"/>
        </w:rPr>
        <w:t xml:space="preserve">language </w:t>
      </w:r>
      <w:r w:rsidRPr="004F3298">
        <w:rPr>
          <w:szCs w:val="28"/>
        </w:rPr>
        <w:t>policy accordingly. DOR welcomes the SRC’s thinking on</w:t>
      </w:r>
      <w:r w:rsidR="00410D09">
        <w:rPr>
          <w:szCs w:val="28"/>
        </w:rPr>
        <w:t>:</w:t>
      </w:r>
      <w:r w:rsidRPr="004F3298">
        <w:rPr>
          <w:szCs w:val="28"/>
        </w:rPr>
        <w:t xml:space="preserve"> </w:t>
      </w:r>
      <w:r w:rsidR="00500BA5" w:rsidRPr="004F3298">
        <w:rPr>
          <w:szCs w:val="28"/>
        </w:rPr>
        <w:t>how can CalHHS and departments do a better job of communicating directly to communities that have been historically marginalized and have a reason to be skeptical or suspicious of government</w:t>
      </w:r>
      <w:r w:rsidR="0085429F">
        <w:rPr>
          <w:szCs w:val="28"/>
        </w:rPr>
        <w:t>?</w:t>
      </w:r>
      <w:r w:rsidR="00500BA5" w:rsidRPr="004F3298">
        <w:rPr>
          <w:szCs w:val="28"/>
        </w:rPr>
        <w:t xml:space="preserve"> How to reach communities in a way that’s culturally and linguistically accessible?</w:t>
      </w:r>
    </w:p>
    <w:p w14:paraId="50B02536" w14:textId="77777777" w:rsidR="008B397A" w:rsidRDefault="008B397A" w:rsidP="008B397A">
      <w:pPr>
        <w:rPr>
          <w:szCs w:val="28"/>
        </w:rPr>
      </w:pPr>
    </w:p>
    <w:p w14:paraId="58EE9790" w14:textId="10C455A8" w:rsidR="00500BA5" w:rsidRPr="008B397A" w:rsidRDefault="00500BA5" w:rsidP="008B397A">
      <w:pPr>
        <w:rPr>
          <w:u w:val="single"/>
          <w:shd w:val="clear" w:color="auto" w:fill="FFFFFF"/>
        </w:rPr>
      </w:pPr>
      <w:r w:rsidRPr="008B397A">
        <w:rPr>
          <w:szCs w:val="28"/>
          <w:u w:val="single"/>
        </w:rPr>
        <w:t xml:space="preserve">Department </w:t>
      </w:r>
      <w:r w:rsidR="008B397A" w:rsidRPr="008B397A">
        <w:rPr>
          <w:szCs w:val="28"/>
          <w:u w:val="single"/>
        </w:rPr>
        <w:t>U</w:t>
      </w:r>
      <w:r w:rsidRPr="008B397A">
        <w:rPr>
          <w:szCs w:val="28"/>
          <w:u w:val="single"/>
        </w:rPr>
        <w:t>pdates</w:t>
      </w:r>
    </w:p>
    <w:p w14:paraId="2CAD6B36" w14:textId="37AACF04" w:rsidR="00500BA5" w:rsidRPr="00371A20" w:rsidRDefault="00371A20" w:rsidP="004F3298">
      <w:pPr>
        <w:pStyle w:val="ListParagraph"/>
        <w:numPr>
          <w:ilvl w:val="0"/>
          <w:numId w:val="31"/>
        </w:numPr>
        <w:ind w:left="810" w:hanging="450"/>
        <w:rPr>
          <w:shd w:val="clear" w:color="auto" w:fill="FFFFFF"/>
        </w:rPr>
      </w:pPr>
      <w:r>
        <w:rPr>
          <w:szCs w:val="28"/>
        </w:rPr>
        <w:t xml:space="preserve">DOR’s next budget will include an increase of $60 million, reflecting DOR’s request to utilize reallotment dollars.  </w:t>
      </w:r>
    </w:p>
    <w:p w14:paraId="2F6C77E0" w14:textId="3C301966" w:rsidR="00371A20" w:rsidRPr="00500BA5" w:rsidRDefault="00371A20" w:rsidP="004F3298">
      <w:pPr>
        <w:pStyle w:val="ListParagraph"/>
        <w:numPr>
          <w:ilvl w:val="0"/>
          <w:numId w:val="31"/>
        </w:numPr>
        <w:ind w:left="810" w:hanging="450"/>
        <w:rPr>
          <w:shd w:val="clear" w:color="auto" w:fill="FFFFFF"/>
        </w:rPr>
      </w:pPr>
      <w:r>
        <w:rPr>
          <w:szCs w:val="28"/>
        </w:rPr>
        <w:t xml:space="preserve">DOR received a grant </w:t>
      </w:r>
      <w:r w:rsidR="0085429F">
        <w:rPr>
          <w:szCs w:val="28"/>
        </w:rPr>
        <w:t>to identify</w:t>
      </w:r>
      <w:r>
        <w:rPr>
          <w:szCs w:val="28"/>
        </w:rPr>
        <w:t xml:space="preserve"> best practices to support individuals transitioning from subminimum wage to competitive employment. </w:t>
      </w:r>
    </w:p>
    <w:p w14:paraId="2065CA21" w14:textId="7B7D9330" w:rsidR="00371A20" w:rsidRPr="00371A20" w:rsidRDefault="00371A20" w:rsidP="004F3298">
      <w:pPr>
        <w:pStyle w:val="ListParagraph"/>
        <w:numPr>
          <w:ilvl w:val="0"/>
          <w:numId w:val="31"/>
        </w:numPr>
        <w:ind w:left="810" w:hanging="450"/>
        <w:rPr>
          <w:shd w:val="clear" w:color="auto" w:fill="FFFFFF"/>
        </w:rPr>
      </w:pPr>
      <w:r>
        <w:rPr>
          <w:szCs w:val="28"/>
        </w:rPr>
        <w:lastRenderedPageBreak/>
        <w:t>There is i</w:t>
      </w:r>
      <w:r w:rsidR="00500BA5">
        <w:rPr>
          <w:szCs w:val="28"/>
        </w:rPr>
        <w:t xml:space="preserve">nterest from the Legislature and Department of Finance in DOR’s efforts to support individuals transitioning out of subminimum wage, </w:t>
      </w:r>
      <w:r w:rsidR="0085429F">
        <w:rPr>
          <w:szCs w:val="28"/>
        </w:rPr>
        <w:t xml:space="preserve">the </w:t>
      </w:r>
      <w:r w:rsidR="00500BA5">
        <w:rPr>
          <w:szCs w:val="28"/>
        </w:rPr>
        <w:t>community living funds that will help people transition into less restrictive housing setting</w:t>
      </w:r>
      <w:r w:rsidR="00810919">
        <w:rPr>
          <w:szCs w:val="28"/>
        </w:rPr>
        <w:t xml:space="preserve">s, </w:t>
      </w:r>
      <w:r w:rsidR="0085429F">
        <w:rPr>
          <w:szCs w:val="28"/>
        </w:rPr>
        <w:t xml:space="preserve">the </w:t>
      </w:r>
      <w:r>
        <w:rPr>
          <w:szCs w:val="28"/>
        </w:rPr>
        <w:t xml:space="preserve">Traumatic Brain Injury (TBI) </w:t>
      </w:r>
      <w:r w:rsidR="00810919">
        <w:rPr>
          <w:szCs w:val="28"/>
        </w:rPr>
        <w:t>program expansion,</w:t>
      </w:r>
      <w:r>
        <w:rPr>
          <w:szCs w:val="28"/>
        </w:rPr>
        <w:t xml:space="preserve"> DOR’s Integrated Employment in Recovery program, and the State Internship Program. </w:t>
      </w:r>
    </w:p>
    <w:p w14:paraId="2FECD703" w14:textId="10D21AC6" w:rsidR="00810919" w:rsidRPr="00371A20" w:rsidRDefault="00371A20" w:rsidP="004F3298">
      <w:pPr>
        <w:pStyle w:val="ListParagraph"/>
        <w:numPr>
          <w:ilvl w:val="0"/>
          <w:numId w:val="31"/>
        </w:numPr>
        <w:ind w:left="810" w:hanging="450"/>
        <w:rPr>
          <w:shd w:val="clear" w:color="auto" w:fill="FFFFFF"/>
        </w:rPr>
      </w:pPr>
      <w:r>
        <w:rPr>
          <w:szCs w:val="28"/>
        </w:rPr>
        <w:t xml:space="preserve">Duron’s Senate confirmation hearing is scheduled for June 28, 2023. </w:t>
      </w:r>
      <w:r w:rsidR="00810919">
        <w:rPr>
          <w:szCs w:val="28"/>
        </w:rPr>
        <w:t xml:space="preserve"> </w:t>
      </w:r>
      <w:r>
        <w:rPr>
          <w:szCs w:val="28"/>
        </w:rPr>
        <w:t xml:space="preserve"> </w:t>
      </w:r>
    </w:p>
    <w:p w14:paraId="33D04BC7" w14:textId="77777777" w:rsidR="00371A20" w:rsidRDefault="00371A20" w:rsidP="00371A20">
      <w:pPr>
        <w:rPr>
          <w:shd w:val="clear" w:color="auto" w:fill="FFFFFF"/>
        </w:rPr>
      </w:pPr>
    </w:p>
    <w:p w14:paraId="2C1D343B" w14:textId="560E2600" w:rsidR="00371A20" w:rsidRPr="00371A20" w:rsidRDefault="00371A20" w:rsidP="00371A20">
      <w:pPr>
        <w:rPr>
          <w:shd w:val="clear" w:color="auto" w:fill="FFFFFF"/>
        </w:rPr>
      </w:pPr>
      <w:r>
        <w:rPr>
          <w:shd w:val="clear" w:color="auto" w:fill="FFFFFF"/>
        </w:rPr>
        <w:t xml:space="preserve">SRC member comments and discussion highlights included the following: </w:t>
      </w:r>
    </w:p>
    <w:p w14:paraId="26AD7A33" w14:textId="066FDDD0" w:rsidR="00810919" w:rsidRPr="00C95C46" w:rsidRDefault="00C95C46" w:rsidP="008265B2">
      <w:pPr>
        <w:pStyle w:val="ListParagraph"/>
        <w:numPr>
          <w:ilvl w:val="0"/>
          <w:numId w:val="31"/>
        </w:numPr>
        <w:rPr>
          <w:shd w:val="clear" w:color="auto" w:fill="FFFFFF"/>
        </w:rPr>
      </w:pPr>
      <w:r>
        <w:rPr>
          <w:szCs w:val="28"/>
        </w:rPr>
        <w:t xml:space="preserve">Suggestion that SRC be </w:t>
      </w:r>
      <w:r w:rsidR="00810919" w:rsidRPr="00C95C46">
        <w:rPr>
          <w:szCs w:val="28"/>
        </w:rPr>
        <w:t xml:space="preserve">involved with DOR’s efforts to update </w:t>
      </w:r>
      <w:r>
        <w:rPr>
          <w:szCs w:val="28"/>
        </w:rPr>
        <w:t xml:space="preserve">the Department’s </w:t>
      </w:r>
      <w:r w:rsidR="00810919" w:rsidRPr="00C95C46">
        <w:rPr>
          <w:szCs w:val="28"/>
        </w:rPr>
        <w:t>language policy</w:t>
      </w:r>
      <w:r w:rsidR="004B2491">
        <w:rPr>
          <w:szCs w:val="28"/>
        </w:rPr>
        <w:t>.</w:t>
      </w:r>
    </w:p>
    <w:p w14:paraId="5D7DC341" w14:textId="1B530B10" w:rsidR="00810919" w:rsidRPr="00810919" w:rsidRDefault="00410D09" w:rsidP="00410D09">
      <w:pPr>
        <w:pStyle w:val="ListParagraph"/>
        <w:numPr>
          <w:ilvl w:val="0"/>
          <w:numId w:val="31"/>
        </w:numPr>
        <w:rPr>
          <w:shd w:val="clear" w:color="auto" w:fill="FFFFFF"/>
        </w:rPr>
      </w:pPr>
      <w:r>
        <w:rPr>
          <w:szCs w:val="28"/>
        </w:rPr>
        <w:t xml:space="preserve">As subminimum wage is phased out, individuals will need to </w:t>
      </w:r>
      <w:r w:rsidR="004B2491">
        <w:rPr>
          <w:szCs w:val="28"/>
        </w:rPr>
        <w:t>prepare</w:t>
      </w:r>
      <w:r>
        <w:rPr>
          <w:szCs w:val="28"/>
        </w:rPr>
        <w:t xml:space="preserve"> for a new </w:t>
      </w:r>
      <w:r w:rsidR="004B2491">
        <w:rPr>
          <w:szCs w:val="28"/>
        </w:rPr>
        <w:t>goal</w:t>
      </w:r>
      <w:r>
        <w:rPr>
          <w:szCs w:val="28"/>
        </w:rPr>
        <w:t xml:space="preserve">. This </w:t>
      </w:r>
      <w:r w:rsidR="004B2491">
        <w:rPr>
          <w:szCs w:val="28"/>
        </w:rPr>
        <w:t>will include</w:t>
      </w:r>
      <w:r>
        <w:rPr>
          <w:szCs w:val="28"/>
        </w:rPr>
        <w:t xml:space="preserve"> </w:t>
      </w:r>
      <w:r w:rsidR="00810919">
        <w:rPr>
          <w:szCs w:val="28"/>
        </w:rPr>
        <w:t xml:space="preserve">early transition planning in schools </w:t>
      </w:r>
      <w:r>
        <w:rPr>
          <w:szCs w:val="28"/>
        </w:rPr>
        <w:t xml:space="preserve">and preparing individuals earlier for competitive integrated employment. </w:t>
      </w:r>
      <w:r w:rsidR="00810919">
        <w:rPr>
          <w:szCs w:val="28"/>
        </w:rPr>
        <w:t xml:space="preserve"> </w:t>
      </w:r>
      <w:r>
        <w:rPr>
          <w:szCs w:val="28"/>
        </w:rPr>
        <w:t xml:space="preserve"> </w:t>
      </w:r>
    </w:p>
    <w:p w14:paraId="4256F3BE" w14:textId="14632DA4" w:rsidR="00810919" w:rsidRPr="000A7098" w:rsidRDefault="00810919" w:rsidP="00410D09">
      <w:pPr>
        <w:pStyle w:val="ListParagraph"/>
        <w:numPr>
          <w:ilvl w:val="0"/>
          <w:numId w:val="31"/>
        </w:numPr>
        <w:rPr>
          <w:shd w:val="clear" w:color="auto" w:fill="FFFFFF"/>
        </w:rPr>
      </w:pPr>
      <w:r>
        <w:rPr>
          <w:szCs w:val="28"/>
        </w:rPr>
        <w:t xml:space="preserve">Working and communicating with communities that are distrusting of government – </w:t>
      </w:r>
      <w:r w:rsidR="00410D09">
        <w:rPr>
          <w:szCs w:val="28"/>
        </w:rPr>
        <w:t xml:space="preserve">suggestion to </w:t>
      </w:r>
      <w:r>
        <w:rPr>
          <w:szCs w:val="28"/>
        </w:rPr>
        <w:t xml:space="preserve">use existing community organizations as a catalyst to help individuals access VR services. </w:t>
      </w:r>
      <w:r w:rsidR="00410D09">
        <w:rPr>
          <w:szCs w:val="28"/>
        </w:rPr>
        <w:t>Consider how to</w:t>
      </w:r>
      <w:r>
        <w:rPr>
          <w:szCs w:val="28"/>
        </w:rPr>
        <w:t xml:space="preserve"> partner with individuals or informal organizations who are not interested in establishing a formal MOU.</w:t>
      </w:r>
    </w:p>
    <w:p w14:paraId="55A0B769" w14:textId="11A929B7" w:rsidR="006835DA" w:rsidRPr="001D6B32" w:rsidRDefault="006835DA" w:rsidP="00CE3C55">
      <w:pPr>
        <w:rPr>
          <w:rFonts w:eastAsia="Times New Roman" w:cs="Arial"/>
          <w:szCs w:val="28"/>
        </w:rPr>
      </w:pPr>
    </w:p>
    <w:p w14:paraId="3EDE7135" w14:textId="0C9968B3" w:rsidR="0039754F" w:rsidRPr="001D6B32" w:rsidRDefault="006835DA" w:rsidP="003549EF">
      <w:pPr>
        <w:pStyle w:val="Heading1"/>
      </w:pPr>
      <w:r w:rsidRPr="001D6B32">
        <w:t>Item</w:t>
      </w:r>
      <w:r w:rsidR="002E1CC8" w:rsidRPr="001D6B32">
        <w:t xml:space="preserve"> </w:t>
      </w:r>
      <w:r w:rsidR="00152C97" w:rsidRPr="001D6B32">
        <w:t>9</w:t>
      </w:r>
      <w:r w:rsidRPr="001D6B32">
        <w:t xml:space="preserve">: </w:t>
      </w:r>
      <w:r w:rsidR="00B332DE" w:rsidRPr="001D6B32">
        <w:t xml:space="preserve">DOR In-Service Trainings </w:t>
      </w:r>
    </w:p>
    <w:p w14:paraId="03462D30" w14:textId="5E04CEC6" w:rsidR="00817850" w:rsidRDefault="00C34BF1" w:rsidP="00817850">
      <w:pPr>
        <w:rPr>
          <w:rFonts w:cs="Arial"/>
          <w:szCs w:val="28"/>
        </w:rPr>
      </w:pPr>
      <w:r>
        <w:rPr>
          <w:rFonts w:cstheme="minorBidi"/>
        </w:rPr>
        <w:t xml:space="preserve">Representatives from DOR’s Staff Development Unit, VR Employment Division, and VR Policy and Resources Division, </w:t>
      </w:r>
      <w:r w:rsidR="00F96F82">
        <w:rPr>
          <w:rFonts w:cstheme="minorBidi"/>
        </w:rPr>
        <w:t>joined the SRC to provide an</w:t>
      </w:r>
      <w:r>
        <w:rPr>
          <w:rFonts w:cstheme="minorBidi"/>
        </w:rPr>
        <w:t xml:space="preserve"> overview of the in-service trainings offered to DOR employees. Information </w:t>
      </w:r>
      <w:r w:rsidR="00F96F82">
        <w:rPr>
          <w:rFonts w:cstheme="minorBidi"/>
        </w:rPr>
        <w:t xml:space="preserve">was </w:t>
      </w:r>
      <w:r w:rsidR="00F96F82" w:rsidRPr="004A62E9">
        <w:rPr>
          <w:rFonts w:cstheme="minorBidi"/>
        </w:rPr>
        <w:t>shared on</w:t>
      </w:r>
      <w:r w:rsidRPr="004A62E9">
        <w:rPr>
          <w:rFonts w:cstheme="minorBidi"/>
        </w:rPr>
        <w:t xml:space="preserve"> training needs, development, modalities</w:t>
      </w:r>
      <w:r w:rsidR="0068303B" w:rsidRPr="004A62E9">
        <w:rPr>
          <w:rFonts w:cstheme="minorBidi"/>
        </w:rPr>
        <w:t>,</w:t>
      </w:r>
      <w:r w:rsidRPr="004A62E9">
        <w:rPr>
          <w:rFonts w:cstheme="minorBidi"/>
        </w:rPr>
        <w:t xml:space="preserve"> and current offerings</w:t>
      </w:r>
      <w:r w:rsidR="00D043F3" w:rsidRPr="004A62E9">
        <w:rPr>
          <w:rFonts w:cstheme="minorBidi"/>
        </w:rPr>
        <w:t>.</w:t>
      </w:r>
      <w:r w:rsidR="00F96F82" w:rsidRPr="004A62E9">
        <w:rPr>
          <w:rFonts w:cstheme="minorBidi"/>
        </w:rPr>
        <w:t xml:space="preserve"> </w:t>
      </w:r>
      <w:r w:rsidR="00B73C25">
        <w:rPr>
          <w:rFonts w:cstheme="minorBidi"/>
        </w:rPr>
        <w:t xml:space="preserve">Kate </w:t>
      </w:r>
      <w:r w:rsidR="00F96F82" w:rsidRPr="004A62E9">
        <w:rPr>
          <w:rFonts w:cstheme="minorBidi"/>
        </w:rPr>
        <w:t>Bjerke</w:t>
      </w:r>
      <w:r w:rsidR="00B73C25">
        <w:rPr>
          <w:rFonts w:cstheme="minorBidi"/>
        </w:rPr>
        <w:t xml:space="preserve">, SRC Executive Officer, reviewed the presentation goals </w:t>
      </w:r>
      <w:r w:rsidR="00817850" w:rsidRPr="004A62E9">
        <w:rPr>
          <w:rFonts w:cstheme="minorBidi"/>
        </w:rPr>
        <w:t xml:space="preserve">(reference </w:t>
      </w:r>
      <w:hyperlink w:anchor="_Appendix_(xx)_DOR" w:history="1">
        <w:r w:rsidR="00817850" w:rsidRPr="004A62E9">
          <w:rPr>
            <w:rStyle w:val="Hyperlink"/>
            <w:rFonts w:cstheme="minorBidi"/>
          </w:rPr>
          <w:t xml:space="preserve">Appendix </w:t>
        </w:r>
        <w:r w:rsidR="00F96F82" w:rsidRPr="004A62E9">
          <w:rPr>
            <w:rStyle w:val="Hyperlink"/>
            <w:rFonts w:cstheme="minorBidi"/>
          </w:rPr>
          <w:t>B</w:t>
        </w:r>
      </w:hyperlink>
      <w:r w:rsidR="00817850" w:rsidRPr="004A62E9">
        <w:rPr>
          <w:rFonts w:cstheme="minorBidi"/>
        </w:rPr>
        <w:t xml:space="preserve"> for </w:t>
      </w:r>
      <w:r w:rsidR="008928D3" w:rsidRPr="004A62E9">
        <w:rPr>
          <w:rFonts w:cstheme="minorBidi"/>
        </w:rPr>
        <w:t>presentation</w:t>
      </w:r>
      <w:r w:rsidR="00817850" w:rsidRPr="004A62E9">
        <w:rPr>
          <w:rFonts w:cstheme="minorBidi"/>
        </w:rPr>
        <w:t xml:space="preserve"> slides</w:t>
      </w:r>
      <w:r w:rsidR="00F96F82" w:rsidRPr="004A62E9">
        <w:rPr>
          <w:rFonts w:cstheme="minorBidi"/>
        </w:rPr>
        <w:t xml:space="preserve">. </w:t>
      </w:r>
      <w:r w:rsidR="00817850" w:rsidRPr="004A62E9">
        <w:rPr>
          <w:rFonts w:cstheme="minorBidi"/>
        </w:rPr>
        <w:t xml:space="preserve">Melinda Wetzel, </w:t>
      </w:r>
      <w:r w:rsidR="00817850" w:rsidRPr="004A62E9">
        <w:rPr>
          <w:rFonts w:cs="Arial"/>
          <w:szCs w:val="28"/>
        </w:rPr>
        <w:t xml:space="preserve">Chief, DOR Workforce Management Section, provided an overview of the DOR Staff Development Section </w:t>
      </w:r>
      <w:r w:rsidR="00B73C25">
        <w:rPr>
          <w:rFonts w:cs="Arial"/>
          <w:szCs w:val="28"/>
        </w:rPr>
        <w:t xml:space="preserve">(SDS) </w:t>
      </w:r>
      <w:r w:rsidR="00817850" w:rsidRPr="004A62E9">
        <w:rPr>
          <w:rFonts w:cs="Arial"/>
          <w:szCs w:val="28"/>
        </w:rPr>
        <w:t>a</w:t>
      </w:r>
      <w:r w:rsidR="00F96F82" w:rsidRPr="004A62E9">
        <w:rPr>
          <w:rFonts w:cs="Arial"/>
          <w:szCs w:val="28"/>
        </w:rPr>
        <w:t>nd spoke about SDS’s role with: planning and organizing DOR’s training programs; identifying training needs; building and maintaining DOR’s</w:t>
      </w:r>
      <w:r w:rsidR="0096409D" w:rsidRPr="004A62E9">
        <w:rPr>
          <w:rFonts w:cs="Arial"/>
          <w:szCs w:val="28"/>
        </w:rPr>
        <w:t xml:space="preserve"> Learning Management System (</w:t>
      </w:r>
      <w:r w:rsidR="0096409D">
        <w:rPr>
          <w:rFonts w:cs="Arial"/>
          <w:szCs w:val="28"/>
        </w:rPr>
        <w:t>LMS)</w:t>
      </w:r>
      <w:r w:rsidR="00F96F82">
        <w:rPr>
          <w:rFonts w:cs="Arial"/>
          <w:szCs w:val="28"/>
        </w:rPr>
        <w:t>; training</w:t>
      </w:r>
      <w:r w:rsidR="00B73C25">
        <w:rPr>
          <w:rFonts w:cs="Arial"/>
          <w:szCs w:val="28"/>
        </w:rPr>
        <w:t xml:space="preserve"> required by CalHR</w:t>
      </w:r>
      <w:r w:rsidR="00F96F82">
        <w:rPr>
          <w:rFonts w:cs="Arial"/>
          <w:szCs w:val="28"/>
        </w:rPr>
        <w:t>;</w:t>
      </w:r>
      <w:r w:rsidR="0096409D">
        <w:rPr>
          <w:rFonts w:cs="Arial"/>
          <w:szCs w:val="28"/>
        </w:rPr>
        <w:t xml:space="preserve"> </w:t>
      </w:r>
      <w:r w:rsidR="00F96F82">
        <w:rPr>
          <w:rFonts w:cs="Arial"/>
          <w:szCs w:val="28"/>
        </w:rPr>
        <w:t xml:space="preserve">and facilitating </w:t>
      </w:r>
      <w:r w:rsidR="0096409D">
        <w:rPr>
          <w:rFonts w:cs="Arial"/>
          <w:szCs w:val="28"/>
        </w:rPr>
        <w:t>DOR’s training academies for specific classifications</w:t>
      </w:r>
      <w:r w:rsidR="00F96F82">
        <w:rPr>
          <w:rFonts w:cs="Arial"/>
          <w:szCs w:val="28"/>
        </w:rPr>
        <w:t xml:space="preserve">. </w:t>
      </w:r>
      <w:r w:rsidR="0096409D">
        <w:rPr>
          <w:rFonts w:cs="Arial"/>
          <w:szCs w:val="28"/>
        </w:rPr>
        <w:t>Brian Connors, Manager, DOR</w:t>
      </w:r>
      <w:r w:rsidR="008928D3">
        <w:rPr>
          <w:rFonts w:cs="Arial"/>
          <w:szCs w:val="28"/>
        </w:rPr>
        <w:t xml:space="preserve"> Social Security Programs Section, spoke about the in-service trainings provided to DOR staff who provide work incentives planning services to consumers. Katelynn </w:t>
      </w:r>
      <w:r w:rsidR="008928D3" w:rsidRPr="008928D3">
        <w:rPr>
          <w:rFonts w:cs="Arial"/>
          <w:szCs w:val="28"/>
        </w:rPr>
        <w:t xml:space="preserve">Williams, </w:t>
      </w:r>
      <w:r w:rsidR="008928D3">
        <w:rPr>
          <w:rFonts w:cs="Arial"/>
          <w:szCs w:val="28"/>
        </w:rPr>
        <w:t>Manager, DOR Cooperative Programs Section, provided information on the cooperative program</w:t>
      </w:r>
      <w:r w:rsidR="00B106E8">
        <w:rPr>
          <w:rFonts w:cs="Arial"/>
          <w:szCs w:val="28"/>
        </w:rPr>
        <w:t>s</w:t>
      </w:r>
      <w:r w:rsidR="008928D3">
        <w:rPr>
          <w:rFonts w:cs="Arial"/>
          <w:szCs w:val="28"/>
        </w:rPr>
        <w:t xml:space="preserve"> and contracts trainings offered to DOR employees. Carol Asch, Assistant Deputy Director, VR Employment Division, shared information on trainings </w:t>
      </w:r>
      <w:r w:rsidR="0022705B">
        <w:rPr>
          <w:rFonts w:cs="Arial"/>
          <w:szCs w:val="28"/>
        </w:rPr>
        <w:t>for staff on DOR</w:t>
      </w:r>
      <w:r w:rsidR="00B25B22">
        <w:rPr>
          <w:rFonts w:cs="Arial"/>
          <w:szCs w:val="28"/>
        </w:rPr>
        <w:t xml:space="preserve"> </w:t>
      </w:r>
      <w:r w:rsidR="0022705B">
        <w:rPr>
          <w:rFonts w:cs="Arial"/>
          <w:szCs w:val="28"/>
        </w:rPr>
        <w:t>S</w:t>
      </w:r>
      <w:r w:rsidR="00B25B22">
        <w:rPr>
          <w:rFonts w:cs="Arial"/>
          <w:szCs w:val="28"/>
        </w:rPr>
        <w:t xml:space="preserve">tudent </w:t>
      </w:r>
      <w:r w:rsidR="0022705B">
        <w:rPr>
          <w:rFonts w:cs="Arial"/>
          <w:szCs w:val="28"/>
        </w:rPr>
        <w:t>S</w:t>
      </w:r>
      <w:r w:rsidR="00B25B22">
        <w:rPr>
          <w:rFonts w:cs="Arial"/>
          <w:szCs w:val="28"/>
        </w:rPr>
        <w:t>ervices, trauma informed care, customer service and de-escalation,</w:t>
      </w:r>
      <w:r w:rsidR="0022705B">
        <w:rPr>
          <w:rFonts w:cs="Arial"/>
          <w:szCs w:val="28"/>
        </w:rPr>
        <w:t xml:space="preserve"> </w:t>
      </w:r>
      <w:r w:rsidR="00B25B22">
        <w:rPr>
          <w:rFonts w:cs="Arial"/>
          <w:szCs w:val="28"/>
        </w:rPr>
        <w:t>trainings developed by the DOR Regional Director Workgroups</w:t>
      </w:r>
      <w:r w:rsidR="00B73C25">
        <w:rPr>
          <w:rFonts w:cs="Arial"/>
          <w:szCs w:val="28"/>
        </w:rPr>
        <w:t>,</w:t>
      </w:r>
      <w:r w:rsidR="00B25B22">
        <w:rPr>
          <w:rFonts w:cs="Arial"/>
          <w:szCs w:val="28"/>
        </w:rPr>
        <w:t xml:space="preserve"> </w:t>
      </w:r>
      <w:r w:rsidR="0022705B">
        <w:rPr>
          <w:rFonts w:cs="Arial"/>
          <w:szCs w:val="28"/>
        </w:rPr>
        <w:t>and trainings</w:t>
      </w:r>
      <w:r w:rsidR="00B25B22">
        <w:rPr>
          <w:rFonts w:cs="Arial"/>
          <w:szCs w:val="28"/>
        </w:rPr>
        <w:t xml:space="preserve"> offered by DOR affinity groups. </w:t>
      </w:r>
      <w:proofErr w:type="gramStart"/>
      <w:r w:rsidR="00B25B22">
        <w:rPr>
          <w:rFonts w:cs="Arial"/>
          <w:szCs w:val="28"/>
        </w:rPr>
        <w:t>Often times</w:t>
      </w:r>
      <w:proofErr w:type="gramEnd"/>
      <w:r w:rsidR="00B25B22">
        <w:rPr>
          <w:rFonts w:cs="Arial"/>
          <w:szCs w:val="28"/>
        </w:rPr>
        <w:t xml:space="preserve">, the trainings developed by the DOR Regional Director Workgroups will be recorded and made available in the LMS. </w:t>
      </w:r>
    </w:p>
    <w:p w14:paraId="34C587F9" w14:textId="797D6176" w:rsidR="0022705B" w:rsidRDefault="0022705B" w:rsidP="00817850">
      <w:pPr>
        <w:rPr>
          <w:rFonts w:cs="Arial"/>
          <w:szCs w:val="28"/>
        </w:rPr>
      </w:pPr>
    </w:p>
    <w:p w14:paraId="5A10DC69" w14:textId="77777777" w:rsidR="00B73C25" w:rsidRDefault="00B73C25" w:rsidP="00817850">
      <w:pPr>
        <w:rPr>
          <w:rFonts w:cs="Arial"/>
          <w:szCs w:val="28"/>
        </w:rPr>
      </w:pPr>
    </w:p>
    <w:p w14:paraId="6C7A68D4" w14:textId="763181CF" w:rsidR="0022705B" w:rsidRPr="00F96F82" w:rsidRDefault="0022705B" w:rsidP="00817850">
      <w:pPr>
        <w:rPr>
          <w:rFonts w:cstheme="minorBidi"/>
        </w:rPr>
      </w:pPr>
      <w:r>
        <w:rPr>
          <w:rFonts w:cs="Arial"/>
          <w:szCs w:val="28"/>
        </w:rPr>
        <w:lastRenderedPageBreak/>
        <w:t xml:space="preserve">SRC member questions and comments included the following: </w:t>
      </w:r>
    </w:p>
    <w:p w14:paraId="61647C9C" w14:textId="74A874DC" w:rsidR="00B25B22" w:rsidRDefault="0022705B" w:rsidP="008265B2">
      <w:pPr>
        <w:pStyle w:val="ListParagraph"/>
        <w:numPr>
          <w:ilvl w:val="0"/>
          <w:numId w:val="38"/>
        </w:numPr>
        <w:rPr>
          <w:rFonts w:cs="Arial"/>
          <w:szCs w:val="28"/>
        </w:rPr>
      </w:pPr>
      <w:r>
        <w:rPr>
          <w:rFonts w:cs="Arial"/>
          <w:szCs w:val="28"/>
        </w:rPr>
        <w:t xml:space="preserve">Which vendor offers the </w:t>
      </w:r>
      <w:r w:rsidR="00B25B22">
        <w:rPr>
          <w:rFonts w:cs="Arial"/>
          <w:szCs w:val="28"/>
        </w:rPr>
        <w:t>customer service and de-escalation training</w:t>
      </w:r>
      <w:r>
        <w:rPr>
          <w:rFonts w:cs="Arial"/>
          <w:szCs w:val="28"/>
        </w:rPr>
        <w:t>s?</w:t>
      </w:r>
    </w:p>
    <w:p w14:paraId="30B285C1" w14:textId="4D7380DB" w:rsidR="00B25B22" w:rsidRDefault="00B25B22" w:rsidP="008265B2">
      <w:pPr>
        <w:pStyle w:val="ListParagraph"/>
        <w:numPr>
          <w:ilvl w:val="0"/>
          <w:numId w:val="38"/>
        </w:numPr>
        <w:rPr>
          <w:rFonts w:cs="Arial"/>
          <w:szCs w:val="28"/>
        </w:rPr>
      </w:pPr>
      <w:r>
        <w:rPr>
          <w:rFonts w:cs="Arial"/>
          <w:szCs w:val="28"/>
        </w:rPr>
        <w:t>Additional information about the New Employee Orientation training</w:t>
      </w:r>
      <w:r w:rsidR="0022705B">
        <w:rPr>
          <w:rFonts w:cs="Arial"/>
          <w:szCs w:val="28"/>
        </w:rPr>
        <w:t>.</w:t>
      </w:r>
    </w:p>
    <w:p w14:paraId="365B7345" w14:textId="347AAC46" w:rsidR="00B25B22" w:rsidRDefault="0022705B" w:rsidP="008265B2">
      <w:pPr>
        <w:pStyle w:val="ListParagraph"/>
        <w:numPr>
          <w:ilvl w:val="0"/>
          <w:numId w:val="38"/>
        </w:numPr>
        <w:rPr>
          <w:rFonts w:cs="Arial"/>
          <w:szCs w:val="28"/>
        </w:rPr>
      </w:pPr>
      <w:r>
        <w:rPr>
          <w:rFonts w:cs="Arial"/>
          <w:szCs w:val="28"/>
        </w:rPr>
        <w:t>Information on</w:t>
      </w:r>
      <w:r w:rsidR="00B25B22">
        <w:rPr>
          <w:rFonts w:cs="Arial"/>
          <w:szCs w:val="28"/>
        </w:rPr>
        <w:t xml:space="preserve"> specific DOR policies is provided during the academies.</w:t>
      </w:r>
    </w:p>
    <w:p w14:paraId="5990EEFF" w14:textId="137E0FC7" w:rsidR="00B25B22" w:rsidRDefault="0022705B" w:rsidP="008265B2">
      <w:pPr>
        <w:pStyle w:val="ListParagraph"/>
        <w:numPr>
          <w:ilvl w:val="0"/>
          <w:numId w:val="38"/>
        </w:numPr>
        <w:rPr>
          <w:rFonts w:cs="Arial"/>
          <w:szCs w:val="28"/>
        </w:rPr>
      </w:pPr>
      <w:r>
        <w:rPr>
          <w:rFonts w:cs="Arial"/>
          <w:szCs w:val="28"/>
        </w:rPr>
        <w:t xml:space="preserve">The </w:t>
      </w:r>
      <w:r w:rsidR="00B25B22">
        <w:rPr>
          <w:rFonts w:cs="Arial"/>
          <w:szCs w:val="28"/>
        </w:rPr>
        <w:t>New Counselor Academy is offered twice a year and any updates to the CCRs or DOR policy are incorporated</w:t>
      </w:r>
      <w:r w:rsidR="00B73C25">
        <w:rPr>
          <w:rFonts w:cs="Arial"/>
          <w:szCs w:val="28"/>
        </w:rPr>
        <w:t xml:space="preserve"> into the training.</w:t>
      </w:r>
    </w:p>
    <w:p w14:paraId="1E12F70F" w14:textId="570374CB" w:rsidR="00B25B22" w:rsidRDefault="0022705B" w:rsidP="008265B2">
      <w:pPr>
        <w:pStyle w:val="ListParagraph"/>
        <w:numPr>
          <w:ilvl w:val="0"/>
          <w:numId w:val="38"/>
        </w:numPr>
        <w:rPr>
          <w:rFonts w:cs="Arial"/>
          <w:szCs w:val="28"/>
        </w:rPr>
      </w:pPr>
      <w:r>
        <w:rPr>
          <w:rFonts w:cs="Arial"/>
          <w:szCs w:val="28"/>
        </w:rPr>
        <w:t>Is training on u</w:t>
      </w:r>
      <w:r w:rsidR="00B25B22">
        <w:rPr>
          <w:rFonts w:cs="Arial"/>
          <w:szCs w:val="28"/>
        </w:rPr>
        <w:t xml:space="preserve">nconscious bias or implicit bias </w:t>
      </w:r>
      <w:r>
        <w:rPr>
          <w:rFonts w:cs="Arial"/>
          <w:szCs w:val="28"/>
        </w:rPr>
        <w:t xml:space="preserve">available? </w:t>
      </w:r>
    </w:p>
    <w:p w14:paraId="1A2F8005" w14:textId="498DBB51" w:rsidR="00BC5360" w:rsidRDefault="00BC5360" w:rsidP="008265B2">
      <w:pPr>
        <w:pStyle w:val="ListParagraph"/>
        <w:numPr>
          <w:ilvl w:val="0"/>
          <w:numId w:val="38"/>
        </w:numPr>
        <w:rPr>
          <w:rFonts w:cs="Arial"/>
          <w:szCs w:val="28"/>
        </w:rPr>
      </w:pPr>
      <w:r>
        <w:rPr>
          <w:rFonts w:cs="Arial"/>
          <w:szCs w:val="28"/>
        </w:rPr>
        <w:t>What training is available that could help support the work goals of independent living consumers?</w:t>
      </w:r>
    </w:p>
    <w:p w14:paraId="5BF3570A" w14:textId="4B511430" w:rsidR="00BC5360" w:rsidRPr="00BC5360" w:rsidRDefault="00BC5360" w:rsidP="008265B2">
      <w:pPr>
        <w:pStyle w:val="ListParagraph"/>
        <w:numPr>
          <w:ilvl w:val="0"/>
          <w:numId w:val="38"/>
        </w:numPr>
        <w:rPr>
          <w:rFonts w:cs="Arial"/>
          <w:szCs w:val="28"/>
        </w:rPr>
      </w:pPr>
      <w:r>
        <w:rPr>
          <w:rFonts w:cs="Arial"/>
          <w:szCs w:val="28"/>
        </w:rPr>
        <w:t xml:space="preserve">Has DOR considered offering some of these trainings to CRPs and/or </w:t>
      </w:r>
      <w:r w:rsidR="0022705B">
        <w:rPr>
          <w:rFonts w:cs="Arial"/>
          <w:szCs w:val="28"/>
        </w:rPr>
        <w:t>individuals</w:t>
      </w:r>
      <w:r>
        <w:rPr>
          <w:rFonts w:cs="Arial"/>
          <w:szCs w:val="28"/>
        </w:rPr>
        <w:t xml:space="preserve"> who work with DOR consumers?</w:t>
      </w:r>
      <w:r w:rsidR="00023FCB">
        <w:rPr>
          <w:rFonts w:cs="Arial"/>
          <w:szCs w:val="28"/>
        </w:rPr>
        <w:t xml:space="preserve"> </w:t>
      </w:r>
      <w:r>
        <w:rPr>
          <w:rFonts w:cs="Arial"/>
          <w:szCs w:val="28"/>
        </w:rPr>
        <w:t xml:space="preserve">Yes – DOR does have a mechanism to </w:t>
      </w:r>
      <w:r w:rsidR="00023FCB">
        <w:rPr>
          <w:rFonts w:cs="Arial"/>
          <w:szCs w:val="28"/>
        </w:rPr>
        <w:t>provide</w:t>
      </w:r>
      <w:r>
        <w:rPr>
          <w:rFonts w:cs="Arial"/>
          <w:szCs w:val="28"/>
        </w:rPr>
        <w:t xml:space="preserve"> trainings to outside partners</w:t>
      </w:r>
      <w:r w:rsidR="00023FCB">
        <w:rPr>
          <w:rFonts w:cs="Arial"/>
          <w:szCs w:val="28"/>
        </w:rPr>
        <w:t xml:space="preserve"> and </w:t>
      </w:r>
      <w:r>
        <w:rPr>
          <w:rFonts w:cs="Arial"/>
          <w:szCs w:val="28"/>
        </w:rPr>
        <w:t>there are plans to do trainings with CRPs on customized employment</w:t>
      </w:r>
      <w:r w:rsidR="00023FCB">
        <w:rPr>
          <w:rFonts w:cs="Arial"/>
          <w:szCs w:val="28"/>
        </w:rPr>
        <w:t>. In addition, the</w:t>
      </w:r>
      <w:r>
        <w:rPr>
          <w:rFonts w:cs="Arial"/>
          <w:szCs w:val="28"/>
        </w:rPr>
        <w:t xml:space="preserve"> </w:t>
      </w:r>
      <w:hyperlink r:id="rId9" w:history="1">
        <w:r w:rsidR="00023FCB" w:rsidRPr="00023FCB">
          <w:rPr>
            <w:rStyle w:val="Hyperlink"/>
            <w:rFonts w:cs="Arial"/>
            <w:szCs w:val="28"/>
          </w:rPr>
          <w:t>Vocational Rehabilitation Technical Assistance Center for Quality Management</w:t>
        </w:r>
      </w:hyperlink>
      <w:r w:rsidR="00023FCB">
        <w:rPr>
          <w:rFonts w:cs="Arial"/>
          <w:szCs w:val="28"/>
        </w:rPr>
        <w:t xml:space="preserve"> and the </w:t>
      </w:r>
      <w:hyperlink r:id="rId10" w:history="1">
        <w:r w:rsidRPr="00023FCB">
          <w:rPr>
            <w:rStyle w:val="Hyperlink"/>
            <w:rFonts w:cs="Arial"/>
            <w:szCs w:val="28"/>
          </w:rPr>
          <w:t>National Clearinghouse of Rehabilitation Training Materials</w:t>
        </w:r>
      </w:hyperlink>
      <w:r w:rsidRPr="00BC5360">
        <w:rPr>
          <w:rFonts w:cs="Arial"/>
          <w:szCs w:val="28"/>
        </w:rPr>
        <w:t xml:space="preserve"> </w:t>
      </w:r>
      <w:r w:rsidR="00023FCB">
        <w:rPr>
          <w:rFonts w:cs="Arial"/>
          <w:szCs w:val="28"/>
        </w:rPr>
        <w:t xml:space="preserve">offer a variety of resources and trainings. </w:t>
      </w:r>
    </w:p>
    <w:p w14:paraId="2612D52D" w14:textId="77777777" w:rsidR="00023FCB" w:rsidRDefault="00023FCB" w:rsidP="00B523CE">
      <w:pPr>
        <w:rPr>
          <w:rFonts w:cs="Arial"/>
          <w:szCs w:val="28"/>
        </w:rPr>
      </w:pPr>
    </w:p>
    <w:p w14:paraId="4F8AD5E4" w14:textId="0E5CB42D" w:rsidR="00AE0334" w:rsidRPr="00023FCB" w:rsidRDefault="00E357FE" w:rsidP="00B523CE">
      <w:pPr>
        <w:rPr>
          <w:rFonts w:cs="Arial"/>
          <w:szCs w:val="28"/>
        </w:rPr>
      </w:pPr>
      <w:r>
        <w:rPr>
          <w:rFonts w:cs="Arial"/>
          <w:szCs w:val="28"/>
        </w:rPr>
        <w:t>Bjerke noted that SRC members are welcome to send her suggestions or questions about trainings</w:t>
      </w:r>
      <w:r w:rsidR="00023FCB">
        <w:rPr>
          <w:rFonts w:cs="Arial"/>
          <w:szCs w:val="28"/>
        </w:rPr>
        <w:t xml:space="preserve"> and she will relay the suggestions as appropriate. </w:t>
      </w:r>
    </w:p>
    <w:p w14:paraId="65352A42" w14:textId="77777777" w:rsidR="00023FCB" w:rsidRDefault="00023FCB" w:rsidP="00023FCB">
      <w:pPr>
        <w:keepNext/>
        <w:rPr>
          <w:rFonts w:eastAsiaTheme="majorEastAsia" w:cstheme="majorBidi"/>
          <w:b/>
          <w:bCs/>
          <w:szCs w:val="28"/>
        </w:rPr>
      </w:pPr>
    </w:p>
    <w:p w14:paraId="3BF09EAD" w14:textId="7EB79DFF" w:rsidR="00023FCB" w:rsidRDefault="00023FCB" w:rsidP="00D55A5D">
      <w:pPr>
        <w:pStyle w:val="Heading1"/>
      </w:pPr>
      <w:r>
        <w:t xml:space="preserve">Item 10: Update on Client-Owned Vehicle Use Regulation Package </w:t>
      </w:r>
    </w:p>
    <w:p w14:paraId="2712D661" w14:textId="77777777" w:rsidR="00EE3D59" w:rsidRDefault="00EE3D59" w:rsidP="00EE3D59">
      <w:pPr>
        <w:rPr>
          <w:rFonts w:cs="Arial"/>
          <w:i/>
          <w:iCs/>
          <w:szCs w:val="28"/>
        </w:rPr>
      </w:pPr>
      <w:r>
        <w:rPr>
          <w:rFonts w:cs="Arial"/>
          <w:szCs w:val="28"/>
        </w:rPr>
        <w:t xml:space="preserve">Jessica Grove, Deputy Director, DOR VR Policy and Resources Division, and Daisy Hughes, Attorney IV, DOR Office of Legal Affairs, joined the SRC to provide an update on the proposal to amend the California Code of Regulations (CCRs) section 7162 pertaining to client owned vehicles and the mileage rates for DOR clients. The update is a follow up to the presentation given on this topic by Grove and Hughes during the March 8 – 9, 2023 SRC quarterly meeting. </w:t>
      </w:r>
    </w:p>
    <w:p w14:paraId="18B702A9" w14:textId="77777777" w:rsidR="00EE3D59" w:rsidRDefault="00EE3D59" w:rsidP="00EE3D59">
      <w:pPr>
        <w:rPr>
          <w:rFonts w:cs="Arial"/>
          <w:szCs w:val="28"/>
        </w:rPr>
      </w:pPr>
    </w:p>
    <w:p w14:paraId="3FEDC272" w14:textId="77777777" w:rsidR="00EE3D59" w:rsidRDefault="00EE3D59" w:rsidP="00EE3D59">
      <w:pPr>
        <w:rPr>
          <w:rFonts w:cs="Arial"/>
          <w:szCs w:val="28"/>
        </w:rPr>
      </w:pPr>
      <w:r>
        <w:rPr>
          <w:rFonts w:cs="Arial"/>
          <w:szCs w:val="28"/>
        </w:rPr>
        <w:t xml:space="preserve">Grove explained that originally DOR tried to amend the CCRs through an emergency rule making package; however, this was not feasible because the criteria for an emergency was not met. This allowed DOR to have more time and consider other mileage rate calculation options. </w:t>
      </w:r>
    </w:p>
    <w:p w14:paraId="1F4959F8" w14:textId="77777777" w:rsidR="00EE3D59" w:rsidRDefault="00EE3D59" w:rsidP="00EE3D59">
      <w:pPr>
        <w:rPr>
          <w:rFonts w:cs="Arial"/>
          <w:szCs w:val="28"/>
        </w:rPr>
      </w:pPr>
    </w:p>
    <w:p w14:paraId="5C0D4EAB" w14:textId="77777777" w:rsidR="00EE3D59" w:rsidRDefault="00EE3D59" w:rsidP="00EE3D59">
      <w:pPr>
        <w:rPr>
          <w:rFonts w:cs="Arial"/>
          <w:szCs w:val="28"/>
        </w:rPr>
      </w:pPr>
      <w:r>
        <w:rPr>
          <w:rFonts w:cs="Arial"/>
          <w:szCs w:val="28"/>
        </w:rPr>
        <w:t xml:space="preserve">Hughes began by noting that DOR welcomes the public discussion and input from the SRC before the 45-day public comment period. DOR anticipates the public comment period will occur towards the end of summer 2023. </w:t>
      </w:r>
    </w:p>
    <w:p w14:paraId="058FCC38" w14:textId="77777777" w:rsidR="00EE3D59" w:rsidRDefault="00EE3D59" w:rsidP="00EE3D59">
      <w:pPr>
        <w:rPr>
          <w:rFonts w:cs="Arial"/>
          <w:szCs w:val="28"/>
        </w:rPr>
      </w:pPr>
    </w:p>
    <w:p w14:paraId="789A2881" w14:textId="77777777" w:rsidR="00EE3D59" w:rsidRDefault="00EE3D59" w:rsidP="00EE3D59">
      <w:pPr>
        <w:rPr>
          <w:rFonts w:cs="Arial"/>
          <w:szCs w:val="28"/>
        </w:rPr>
      </w:pPr>
      <w:r>
        <w:rPr>
          <w:rFonts w:cs="Arial"/>
          <w:szCs w:val="28"/>
        </w:rPr>
        <w:t xml:space="preserve">Hughes spoke about the new methodology for calculating mileage rates that will be included in the revised rulemaking package. DOR will use the CalHR Personal Vehicle State Approved Relocation mileage rate. This </w:t>
      </w:r>
      <w:bookmarkStart w:id="5" w:name="_GoBack"/>
      <w:r w:rsidRPr="00EE3D59">
        <w:rPr>
          <w:rFonts w:cs="Arial"/>
          <w:szCs w:val="28"/>
        </w:rPr>
        <w:t>rate is currently</w:t>
      </w:r>
      <w:r>
        <w:rPr>
          <w:rFonts w:cs="Arial"/>
          <w:color w:val="FF0000"/>
          <w:szCs w:val="28"/>
        </w:rPr>
        <w:t xml:space="preserve"> </w:t>
      </w:r>
      <w:bookmarkEnd w:id="5"/>
      <w:r>
        <w:rPr>
          <w:rFonts w:cs="Arial"/>
          <w:szCs w:val="28"/>
        </w:rPr>
        <w:t xml:space="preserve">higher than the rate originally included in the emergency rulemaking package. Information about the CalHR rate is available online at </w:t>
      </w:r>
      <w:hyperlink r:id="rId11" w:history="1">
        <w:r>
          <w:rPr>
            <w:rStyle w:val="Hyperlink"/>
            <w:rFonts w:cs="Arial"/>
            <w:color w:val="0000FF"/>
            <w:szCs w:val="28"/>
          </w:rPr>
          <w:t>https://www.calhr.ca.gov/employees/pages/travel-reimbursements.aspx</w:t>
        </w:r>
      </w:hyperlink>
      <w:r w:rsidRPr="00EE3D59">
        <w:rPr>
          <w:rFonts w:cs="Arial"/>
          <w:szCs w:val="28"/>
        </w:rPr>
        <w:t>, the</w:t>
      </w:r>
      <w:r>
        <w:rPr>
          <w:rFonts w:cs="Arial"/>
          <w:color w:val="FF0000"/>
          <w:szCs w:val="28"/>
        </w:rPr>
        <w:t xml:space="preserve"> </w:t>
      </w:r>
      <w:r w:rsidRPr="00EE3D59">
        <w:rPr>
          <w:rFonts w:cs="Arial"/>
          <w:szCs w:val="28"/>
        </w:rPr>
        <w:lastRenderedPageBreak/>
        <w:t>specific rate is under 2023 Personal Vehicle Mileage Reimbursement Rates – Personal Vehicle (state-approved relocation.) The CalHR rate includes gas, oil, and variable costs. The rate originally proposed in the emergency rule making package only included gas. In some cases, DOR may cover costs like vehicle repair and tires separately as these costs fall under different regulations (see CCR sections 7149, 7162.5, and 7174). Rideshare costs are also covered under a different regulation (CCR section 7161).</w:t>
      </w:r>
      <w:r>
        <w:rPr>
          <w:rFonts w:cs="Arial"/>
          <w:szCs w:val="28"/>
        </w:rPr>
        <w:t xml:space="preserve"> </w:t>
      </w:r>
    </w:p>
    <w:p w14:paraId="4D10C47D" w14:textId="77777777" w:rsidR="00EE3D59" w:rsidRDefault="00EE3D59" w:rsidP="00EE3D59">
      <w:pPr>
        <w:rPr>
          <w:rFonts w:cs="Arial"/>
          <w:szCs w:val="28"/>
        </w:rPr>
      </w:pPr>
    </w:p>
    <w:p w14:paraId="174ED158" w14:textId="77777777" w:rsidR="00EE3D59" w:rsidRDefault="00EE3D59" w:rsidP="00EE3D59">
      <w:pPr>
        <w:rPr>
          <w:rFonts w:cs="Arial"/>
          <w:szCs w:val="28"/>
        </w:rPr>
      </w:pPr>
      <w:r>
        <w:rPr>
          <w:rFonts w:cs="Arial"/>
          <w:szCs w:val="28"/>
        </w:rPr>
        <w:t xml:space="preserve">Using the CalHR rate will result in a streamlined process and will reduce administrative burden as calculations by staff will not be needed. Other benefits include the fact that the CalHR rate is already approved by the State of California and that the rate is updated annually. The rate will be applied to electric cars, hybrid electric cars, gas powered cars and diesel-powered cars.  </w:t>
      </w:r>
    </w:p>
    <w:p w14:paraId="45C1DFF4" w14:textId="77777777" w:rsidR="00EE3D59" w:rsidRDefault="00EE3D59" w:rsidP="00EE3D59">
      <w:pPr>
        <w:rPr>
          <w:rFonts w:cs="Arial"/>
          <w:szCs w:val="28"/>
        </w:rPr>
      </w:pPr>
    </w:p>
    <w:p w14:paraId="39B97C51" w14:textId="77777777" w:rsidR="00EE3D59" w:rsidRDefault="00EE3D59" w:rsidP="00EE3D59">
      <w:pPr>
        <w:rPr>
          <w:rFonts w:cs="Arial"/>
          <w:szCs w:val="28"/>
        </w:rPr>
      </w:pPr>
      <w:r>
        <w:rPr>
          <w:rFonts w:cs="Arial"/>
          <w:szCs w:val="28"/>
        </w:rPr>
        <w:t xml:space="preserve">Hughes spoke about the rulemaking and public comment process. Stakeholders will be notified by email when the public comment period opens. </w:t>
      </w:r>
    </w:p>
    <w:p w14:paraId="1BE2FFC0" w14:textId="77777777" w:rsidR="00EE3D59" w:rsidRDefault="00EE3D59" w:rsidP="00EE3D59">
      <w:pPr>
        <w:rPr>
          <w:rFonts w:cs="Arial"/>
          <w:szCs w:val="28"/>
        </w:rPr>
      </w:pPr>
    </w:p>
    <w:p w14:paraId="6E7A37CC" w14:textId="77777777" w:rsidR="00EE3D59" w:rsidRDefault="00EE3D59" w:rsidP="00EE3D59">
      <w:pPr>
        <w:rPr>
          <w:rFonts w:cs="Arial"/>
          <w:szCs w:val="28"/>
        </w:rPr>
      </w:pPr>
      <w:r>
        <w:rPr>
          <w:rFonts w:cs="Arial"/>
          <w:szCs w:val="28"/>
        </w:rPr>
        <w:t>Discussion highlights and questions from the SRC members included the following:   </w:t>
      </w:r>
    </w:p>
    <w:p w14:paraId="61BB7F26" w14:textId="77777777" w:rsidR="00EE3D59" w:rsidRDefault="00EE3D59" w:rsidP="00EE3D59">
      <w:pPr>
        <w:numPr>
          <w:ilvl w:val="0"/>
          <w:numId w:val="65"/>
        </w:numPr>
        <w:rPr>
          <w:rFonts w:eastAsia="Times New Roman" w:cs="Arial"/>
          <w:szCs w:val="28"/>
        </w:rPr>
      </w:pPr>
      <w:r>
        <w:rPr>
          <w:rFonts w:eastAsia="Times New Roman" w:cs="Arial"/>
          <w:szCs w:val="28"/>
        </w:rPr>
        <w:t>Confirmed that DOR will not host a public forum for this regulation package. Stakeholders will be encouraged to share information about the public comment period opportunity with their networks.</w:t>
      </w:r>
    </w:p>
    <w:p w14:paraId="7109C053" w14:textId="77777777" w:rsidR="00EE3D59" w:rsidRPr="00EE3D59" w:rsidRDefault="00EE3D59" w:rsidP="00EE3D59">
      <w:pPr>
        <w:numPr>
          <w:ilvl w:val="0"/>
          <w:numId w:val="65"/>
        </w:numPr>
        <w:rPr>
          <w:rFonts w:eastAsia="Times New Roman" w:cs="Arial"/>
          <w:szCs w:val="28"/>
        </w:rPr>
      </w:pPr>
      <w:r>
        <w:rPr>
          <w:rFonts w:eastAsia="Times New Roman" w:cs="Arial"/>
          <w:szCs w:val="28"/>
        </w:rPr>
        <w:t xml:space="preserve">Alternatively, instead of using the mileage rate, a counselor and consumer could choose to pay for the exact amount by reimbursement from a gas </w:t>
      </w:r>
      <w:r w:rsidRPr="00EE3D59">
        <w:rPr>
          <w:rFonts w:eastAsia="Times New Roman" w:cs="Arial"/>
          <w:szCs w:val="28"/>
        </w:rPr>
        <w:t>receipt.  However, according to the regulation, that would be when the actual cost is lower than what would be provided by the mileage rate.</w:t>
      </w:r>
    </w:p>
    <w:p w14:paraId="1E242318" w14:textId="77777777" w:rsidR="00EE3D59" w:rsidRDefault="00EE3D59" w:rsidP="00EE3D59">
      <w:pPr>
        <w:numPr>
          <w:ilvl w:val="0"/>
          <w:numId w:val="65"/>
        </w:numPr>
        <w:rPr>
          <w:rFonts w:eastAsia="Times New Roman" w:cs="Arial"/>
          <w:szCs w:val="28"/>
        </w:rPr>
      </w:pPr>
      <w:r w:rsidRPr="00EE3D59">
        <w:rPr>
          <w:rFonts w:eastAsia="Times New Roman" w:cs="Arial"/>
          <w:szCs w:val="28"/>
        </w:rPr>
        <w:t>Some states use the larger IRS mileage reimbursement rate which includes calculations for car “wear and tear”, repairs and liability. This method expects consumers to take these factors into consideration when they receive their IRS mileage rate reimbursement and plan accordingly. The CalHR mileage rate may look lower but there are added benefits and</w:t>
      </w:r>
      <w:r>
        <w:rPr>
          <w:rFonts w:eastAsia="Times New Roman" w:cs="Arial"/>
          <w:szCs w:val="28"/>
        </w:rPr>
        <w:t xml:space="preserve"> flexibilities that come with it. </w:t>
      </w:r>
    </w:p>
    <w:p w14:paraId="6B631BC5" w14:textId="77777777" w:rsidR="00EE3D59" w:rsidRDefault="00EE3D59" w:rsidP="00EE3D59">
      <w:pPr>
        <w:numPr>
          <w:ilvl w:val="0"/>
          <w:numId w:val="65"/>
        </w:numPr>
        <w:rPr>
          <w:rFonts w:eastAsia="Times New Roman" w:cs="Arial"/>
          <w:szCs w:val="28"/>
        </w:rPr>
      </w:pPr>
      <w:r>
        <w:rPr>
          <w:rFonts w:eastAsia="Times New Roman" w:cs="Arial"/>
          <w:szCs w:val="28"/>
        </w:rPr>
        <w:t>It was noted that Disability Rights California appreciates the collaboration to find an equitable solution to a complicated issue.</w:t>
      </w:r>
    </w:p>
    <w:p w14:paraId="542D3C6B" w14:textId="77777777" w:rsidR="00EE3D59" w:rsidRDefault="00EE3D59" w:rsidP="00EE3D59">
      <w:pPr>
        <w:numPr>
          <w:ilvl w:val="0"/>
          <w:numId w:val="65"/>
        </w:numPr>
        <w:rPr>
          <w:rFonts w:eastAsia="Times New Roman" w:cs="Arial"/>
          <w:szCs w:val="28"/>
        </w:rPr>
      </w:pPr>
      <w:r>
        <w:rPr>
          <w:rFonts w:eastAsia="Times New Roman" w:cs="Arial"/>
          <w:szCs w:val="28"/>
        </w:rPr>
        <w:t xml:space="preserve">Impacts and issues regarding gas station accessibility were discussed. </w:t>
      </w:r>
    </w:p>
    <w:p w14:paraId="3027155A" w14:textId="0142FFDA" w:rsidR="00B405E6" w:rsidRDefault="00B405E6">
      <w:pPr>
        <w:rPr>
          <w:rFonts w:eastAsiaTheme="majorEastAsia" w:cstheme="majorBidi"/>
          <w:b/>
          <w:bCs/>
          <w:color w:val="31849B" w:themeColor="accent5" w:themeShade="BF"/>
          <w:szCs w:val="28"/>
          <w:u w:val="single"/>
        </w:rPr>
      </w:pPr>
    </w:p>
    <w:p w14:paraId="43CB997F" w14:textId="4F668568" w:rsidR="00EF7E23" w:rsidRPr="0093673E" w:rsidRDefault="00885225" w:rsidP="00D513A7">
      <w:pPr>
        <w:pStyle w:val="Heading1"/>
        <w:rPr>
          <w:u w:val="single"/>
        </w:rPr>
      </w:pPr>
      <w:r w:rsidRPr="0093673E">
        <w:rPr>
          <w:u w:val="single"/>
        </w:rPr>
        <w:t xml:space="preserve">THURSDAY, </w:t>
      </w:r>
      <w:r w:rsidR="00B523CE" w:rsidRPr="0093673E">
        <w:rPr>
          <w:u w:val="single"/>
        </w:rPr>
        <w:t>JUNE 8,</w:t>
      </w:r>
      <w:r w:rsidR="00246F62" w:rsidRPr="0093673E">
        <w:rPr>
          <w:u w:val="single"/>
        </w:rPr>
        <w:t xml:space="preserve"> 2023</w:t>
      </w:r>
    </w:p>
    <w:p w14:paraId="74CC6717" w14:textId="77777777" w:rsidR="00EF7E23" w:rsidRPr="0093673E" w:rsidRDefault="00EF7E23" w:rsidP="00EF7E23"/>
    <w:p w14:paraId="609BC1E8" w14:textId="2B18CB43" w:rsidR="00EF7E23" w:rsidRPr="0093673E" w:rsidRDefault="00AF178F" w:rsidP="00AF2BFD">
      <w:pPr>
        <w:pStyle w:val="Heading1"/>
      </w:pPr>
      <w:r w:rsidRPr="0093673E">
        <w:t>Item</w:t>
      </w:r>
      <w:r w:rsidR="003541B0" w:rsidRPr="0093673E">
        <w:t xml:space="preserve"> </w:t>
      </w:r>
      <w:r w:rsidR="007D2BDC" w:rsidRPr="0093673E">
        <w:t>11</w:t>
      </w:r>
      <w:r w:rsidRPr="0093673E">
        <w:t xml:space="preserve">: </w:t>
      </w:r>
      <w:r w:rsidR="00EF7E23" w:rsidRPr="0093673E">
        <w:t xml:space="preserve">Reconvene, Welcome, and Introductions </w:t>
      </w:r>
    </w:p>
    <w:p w14:paraId="526AD87E" w14:textId="2BF34606" w:rsidR="00EF7E23" w:rsidRPr="0093673E" w:rsidRDefault="0010634C" w:rsidP="0070060D">
      <w:r>
        <w:t xml:space="preserve">Benjamin Aviles, SRC Chair, reconvened the meeting. SRC members and meeting attendees introduced themselves. </w:t>
      </w:r>
    </w:p>
    <w:p w14:paraId="6800333C" w14:textId="77777777" w:rsidR="00EF7E23" w:rsidRPr="0093673E" w:rsidRDefault="00EF7E23" w:rsidP="00EF7E23"/>
    <w:p w14:paraId="3794E75B" w14:textId="2ED22D1F" w:rsidR="008B3CFD" w:rsidRDefault="00AF178F" w:rsidP="0010634C">
      <w:pPr>
        <w:pStyle w:val="Heading1"/>
      </w:pPr>
      <w:r w:rsidRPr="0093673E">
        <w:t>Item</w:t>
      </w:r>
      <w:r w:rsidR="003541B0" w:rsidRPr="0093673E">
        <w:t xml:space="preserve"> </w:t>
      </w:r>
      <w:r w:rsidR="007D2BDC" w:rsidRPr="0093673E">
        <w:t>12</w:t>
      </w:r>
      <w:r w:rsidRPr="0093673E">
        <w:t xml:space="preserve">: </w:t>
      </w:r>
      <w:r w:rsidR="00EF7E23" w:rsidRPr="0093673E">
        <w:t xml:space="preserve">Public Comment </w:t>
      </w:r>
    </w:p>
    <w:p w14:paraId="0842691E" w14:textId="04807F72" w:rsidR="0010634C" w:rsidRPr="0010634C" w:rsidRDefault="0010634C" w:rsidP="0010634C">
      <w:r>
        <w:t>There was no public comment.</w:t>
      </w:r>
    </w:p>
    <w:p w14:paraId="197AB0D8" w14:textId="77777777" w:rsidR="008B3CFD" w:rsidRPr="00513AAD" w:rsidRDefault="008B3CFD" w:rsidP="008B3CFD"/>
    <w:p w14:paraId="1DCB6365" w14:textId="796132C0" w:rsidR="003A49BE" w:rsidRDefault="003A49BE" w:rsidP="003A49BE">
      <w:pPr>
        <w:pStyle w:val="Heading1"/>
      </w:pPr>
      <w:r>
        <w:t xml:space="preserve">Item 13: </w:t>
      </w:r>
      <w:r w:rsidRPr="00587F0B">
        <w:t xml:space="preserve">Election of the 2023 SRC Nominating Committee </w:t>
      </w:r>
    </w:p>
    <w:p w14:paraId="0395AFF0" w14:textId="6381DB79" w:rsidR="003A49BE" w:rsidRPr="00587F0B" w:rsidRDefault="003A49BE" w:rsidP="0010634C">
      <w:pPr>
        <w:rPr>
          <w:i/>
          <w:iCs/>
        </w:rPr>
      </w:pPr>
      <w:r>
        <w:t>Kate Bjerke, SRC Executive Officer, provide</w:t>
      </w:r>
      <w:r w:rsidR="0010634C">
        <w:t>d</w:t>
      </w:r>
      <w:r>
        <w:t xml:space="preserve"> an overview of the role and responsibilities of the SRC Nominating Committee</w:t>
      </w:r>
      <w:r w:rsidR="0010634C">
        <w:t xml:space="preserve">. Bjerke presented the slate of candidates </w:t>
      </w:r>
      <w:r w:rsidR="00D91628">
        <w:t xml:space="preserve">recommended </w:t>
      </w:r>
      <w:r w:rsidR="00730707">
        <w:t xml:space="preserve">by the SRC Executive Planning Committee on April 12, 2023 </w:t>
      </w:r>
      <w:r w:rsidR="00D91628">
        <w:t>to</w:t>
      </w:r>
      <w:r w:rsidR="0010634C">
        <w:t xml:space="preserve"> serve on the </w:t>
      </w:r>
      <w:r w:rsidR="00D91628">
        <w:t xml:space="preserve">2023 </w:t>
      </w:r>
      <w:r w:rsidR="0010634C">
        <w:t>SRC Nominating Committee</w:t>
      </w:r>
      <w:r w:rsidR="00730707">
        <w:t>.</w:t>
      </w:r>
      <w:r w:rsidR="0010634C">
        <w:t xml:space="preserve"> The floor was then open for additional nominations (none received). It was moved/approved (Weller/</w:t>
      </w:r>
      <w:r w:rsidR="00E70BB1">
        <w:t>Henderson</w:t>
      </w:r>
      <w:r w:rsidR="0010634C">
        <w:t xml:space="preserve">) to </w:t>
      </w:r>
      <w:r w:rsidR="00E70BB1">
        <w:t xml:space="preserve">elect the recommended </w:t>
      </w:r>
      <w:r w:rsidR="0010634C">
        <w:t>slate of candidates</w:t>
      </w:r>
      <w:r w:rsidR="00E70BB1">
        <w:t xml:space="preserve"> to serve on the </w:t>
      </w:r>
      <w:r w:rsidR="0010634C">
        <w:t xml:space="preserve">2023 Nominating Committee: </w:t>
      </w:r>
      <w:r w:rsidR="0010634C" w:rsidRPr="000671DB">
        <w:rPr>
          <w:rFonts w:cs="Arial"/>
          <w:szCs w:val="28"/>
        </w:rPr>
        <w:t>Theresa Comstock, Chanel Brisbane, Jonathan Hasak, Kecia Weller</w:t>
      </w:r>
      <w:r w:rsidR="0010634C">
        <w:rPr>
          <w:rFonts w:cs="Arial"/>
          <w:szCs w:val="28"/>
        </w:rPr>
        <w:t>,</w:t>
      </w:r>
      <w:r w:rsidR="0010634C" w:rsidRPr="000671DB">
        <w:rPr>
          <w:rFonts w:cs="Arial"/>
          <w:szCs w:val="28"/>
        </w:rPr>
        <w:t xml:space="preserve"> and Ivan Guillen</w:t>
      </w:r>
      <w:r w:rsidR="00730707">
        <w:rPr>
          <w:rFonts w:cs="Arial"/>
          <w:szCs w:val="28"/>
        </w:rPr>
        <w:t>.</w:t>
      </w:r>
      <w:r w:rsidR="00E70BB1">
        <w:rPr>
          <w:rFonts w:cs="Arial"/>
          <w:szCs w:val="28"/>
        </w:rPr>
        <w:t xml:space="preserve"> (Yes – Comstock, Wavrin, Robinson, Aviles, Guillen, Brisbane, Henderson, Weller, Hayes), (No – 0), (Abstain – 0), (Absent – Lewis, Hasak). The motion was approved.</w:t>
      </w:r>
    </w:p>
    <w:p w14:paraId="0CD8186D" w14:textId="77777777" w:rsidR="00A302F7" w:rsidRPr="003E0D01" w:rsidRDefault="00A302F7" w:rsidP="00A302F7">
      <w:pPr>
        <w:rPr>
          <w:b/>
          <w:bCs/>
          <w:color w:val="000000" w:themeColor="text1"/>
        </w:rPr>
      </w:pPr>
    </w:p>
    <w:p w14:paraId="381A3B0B" w14:textId="10B8472E" w:rsidR="00526C44" w:rsidRDefault="00A302F7" w:rsidP="00513AAD">
      <w:pPr>
        <w:pStyle w:val="Heading1"/>
      </w:pPr>
      <w:bookmarkStart w:id="6" w:name="_Hlk135381420"/>
      <w:r w:rsidRPr="003E0D01">
        <w:t xml:space="preserve">Item </w:t>
      </w:r>
      <w:r w:rsidR="007D2BDC">
        <w:t>14</w:t>
      </w:r>
      <w:r w:rsidR="00A109DB" w:rsidRPr="003E0D01">
        <w:t>:</w:t>
      </w:r>
      <w:r w:rsidRPr="003E0D01">
        <w:t xml:space="preserve"> </w:t>
      </w:r>
      <w:bookmarkStart w:id="7" w:name="_Hlk127355866"/>
      <w:bookmarkStart w:id="8" w:name="_Hlk119307160"/>
      <w:r w:rsidR="00513AAD">
        <w:rPr>
          <w:rFonts w:cstheme="minorBidi"/>
        </w:rPr>
        <w:t xml:space="preserve">Unified State Plan Committee </w:t>
      </w:r>
      <w:r w:rsidR="00D91628">
        <w:t xml:space="preserve"> </w:t>
      </w:r>
    </w:p>
    <w:p w14:paraId="3DB2DB86" w14:textId="313A437C" w:rsidR="005625BF" w:rsidRDefault="00D95669" w:rsidP="009466C1">
      <w:pPr>
        <w:rPr>
          <w:rFonts w:cs="Arial"/>
          <w:szCs w:val="28"/>
        </w:rPr>
      </w:pPr>
      <w:r>
        <w:t xml:space="preserve">Peter Frangel, Marla Harper, and Judy Gonzalez with DOR’s Planning Unit joined the SRC to present </w:t>
      </w:r>
      <w:r w:rsidR="003429F5">
        <w:t xml:space="preserve">an overview and key takeaways from the 2021 – 2023 Comprehensive Statewide Assessment (CSA) and discuss next steps for the State Plan (reference </w:t>
      </w:r>
      <w:hyperlink w:anchor="_Appendix_C:_Unified" w:history="1">
        <w:r w:rsidR="003429F5" w:rsidRPr="000D2EB9">
          <w:rPr>
            <w:rStyle w:val="Hyperlink"/>
          </w:rPr>
          <w:t>Appendix</w:t>
        </w:r>
        <w:r w:rsidR="000D2EB9" w:rsidRPr="000D2EB9">
          <w:rPr>
            <w:rStyle w:val="Hyperlink"/>
          </w:rPr>
          <w:t xml:space="preserve"> C</w:t>
        </w:r>
      </w:hyperlink>
      <w:r w:rsidR="003429F5">
        <w:t xml:space="preserve"> for the full presentation). </w:t>
      </w:r>
      <w:bookmarkEnd w:id="7"/>
      <w:r w:rsidR="005625BF">
        <w:rPr>
          <w:rFonts w:cs="Arial"/>
          <w:szCs w:val="28"/>
        </w:rPr>
        <w:t xml:space="preserve">The CSA is a triennial study and the completion date for the 2021 – 2023 CSA is December 2023. Currently, all five sections of the CSA are drafted and are under review. The results of the CSA will inform the goals and priorities of the State Plan goals and priorities. The Planning Unit has gathered data and </w:t>
      </w:r>
      <w:r w:rsidR="00B73C25">
        <w:rPr>
          <w:rFonts w:cs="Arial"/>
          <w:szCs w:val="28"/>
        </w:rPr>
        <w:t xml:space="preserve">is now analyzing, identifying findings, and developing </w:t>
      </w:r>
      <w:r w:rsidR="005625BF">
        <w:rPr>
          <w:rFonts w:cs="Arial"/>
          <w:szCs w:val="28"/>
        </w:rPr>
        <w:t xml:space="preserve">recommendations for the State Plan. The Planning Unit would like the SRC’s participation in developing the recommendations after the analysis is completed and the findings are finalized. </w:t>
      </w:r>
    </w:p>
    <w:p w14:paraId="4B7991AD" w14:textId="46267284" w:rsidR="00421A8A" w:rsidRPr="001B5768" w:rsidRDefault="00421A8A" w:rsidP="00455103">
      <w:pPr>
        <w:pStyle w:val="ListParagraph"/>
        <w:numPr>
          <w:ilvl w:val="0"/>
          <w:numId w:val="5"/>
        </w:numPr>
        <w:rPr>
          <w:rFonts w:cs="Arial"/>
          <w:szCs w:val="28"/>
        </w:rPr>
      </w:pPr>
      <w:r w:rsidRPr="001B5768">
        <w:rPr>
          <w:rFonts w:cs="Arial"/>
          <w:szCs w:val="28"/>
        </w:rPr>
        <w:t>The counselor survey and the consumer survey (different from the Consumer Satisfaction Survey [CSS]) are new and were developed specifically for the 2021 – 2023 CS</w:t>
      </w:r>
      <w:r w:rsidR="00B73C25">
        <w:rPr>
          <w:rFonts w:cs="Arial"/>
          <w:szCs w:val="28"/>
        </w:rPr>
        <w:t>A</w:t>
      </w:r>
      <w:r w:rsidRPr="001B5768">
        <w:rPr>
          <w:rFonts w:cs="Arial"/>
          <w:szCs w:val="28"/>
        </w:rPr>
        <w:t>. Both surveys were reviewed with the SRC before distribution. The goal of the consumer survey was to</w:t>
      </w:r>
      <w:r w:rsidR="005625BF" w:rsidRPr="001B5768">
        <w:rPr>
          <w:rFonts w:cs="Arial"/>
          <w:szCs w:val="28"/>
        </w:rPr>
        <w:t xml:space="preserve"> learn about the needs of </w:t>
      </w:r>
      <w:r w:rsidR="00332A16" w:rsidRPr="001B5768">
        <w:rPr>
          <w:rFonts w:cs="Arial"/>
          <w:szCs w:val="28"/>
        </w:rPr>
        <w:t>consumers capture</w:t>
      </w:r>
      <w:r w:rsidRPr="001B5768">
        <w:rPr>
          <w:rFonts w:cs="Arial"/>
          <w:szCs w:val="28"/>
        </w:rPr>
        <w:t xml:space="preserve"> feedback from consumers who recently received DOR services and asks different questions than the CSS.</w:t>
      </w:r>
      <w:r w:rsidR="005625BF" w:rsidRPr="001B5768">
        <w:rPr>
          <w:rFonts w:cs="Arial"/>
          <w:szCs w:val="28"/>
        </w:rPr>
        <w:t xml:space="preserve"> The counselor survey gathered data on the counselor experience with consumer geographic areas, underserved populations, barriers to employment and CRPs. This survey was sent out in October 2022 to all Districts and 237 responses were received</w:t>
      </w:r>
      <w:r w:rsidR="00410D09">
        <w:rPr>
          <w:rFonts w:cs="Arial"/>
          <w:szCs w:val="28"/>
        </w:rPr>
        <w:t>.</w:t>
      </w:r>
    </w:p>
    <w:p w14:paraId="50AA5DAF" w14:textId="71C303E7" w:rsidR="00421A8A" w:rsidRDefault="00421A8A" w:rsidP="00455103">
      <w:pPr>
        <w:pStyle w:val="ListParagraph"/>
        <w:numPr>
          <w:ilvl w:val="0"/>
          <w:numId w:val="5"/>
        </w:numPr>
        <w:rPr>
          <w:rFonts w:cs="Arial"/>
          <w:szCs w:val="28"/>
        </w:rPr>
      </w:pPr>
      <w:r>
        <w:rPr>
          <w:rFonts w:cs="Arial"/>
          <w:szCs w:val="28"/>
        </w:rPr>
        <w:t xml:space="preserve">The new consumer survey was sent by email to 12,219 VR and Student Services consumers. No surface mail surveys were sent. 2,571 responses were received. </w:t>
      </w:r>
    </w:p>
    <w:p w14:paraId="35DC3A52" w14:textId="7DE7C598" w:rsidR="00421A8A" w:rsidRDefault="00421A8A" w:rsidP="00455103">
      <w:pPr>
        <w:pStyle w:val="ListParagraph"/>
        <w:numPr>
          <w:ilvl w:val="0"/>
          <w:numId w:val="5"/>
        </w:numPr>
        <w:rPr>
          <w:rFonts w:cs="Arial"/>
          <w:szCs w:val="28"/>
        </w:rPr>
      </w:pPr>
      <w:r>
        <w:rPr>
          <w:rFonts w:cs="Arial"/>
          <w:szCs w:val="28"/>
        </w:rPr>
        <w:t xml:space="preserve">Suggestion to increase the CSS response rate by utilizing texting instead of email for survey </w:t>
      </w:r>
      <w:r w:rsidR="0040374C">
        <w:rPr>
          <w:rFonts w:cs="Arial"/>
          <w:szCs w:val="28"/>
        </w:rPr>
        <w:t>delivery</w:t>
      </w:r>
      <w:r>
        <w:rPr>
          <w:rFonts w:cs="Arial"/>
          <w:szCs w:val="28"/>
        </w:rPr>
        <w:t xml:space="preserve">. SurveyMonkey and surface mail is currently being used by the DOR Planning Unit. Further discussions regarding the CSS response rate will take place during Item 16. In the past, the survey link was sent out from a DOR email address. This year, the survey was emailed out to consumers by SurveyMonkey and may have been blocked by spam </w:t>
      </w:r>
      <w:r>
        <w:rPr>
          <w:rFonts w:cs="Arial"/>
          <w:szCs w:val="28"/>
        </w:rPr>
        <w:lastRenderedPageBreak/>
        <w:t xml:space="preserve">detectors. Moving forward, it will be </w:t>
      </w:r>
      <w:r w:rsidR="00B73C25">
        <w:rPr>
          <w:rFonts w:cs="Arial"/>
          <w:szCs w:val="28"/>
        </w:rPr>
        <w:t>more effective</w:t>
      </w:r>
      <w:r>
        <w:rPr>
          <w:rFonts w:cs="Arial"/>
          <w:szCs w:val="28"/>
        </w:rPr>
        <w:t xml:space="preserve"> to send the survey from a DOR email address.</w:t>
      </w:r>
    </w:p>
    <w:p w14:paraId="36C59805" w14:textId="346817C2" w:rsidR="00421A8A" w:rsidRDefault="00421A8A" w:rsidP="00455103">
      <w:pPr>
        <w:pStyle w:val="ListParagraph"/>
        <w:numPr>
          <w:ilvl w:val="0"/>
          <w:numId w:val="5"/>
        </w:numPr>
        <w:rPr>
          <w:rFonts w:cs="Arial"/>
          <w:szCs w:val="28"/>
        </w:rPr>
      </w:pPr>
      <w:r>
        <w:rPr>
          <w:rFonts w:cs="Arial"/>
          <w:szCs w:val="28"/>
        </w:rPr>
        <w:t xml:space="preserve">Constant Contact </w:t>
      </w:r>
      <w:r w:rsidR="0040374C">
        <w:rPr>
          <w:rFonts w:cs="Arial"/>
          <w:szCs w:val="28"/>
        </w:rPr>
        <w:t xml:space="preserve">and Weebly </w:t>
      </w:r>
      <w:r w:rsidR="00B73C25">
        <w:rPr>
          <w:rFonts w:cs="Arial"/>
          <w:szCs w:val="28"/>
        </w:rPr>
        <w:t xml:space="preserve">are </w:t>
      </w:r>
      <w:r w:rsidR="0040374C">
        <w:rPr>
          <w:rFonts w:cs="Arial"/>
          <w:szCs w:val="28"/>
        </w:rPr>
        <w:t>recommended platforms</w:t>
      </w:r>
      <w:r w:rsidR="005625BF">
        <w:rPr>
          <w:rFonts w:cs="Arial"/>
          <w:szCs w:val="28"/>
        </w:rPr>
        <w:t>.</w:t>
      </w:r>
    </w:p>
    <w:bookmarkEnd w:id="6"/>
    <w:p w14:paraId="4039BF60" w14:textId="77777777" w:rsidR="007C7ADF" w:rsidRDefault="007C7ADF" w:rsidP="00C1403B">
      <w:pPr>
        <w:pStyle w:val="ListParagraph"/>
        <w:ind w:left="360"/>
      </w:pPr>
    </w:p>
    <w:p w14:paraId="76014F0B" w14:textId="77777777" w:rsidR="006C589B" w:rsidRPr="007F7952" w:rsidRDefault="00C476E4" w:rsidP="0097257C">
      <w:pPr>
        <w:pStyle w:val="Heading1"/>
      </w:pPr>
      <w:bookmarkStart w:id="9" w:name="_Hlk135730430"/>
      <w:r w:rsidRPr="007F7952">
        <w:t>Item</w:t>
      </w:r>
      <w:r w:rsidR="00587F0B" w:rsidRPr="007F7952">
        <w:t xml:space="preserve"> 15</w:t>
      </w:r>
      <w:r w:rsidRPr="007F7952">
        <w:t xml:space="preserve">: </w:t>
      </w:r>
      <w:r w:rsidR="0093673E" w:rsidRPr="007F7952">
        <w:t xml:space="preserve">Partnerships between VR and Behavioral Health Agencies </w:t>
      </w:r>
    </w:p>
    <w:bookmarkEnd w:id="9"/>
    <w:p w14:paraId="168B904D" w14:textId="3BD6B29B" w:rsidR="00CF5129" w:rsidRDefault="00A979E4" w:rsidP="00CF5129">
      <w:pPr>
        <w:rPr>
          <w:rFonts w:cs="Arial"/>
          <w:szCs w:val="28"/>
        </w:rPr>
      </w:pPr>
      <w:r w:rsidRPr="007F7952">
        <w:t>Representatives from DOR’s Executive Leadership Team</w:t>
      </w:r>
      <w:r w:rsidR="006C589B" w:rsidRPr="007F7952">
        <w:t xml:space="preserve"> </w:t>
      </w:r>
      <w:r w:rsidR="007F7952" w:rsidRPr="007F7952">
        <w:t>joined</w:t>
      </w:r>
      <w:r w:rsidR="006C589B" w:rsidRPr="007F7952">
        <w:t xml:space="preserve"> the SRC for a discussion on SRC recommendation 2022.3 “Expanding Partnerships between Vocational Rehabilitation and Behavioral Health Agencies.” </w:t>
      </w:r>
      <w:r w:rsidR="007F7952" w:rsidRPr="007F7952">
        <w:t xml:space="preserve">Victor Duron, </w:t>
      </w:r>
      <w:r w:rsidR="007F7952">
        <w:t xml:space="preserve">DOR </w:t>
      </w:r>
      <w:r w:rsidR="007F7952" w:rsidRPr="007F7952">
        <w:t>Chief Deputy Director</w:t>
      </w:r>
      <w:r w:rsidR="007F7952">
        <w:t>, began</w:t>
      </w:r>
      <w:r w:rsidR="00923CDA">
        <w:t xml:space="preserve"> by acknowledging that the SRC’s recommendation aligns with DOR’s thinking and that behavioral health is a major initiative for the Department. DOR is developing a framework for serving consumers with behavioral health disabilities that will include specific goals regarding wage attainment, employment outcomes and equity. The three elements of the SRC’s recommendation (1</w:t>
      </w:r>
      <w:r w:rsidR="00C1403B">
        <w:t xml:space="preserve"> –</w:t>
      </w:r>
      <w:r w:rsidR="00923CDA">
        <w:t xml:space="preserve"> identify barriers, challenges, and successful programs; 2 – identify the key stakeholders and leaders on the state and local level; and 3 – increase communication, resources and training for agencies and organizations) will be reflected in DOR’s framework. DOR’s </w:t>
      </w:r>
      <w:r w:rsidR="00C1403B">
        <w:t xml:space="preserve">efforts </w:t>
      </w:r>
      <w:r w:rsidR="00923CDA">
        <w:t xml:space="preserve">will take place within the broader statewide </w:t>
      </w:r>
      <w:r w:rsidR="00C1403B">
        <w:t>initiatives</w:t>
      </w:r>
      <w:r w:rsidR="00923CDA">
        <w:t xml:space="preserve"> led by the Administration to address and reform the behavioral health system. DOR has a responsibility to follow the lead of the Administration and identify how and where DOR can support the broader effort. Mark Erlichman, Deputy Director, DOR Employment Division, explained that DOR’s Regional Directors are building relationships with the county behavioral health programs in their areas to develop local partnerships that fit the communities. Erlichman highlighted several DOR initiatives, including DOR’s cooperative programs, a partnership with the California Department of State Hospitals, peer support specialist certifications, supporting individuals exiting the youth and adult justice systems, serving foster youth, utilizing the individualized placement and support (IPS) model, and serving individuals who are homeless. </w:t>
      </w:r>
      <w:r w:rsidR="00CF5129">
        <w:t>Erlichman reviewed DOR’s initiative to</w:t>
      </w:r>
      <w:r w:rsidR="00923CDA">
        <w:rPr>
          <w:rFonts w:cs="Arial"/>
          <w:szCs w:val="28"/>
        </w:rPr>
        <w:t xml:space="preserve"> improve the employment outcomes and earnings for people living with behavioral health conditions, with a focus on equity, with four specific targeted goals for individuals with behavioral health disabilities: </w:t>
      </w:r>
    </w:p>
    <w:p w14:paraId="26F281C8" w14:textId="77777777" w:rsidR="007D332A" w:rsidRDefault="00CF5129" w:rsidP="008265B2">
      <w:pPr>
        <w:pStyle w:val="ListParagraph"/>
        <w:numPr>
          <w:ilvl w:val="0"/>
          <w:numId w:val="45"/>
        </w:numPr>
        <w:rPr>
          <w:rFonts w:cs="Arial"/>
          <w:szCs w:val="28"/>
        </w:rPr>
      </w:pPr>
      <w:r w:rsidRPr="00CF5129">
        <w:rPr>
          <w:rFonts w:cs="Arial"/>
          <w:szCs w:val="28"/>
        </w:rPr>
        <w:t>Universally increase employment outcomes from 44% to 55%.</w:t>
      </w:r>
    </w:p>
    <w:p w14:paraId="47A50D0A" w14:textId="77777777" w:rsidR="007D332A" w:rsidRDefault="00CF5129" w:rsidP="008265B2">
      <w:pPr>
        <w:pStyle w:val="ListParagraph"/>
        <w:numPr>
          <w:ilvl w:val="0"/>
          <w:numId w:val="45"/>
        </w:numPr>
        <w:rPr>
          <w:rFonts w:cs="Arial"/>
          <w:szCs w:val="28"/>
        </w:rPr>
      </w:pPr>
      <w:r w:rsidRPr="007D332A">
        <w:rPr>
          <w:rFonts w:cs="Arial"/>
          <w:szCs w:val="28"/>
        </w:rPr>
        <w:t>Universally increase quarterly median earnings for all to $7,000.</w:t>
      </w:r>
    </w:p>
    <w:p w14:paraId="4438A6B8" w14:textId="77777777" w:rsidR="007D332A" w:rsidRDefault="00CF5129" w:rsidP="008265B2">
      <w:pPr>
        <w:pStyle w:val="ListParagraph"/>
        <w:numPr>
          <w:ilvl w:val="0"/>
          <w:numId w:val="45"/>
        </w:numPr>
        <w:rPr>
          <w:rFonts w:cs="Arial"/>
          <w:szCs w:val="28"/>
        </w:rPr>
      </w:pPr>
      <w:r w:rsidRPr="007D332A">
        <w:rPr>
          <w:rFonts w:cs="Arial"/>
          <w:szCs w:val="28"/>
        </w:rPr>
        <w:t>Ensure Black or African American participants also see an increase in quarterly median earnings to $7,000.</w:t>
      </w:r>
    </w:p>
    <w:p w14:paraId="404D85FC" w14:textId="11F616F2" w:rsidR="00CF5A39" w:rsidRDefault="00CF5129" w:rsidP="008265B2">
      <w:pPr>
        <w:pStyle w:val="ListParagraph"/>
        <w:numPr>
          <w:ilvl w:val="0"/>
          <w:numId w:val="45"/>
        </w:numPr>
        <w:rPr>
          <w:rFonts w:cs="Arial"/>
          <w:szCs w:val="28"/>
        </w:rPr>
      </w:pPr>
      <w:r w:rsidRPr="007D332A">
        <w:rPr>
          <w:rFonts w:cs="Arial"/>
          <w:szCs w:val="28"/>
        </w:rPr>
        <w:t>Ensure Hispanic participants also see an increase in quarterly median earnings to $7,000.</w:t>
      </w:r>
    </w:p>
    <w:p w14:paraId="72A8731F" w14:textId="77777777" w:rsidR="00CF5129" w:rsidRDefault="00CF5129" w:rsidP="00022840">
      <w:pPr>
        <w:rPr>
          <w:i/>
          <w:iCs/>
        </w:rPr>
      </w:pPr>
    </w:p>
    <w:p w14:paraId="5AD4374D" w14:textId="5BC93CA1" w:rsidR="00B73C25" w:rsidRDefault="00CF5129" w:rsidP="00022840">
      <w:r>
        <w:t xml:space="preserve">Jessica Grove, Deputy Director, DOR VR Resources and Policy Division, spoke about DOR’s Integrating Employment in Recovery Initiative. </w:t>
      </w:r>
    </w:p>
    <w:p w14:paraId="5227D9A8" w14:textId="5DD5F4D2" w:rsidR="00B73C25" w:rsidRDefault="00B73C25" w:rsidP="00022840"/>
    <w:p w14:paraId="741E009D" w14:textId="3E0A8F8E" w:rsidR="00B73C25" w:rsidRDefault="00B73C25" w:rsidP="00022840"/>
    <w:p w14:paraId="363212A1" w14:textId="77777777" w:rsidR="00B73C25" w:rsidRDefault="00B73C25" w:rsidP="00022840"/>
    <w:p w14:paraId="52DAA14A" w14:textId="3A006FD1" w:rsidR="00CF5129" w:rsidRDefault="00CF5129" w:rsidP="00022840">
      <w:r>
        <w:lastRenderedPageBreak/>
        <w:t>SRC member comments included the following:</w:t>
      </w:r>
    </w:p>
    <w:p w14:paraId="38A217FF" w14:textId="5034CE48" w:rsidR="00CF5A39" w:rsidRDefault="00E326AD" w:rsidP="008265B2">
      <w:pPr>
        <w:pStyle w:val="ListParagraph"/>
        <w:numPr>
          <w:ilvl w:val="0"/>
          <w:numId w:val="44"/>
        </w:numPr>
        <w:rPr>
          <w:i/>
          <w:iCs/>
        </w:rPr>
      </w:pPr>
      <w:r>
        <w:t xml:space="preserve">An important part of the culture shift is the concept of stability – staff should understand that a client with mental health disabilities does not need to be stable before receiving services and working. Employment is part of recovery. </w:t>
      </w:r>
      <w:r>
        <w:rPr>
          <w:i/>
          <w:iCs/>
        </w:rPr>
        <w:t xml:space="preserve"> </w:t>
      </w:r>
    </w:p>
    <w:p w14:paraId="54146B75" w14:textId="1037979F" w:rsidR="00CF5A39" w:rsidRDefault="00E326AD" w:rsidP="008265B2">
      <w:pPr>
        <w:pStyle w:val="ListParagraph"/>
        <w:numPr>
          <w:ilvl w:val="0"/>
          <w:numId w:val="44"/>
        </w:numPr>
        <w:rPr>
          <w:i/>
          <w:iCs/>
        </w:rPr>
      </w:pPr>
      <w:r>
        <w:t xml:space="preserve">Utilize the existing regulations to provide job coaching, which can provide consumers with support on </w:t>
      </w:r>
      <w:r w:rsidR="00C1403B">
        <w:t>accepting constructive</w:t>
      </w:r>
      <w:r>
        <w:t xml:space="preserve"> feedback and discuss</w:t>
      </w:r>
      <w:r w:rsidR="00C1403B">
        <w:t>ing</w:t>
      </w:r>
      <w:r>
        <w:t xml:space="preserve"> accommodations. The regulations can also be utilized to </w:t>
      </w:r>
      <w:r w:rsidR="007D332A">
        <w:t xml:space="preserve">provide physical and mental health restoration services to consumers.  </w:t>
      </w:r>
      <w:r>
        <w:t xml:space="preserve"> </w:t>
      </w:r>
      <w:r>
        <w:rPr>
          <w:i/>
          <w:iCs/>
        </w:rPr>
        <w:t xml:space="preserve"> </w:t>
      </w:r>
    </w:p>
    <w:p w14:paraId="04432CA6" w14:textId="3FC058A6" w:rsidR="007D332A" w:rsidRPr="007D332A" w:rsidRDefault="007D332A" w:rsidP="008265B2">
      <w:pPr>
        <w:pStyle w:val="ListParagraph"/>
        <w:numPr>
          <w:ilvl w:val="0"/>
          <w:numId w:val="44"/>
        </w:numPr>
      </w:pPr>
      <w:r w:rsidRPr="007D332A">
        <w:t>AB 459</w:t>
      </w:r>
      <w:r>
        <w:t xml:space="preserve"> “</w:t>
      </w:r>
      <w:r w:rsidRPr="007D332A">
        <w:t>California Behavioral Health Outcomes and Accountability Review</w:t>
      </w:r>
      <w:r>
        <w:t xml:space="preserve">” includes an employment component. </w:t>
      </w:r>
    </w:p>
    <w:p w14:paraId="47F7F484" w14:textId="687CBE4A" w:rsidR="00CF5A39" w:rsidRPr="007D332A" w:rsidRDefault="007D332A" w:rsidP="008265B2">
      <w:pPr>
        <w:pStyle w:val="ListParagraph"/>
        <w:numPr>
          <w:ilvl w:val="0"/>
          <w:numId w:val="44"/>
        </w:numPr>
      </w:pPr>
      <w:r w:rsidRPr="007D332A">
        <w:t>Suggestion to involve i</w:t>
      </w:r>
      <w:r w:rsidR="007D6A24" w:rsidRPr="007D332A">
        <w:t xml:space="preserve">ndependent living centers </w:t>
      </w:r>
      <w:r w:rsidR="000432A4">
        <w:t>and connect with transitional housing programs.</w:t>
      </w:r>
    </w:p>
    <w:p w14:paraId="664012B4" w14:textId="77C9D9F6" w:rsidR="007D6A24" w:rsidRDefault="007D6A24" w:rsidP="000432A4"/>
    <w:p w14:paraId="156D60AC" w14:textId="633F61ED" w:rsidR="000432A4" w:rsidRPr="007D332A" w:rsidRDefault="000432A4" w:rsidP="000432A4">
      <w:r>
        <w:t xml:space="preserve">Public comment: Danny Marquez commented that the SRC’s recommendation to develop a </w:t>
      </w:r>
      <w:r w:rsidR="00C1403B">
        <w:t xml:space="preserve">blueprint is valuable. He </w:t>
      </w:r>
      <w:r>
        <w:t xml:space="preserve">suggested that DOR increase involvement with community partners. </w:t>
      </w:r>
    </w:p>
    <w:p w14:paraId="39EEAFF5" w14:textId="77777777" w:rsidR="00CF3557" w:rsidRPr="004A62E9" w:rsidRDefault="00CF3557" w:rsidP="00CF3557">
      <w:pPr>
        <w:rPr>
          <w:highlight w:val="yellow"/>
          <w:u w:val="single"/>
        </w:rPr>
      </w:pPr>
    </w:p>
    <w:p w14:paraId="14E12B90" w14:textId="4FC80264" w:rsidR="00CF3557" w:rsidRPr="000D2EB9" w:rsidRDefault="00587F0B" w:rsidP="0097257C">
      <w:pPr>
        <w:pStyle w:val="Heading1"/>
      </w:pPr>
      <w:bookmarkStart w:id="10" w:name="_Hlk135381437"/>
      <w:r w:rsidRPr="000D2EB9">
        <w:t xml:space="preserve">Item 16: </w:t>
      </w:r>
      <w:r w:rsidR="00CF3557" w:rsidRPr="000D2EB9">
        <w:t xml:space="preserve">SRC Monitoring and Evaluation Committee </w:t>
      </w:r>
    </w:p>
    <w:p w14:paraId="27810BEE" w14:textId="6E8194E9" w:rsidR="009466C1" w:rsidRPr="000D2EB9" w:rsidRDefault="009466C1" w:rsidP="009466C1">
      <w:pPr>
        <w:rPr>
          <w:rFonts w:cs="Arial"/>
          <w:color w:val="000000" w:themeColor="text1"/>
          <w:szCs w:val="28"/>
        </w:rPr>
      </w:pPr>
      <w:r w:rsidRPr="000D2EB9">
        <w:rPr>
          <w:rFonts w:cs="Arial"/>
          <w:color w:val="000000" w:themeColor="text1"/>
          <w:szCs w:val="28"/>
        </w:rPr>
        <w:t xml:space="preserve">The DOR Planning Unit </w:t>
      </w:r>
      <w:r w:rsidR="000D2EB9">
        <w:rPr>
          <w:rFonts w:cs="Arial"/>
          <w:color w:val="000000" w:themeColor="text1"/>
          <w:szCs w:val="28"/>
        </w:rPr>
        <w:t>joined the SRC to present the</w:t>
      </w:r>
      <w:r w:rsidRPr="000D2EB9">
        <w:rPr>
          <w:rFonts w:cs="Arial"/>
          <w:color w:val="000000" w:themeColor="text1"/>
          <w:szCs w:val="28"/>
        </w:rPr>
        <w:t xml:space="preserve"> results and analysis of the 2022 Consumer Satisfaction Survey (CSS) and </w:t>
      </w:r>
      <w:r w:rsidR="00837144">
        <w:rPr>
          <w:rFonts w:cs="Arial"/>
          <w:color w:val="000000" w:themeColor="text1"/>
          <w:szCs w:val="28"/>
        </w:rPr>
        <w:t xml:space="preserve">to </w:t>
      </w:r>
      <w:r w:rsidR="000D2EB9">
        <w:rPr>
          <w:rFonts w:cs="Arial"/>
          <w:color w:val="000000" w:themeColor="text1"/>
          <w:szCs w:val="28"/>
        </w:rPr>
        <w:t>provide a</w:t>
      </w:r>
      <w:r w:rsidRPr="000D2EB9">
        <w:rPr>
          <w:rFonts w:cs="Arial"/>
          <w:color w:val="000000" w:themeColor="text1"/>
          <w:szCs w:val="28"/>
        </w:rPr>
        <w:t xml:space="preserve"> demonstration of the CSS data dashboard</w:t>
      </w:r>
      <w:r w:rsidR="00837144">
        <w:rPr>
          <w:rFonts w:cs="Arial"/>
          <w:color w:val="000000" w:themeColor="text1"/>
          <w:szCs w:val="28"/>
        </w:rPr>
        <w:t>.</w:t>
      </w:r>
    </w:p>
    <w:p w14:paraId="13F3B8B0" w14:textId="5ACE0A58" w:rsidR="008145B4" w:rsidRPr="004A62E9" w:rsidRDefault="00E326AD" w:rsidP="009466C1">
      <w:pPr>
        <w:rPr>
          <w:rFonts w:cs="Arial"/>
          <w:i/>
          <w:iCs/>
          <w:color w:val="000000" w:themeColor="text1"/>
          <w:szCs w:val="28"/>
          <w:highlight w:val="yellow"/>
        </w:rPr>
      </w:pPr>
      <w:r>
        <w:rPr>
          <w:rFonts w:cs="Arial"/>
          <w:i/>
          <w:iCs/>
          <w:color w:val="000000" w:themeColor="text1"/>
          <w:szCs w:val="28"/>
          <w:highlight w:val="yellow"/>
        </w:rPr>
        <w:t xml:space="preserve"> </w:t>
      </w:r>
    </w:p>
    <w:p w14:paraId="40EDC5D7" w14:textId="166C01E7" w:rsidR="00D21273" w:rsidRPr="00837144" w:rsidRDefault="00D21273" w:rsidP="003549EF">
      <w:pPr>
        <w:rPr>
          <w:rFonts w:cs="Arial"/>
          <w:bCs/>
          <w:szCs w:val="28"/>
        </w:rPr>
      </w:pPr>
      <w:bookmarkStart w:id="11" w:name="_Hlk60718988"/>
      <w:bookmarkEnd w:id="10"/>
      <w:bookmarkEnd w:id="8"/>
      <w:r w:rsidRPr="00837144">
        <w:rPr>
          <w:rFonts w:cs="Arial"/>
          <w:bCs/>
          <w:szCs w:val="28"/>
        </w:rPr>
        <w:t xml:space="preserve">Peter Frangel, DOR Strategic Initiatives Officer, explained that the CSS is an annual survey to assess the satisfaction levels of DOR consumers. </w:t>
      </w:r>
      <w:r w:rsidR="00837144">
        <w:rPr>
          <w:rFonts w:cs="Arial"/>
          <w:bCs/>
          <w:szCs w:val="28"/>
        </w:rPr>
        <w:t>He noted that the CSS is d</w:t>
      </w:r>
      <w:r w:rsidRPr="00837144">
        <w:rPr>
          <w:rFonts w:cs="Arial"/>
          <w:bCs/>
          <w:szCs w:val="28"/>
        </w:rPr>
        <w:t xml:space="preserve">ifferent than the </w:t>
      </w:r>
      <w:r w:rsidR="00837144">
        <w:rPr>
          <w:rFonts w:cs="Arial"/>
          <w:bCs/>
          <w:szCs w:val="28"/>
        </w:rPr>
        <w:t>“</w:t>
      </w:r>
      <w:r w:rsidRPr="00837144">
        <w:rPr>
          <w:rFonts w:cs="Arial"/>
          <w:bCs/>
          <w:szCs w:val="28"/>
        </w:rPr>
        <w:t>consumer survey</w:t>
      </w:r>
      <w:r w:rsidR="00837144">
        <w:rPr>
          <w:rFonts w:cs="Arial"/>
          <w:bCs/>
          <w:szCs w:val="28"/>
        </w:rPr>
        <w:t>”</w:t>
      </w:r>
      <w:r w:rsidRPr="00837144">
        <w:rPr>
          <w:rFonts w:cs="Arial"/>
          <w:bCs/>
          <w:szCs w:val="28"/>
        </w:rPr>
        <w:t xml:space="preserve"> sent out this year as part of the Comprehensive Statewide Assessment </w:t>
      </w:r>
      <w:r w:rsidR="00837144">
        <w:rPr>
          <w:rFonts w:cs="Arial"/>
          <w:bCs/>
          <w:szCs w:val="28"/>
        </w:rPr>
        <w:t xml:space="preserve">(CSA) </w:t>
      </w:r>
      <w:r w:rsidRPr="00837144">
        <w:rPr>
          <w:rFonts w:cs="Arial"/>
          <w:bCs/>
          <w:szCs w:val="28"/>
        </w:rPr>
        <w:t>to gather information on consumer needs and service types.</w:t>
      </w:r>
      <w:r w:rsidR="006667BE" w:rsidRPr="00837144">
        <w:rPr>
          <w:rFonts w:cs="Arial"/>
          <w:bCs/>
          <w:szCs w:val="28"/>
        </w:rPr>
        <w:t xml:space="preserve"> Frangel noted that the </w:t>
      </w:r>
      <w:r w:rsidRPr="00837144">
        <w:rPr>
          <w:rFonts w:cs="Arial"/>
          <w:bCs/>
          <w:szCs w:val="28"/>
        </w:rPr>
        <w:t xml:space="preserve">2022 CSS results do not include race or ethnicity </w:t>
      </w:r>
      <w:r w:rsidR="006667BE" w:rsidRPr="00837144">
        <w:rPr>
          <w:rFonts w:cs="Arial"/>
          <w:bCs/>
          <w:szCs w:val="28"/>
        </w:rPr>
        <w:t>demographic</w:t>
      </w:r>
      <w:r w:rsidRPr="00837144">
        <w:rPr>
          <w:rFonts w:cs="Arial"/>
          <w:bCs/>
          <w:szCs w:val="28"/>
        </w:rPr>
        <w:t xml:space="preserve"> data, but the 2023 CSS survey</w:t>
      </w:r>
      <w:r w:rsidR="00837144">
        <w:rPr>
          <w:rFonts w:cs="Arial"/>
          <w:bCs/>
          <w:szCs w:val="28"/>
        </w:rPr>
        <w:t xml:space="preserve"> will </w:t>
      </w:r>
      <w:r w:rsidR="00837144" w:rsidRPr="00837144">
        <w:rPr>
          <w:rFonts w:cs="Arial"/>
          <w:bCs/>
          <w:szCs w:val="28"/>
        </w:rPr>
        <w:t>capture</w:t>
      </w:r>
      <w:r w:rsidRPr="00837144">
        <w:rPr>
          <w:rFonts w:cs="Arial"/>
          <w:bCs/>
          <w:szCs w:val="28"/>
        </w:rPr>
        <w:t xml:space="preserve"> this information. </w:t>
      </w:r>
      <w:r w:rsidR="00837144">
        <w:rPr>
          <w:rFonts w:cs="Arial"/>
          <w:bCs/>
          <w:szCs w:val="28"/>
        </w:rPr>
        <w:t>The</w:t>
      </w:r>
      <w:r w:rsidRPr="00837144">
        <w:rPr>
          <w:rFonts w:cs="Arial"/>
          <w:bCs/>
          <w:szCs w:val="28"/>
        </w:rPr>
        <w:t xml:space="preserve"> 2022 CSS </w:t>
      </w:r>
      <w:r w:rsidR="006667BE" w:rsidRPr="00837144">
        <w:rPr>
          <w:rFonts w:cs="Arial"/>
          <w:bCs/>
          <w:szCs w:val="28"/>
        </w:rPr>
        <w:t>recipients</w:t>
      </w:r>
      <w:r w:rsidRPr="00837144">
        <w:rPr>
          <w:rFonts w:cs="Arial"/>
          <w:bCs/>
          <w:szCs w:val="28"/>
        </w:rPr>
        <w:t xml:space="preserve"> included both VR participants seeking employment</w:t>
      </w:r>
      <w:r w:rsidR="00837144">
        <w:rPr>
          <w:rFonts w:cs="Arial"/>
          <w:bCs/>
          <w:szCs w:val="28"/>
        </w:rPr>
        <w:t xml:space="preserve">, </w:t>
      </w:r>
      <w:r w:rsidRPr="00837144">
        <w:rPr>
          <w:rFonts w:cs="Arial"/>
          <w:bCs/>
          <w:szCs w:val="28"/>
        </w:rPr>
        <w:t xml:space="preserve">and students under the </w:t>
      </w:r>
      <w:r w:rsidR="00837144">
        <w:rPr>
          <w:rFonts w:cs="Arial"/>
          <w:bCs/>
          <w:szCs w:val="28"/>
        </w:rPr>
        <w:t>“</w:t>
      </w:r>
      <w:r w:rsidRPr="00837144">
        <w:rPr>
          <w:rFonts w:cs="Arial"/>
          <w:bCs/>
          <w:szCs w:val="28"/>
        </w:rPr>
        <w:t>potentially eligible</w:t>
      </w:r>
      <w:r w:rsidR="00837144">
        <w:rPr>
          <w:rFonts w:cs="Arial"/>
          <w:bCs/>
          <w:szCs w:val="28"/>
        </w:rPr>
        <w:t>”</w:t>
      </w:r>
      <w:r w:rsidRPr="00837144">
        <w:rPr>
          <w:rFonts w:cs="Arial"/>
          <w:bCs/>
          <w:szCs w:val="28"/>
        </w:rPr>
        <w:t xml:space="preserve"> case type. </w:t>
      </w:r>
      <w:r w:rsidR="00837144">
        <w:rPr>
          <w:rFonts w:cs="Arial"/>
          <w:bCs/>
          <w:szCs w:val="28"/>
        </w:rPr>
        <w:t xml:space="preserve">In 2023, the CSS will </w:t>
      </w:r>
      <w:r w:rsidRPr="00837144">
        <w:rPr>
          <w:rFonts w:cs="Arial"/>
          <w:bCs/>
          <w:szCs w:val="28"/>
        </w:rPr>
        <w:t>be administered separately for these two groups</w:t>
      </w:r>
      <w:r w:rsidR="006667BE" w:rsidRPr="00837144">
        <w:rPr>
          <w:rFonts w:cs="Arial"/>
          <w:bCs/>
          <w:szCs w:val="28"/>
        </w:rPr>
        <w:t xml:space="preserve"> to allow for </w:t>
      </w:r>
      <w:r w:rsidR="00837144">
        <w:rPr>
          <w:rFonts w:cs="Arial"/>
          <w:bCs/>
          <w:szCs w:val="28"/>
        </w:rPr>
        <w:t xml:space="preserve">more accurate analysis. </w:t>
      </w:r>
      <w:r w:rsidR="006667BE" w:rsidRPr="00837144">
        <w:rPr>
          <w:rFonts w:cs="Arial"/>
          <w:bCs/>
          <w:szCs w:val="28"/>
        </w:rPr>
        <w:t xml:space="preserve">  </w:t>
      </w:r>
    </w:p>
    <w:p w14:paraId="146181F6" w14:textId="77777777" w:rsidR="006667BE" w:rsidRPr="00837144" w:rsidRDefault="006667BE" w:rsidP="003549EF">
      <w:pPr>
        <w:rPr>
          <w:rFonts w:cs="Arial"/>
          <w:bCs/>
          <w:szCs w:val="28"/>
        </w:rPr>
      </w:pPr>
    </w:p>
    <w:p w14:paraId="41D964E0" w14:textId="77777777" w:rsidR="00C1403B" w:rsidRDefault="006667BE" w:rsidP="00837144">
      <w:pPr>
        <w:rPr>
          <w:rFonts w:cs="Arial"/>
          <w:bCs/>
          <w:szCs w:val="28"/>
        </w:rPr>
      </w:pPr>
      <w:r w:rsidRPr="00837144">
        <w:rPr>
          <w:rFonts w:cs="Arial"/>
          <w:bCs/>
          <w:szCs w:val="28"/>
        </w:rPr>
        <w:t xml:space="preserve">Marla Harper, </w:t>
      </w:r>
      <w:r w:rsidRPr="006667BE">
        <w:rPr>
          <w:rFonts w:cs="Arial"/>
          <w:bCs/>
          <w:szCs w:val="28"/>
        </w:rPr>
        <w:t>Research Data Analyst II</w:t>
      </w:r>
      <w:r>
        <w:rPr>
          <w:rFonts w:cs="Arial"/>
          <w:bCs/>
          <w:szCs w:val="28"/>
        </w:rPr>
        <w:t xml:space="preserve">, DOR Planning Unit, presented the 2022 CSS results and dashboard (reference </w:t>
      </w:r>
      <w:hyperlink w:anchor="_Appendix_D:_Monitoring" w:history="1">
        <w:r w:rsidRPr="006667BE">
          <w:rPr>
            <w:rStyle w:val="Hyperlink"/>
            <w:rFonts w:cs="Arial"/>
            <w:bCs/>
            <w:szCs w:val="28"/>
          </w:rPr>
          <w:t>Appendix D</w:t>
        </w:r>
      </w:hyperlink>
      <w:r>
        <w:rPr>
          <w:rFonts w:cs="Arial"/>
          <w:bCs/>
          <w:szCs w:val="28"/>
        </w:rPr>
        <w:t xml:space="preserve"> for the full presentation). </w:t>
      </w:r>
    </w:p>
    <w:p w14:paraId="2BC504C2" w14:textId="77777777" w:rsidR="00C1403B" w:rsidRDefault="00C1403B" w:rsidP="00837144">
      <w:pPr>
        <w:rPr>
          <w:rFonts w:cs="Arial"/>
          <w:bCs/>
          <w:szCs w:val="28"/>
        </w:rPr>
      </w:pPr>
    </w:p>
    <w:p w14:paraId="61CCBD4D" w14:textId="4BFFB4B9" w:rsidR="006667BE" w:rsidRDefault="00837144" w:rsidP="00837144">
      <w:r>
        <w:rPr>
          <w:rFonts w:cs="Arial"/>
          <w:bCs/>
          <w:szCs w:val="28"/>
        </w:rPr>
        <w:t>SRC member comments and discussion highlights included the following:</w:t>
      </w:r>
    </w:p>
    <w:p w14:paraId="35DF81E8" w14:textId="3E3024EE" w:rsidR="00837144" w:rsidRDefault="001A6940" w:rsidP="00837144">
      <w:pPr>
        <w:pStyle w:val="ListParagraph"/>
        <w:numPr>
          <w:ilvl w:val="0"/>
          <w:numId w:val="61"/>
        </w:numPr>
        <w:spacing w:after="160" w:line="259" w:lineRule="auto"/>
      </w:pPr>
      <w:r>
        <w:t xml:space="preserve">Observation that the </w:t>
      </w:r>
      <w:r w:rsidR="00825E15">
        <w:t xml:space="preserve">CSS response rate </w:t>
      </w:r>
      <w:r w:rsidR="00837144">
        <w:t>has been declining</w:t>
      </w:r>
      <w:r>
        <w:t xml:space="preserve">: </w:t>
      </w:r>
    </w:p>
    <w:p w14:paraId="7B2F4CE4" w14:textId="77777777" w:rsidR="00837144" w:rsidRDefault="00825E15" w:rsidP="00837144">
      <w:pPr>
        <w:pStyle w:val="ListParagraph"/>
        <w:numPr>
          <w:ilvl w:val="1"/>
          <w:numId w:val="61"/>
        </w:numPr>
        <w:spacing w:after="160" w:line="259" w:lineRule="auto"/>
      </w:pPr>
      <w:r>
        <w:t xml:space="preserve">2017/18 </w:t>
      </w:r>
      <w:r w:rsidR="00837144">
        <w:t xml:space="preserve">= </w:t>
      </w:r>
      <w:r>
        <w:t>response rate of 23.4%</w:t>
      </w:r>
    </w:p>
    <w:p w14:paraId="1BF3C093" w14:textId="77777777" w:rsidR="00837144" w:rsidRDefault="00825E15" w:rsidP="00837144">
      <w:pPr>
        <w:pStyle w:val="ListParagraph"/>
        <w:numPr>
          <w:ilvl w:val="1"/>
          <w:numId w:val="61"/>
        </w:numPr>
        <w:spacing w:after="160" w:line="259" w:lineRule="auto"/>
      </w:pPr>
      <w:r>
        <w:t xml:space="preserve">2018/19 </w:t>
      </w:r>
      <w:r w:rsidR="00837144">
        <w:t>=</w:t>
      </w:r>
      <w:r>
        <w:t xml:space="preserve"> response rate of 18.7%</w:t>
      </w:r>
    </w:p>
    <w:p w14:paraId="50464E03" w14:textId="77777777" w:rsidR="00837144" w:rsidRDefault="00825E15" w:rsidP="00837144">
      <w:pPr>
        <w:pStyle w:val="ListParagraph"/>
        <w:numPr>
          <w:ilvl w:val="1"/>
          <w:numId w:val="61"/>
        </w:numPr>
        <w:spacing w:after="160" w:line="259" w:lineRule="auto"/>
      </w:pPr>
      <w:r>
        <w:t xml:space="preserve">2020/21 </w:t>
      </w:r>
      <w:r w:rsidR="00837144">
        <w:t>=</w:t>
      </w:r>
      <w:r>
        <w:t xml:space="preserve"> response rate of 16.6%</w:t>
      </w:r>
    </w:p>
    <w:p w14:paraId="758887A0" w14:textId="3A016E60" w:rsidR="00837144" w:rsidRDefault="00825E15" w:rsidP="00825E15">
      <w:pPr>
        <w:pStyle w:val="ListParagraph"/>
        <w:numPr>
          <w:ilvl w:val="1"/>
          <w:numId w:val="61"/>
        </w:numPr>
        <w:spacing w:after="160" w:line="259" w:lineRule="auto"/>
      </w:pPr>
      <w:r>
        <w:lastRenderedPageBreak/>
        <w:t xml:space="preserve">2021/22 </w:t>
      </w:r>
      <w:r w:rsidR="00837144">
        <w:t>=</w:t>
      </w:r>
      <w:r w:rsidR="00B73C25">
        <w:t xml:space="preserve"> </w:t>
      </w:r>
      <w:r>
        <w:t>response rate of 13.7%</w:t>
      </w:r>
    </w:p>
    <w:p w14:paraId="359327B0" w14:textId="19F333EA" w:rsidR="001A6940" w:rsidRDefault="00C1403B" w:rsidP="00837144">
      <w:pPr>
        <w:pStyle w:val="ListParagraph"/>
        <w:numPr>
          <w:ilvl w:val="0"/>
          <w:numId w:val="61"/>
        </w:numPr>
        <w:spacing w:after="160" w:line="259" w:lineRule="auto"/>
      </w:pPr>
      <w:r>
        <w:t xml:space="preserve">Suggestions from the SRC members: </w:t>
      </w:r>
    </w:p>
    <w:p w14:paraId="56CF7912" w14:textId="77777777" w:rsidR="001A6940" w:rsidRDefault="001A6940" w:rsidP="001A6940">
      <w:pPr>
        <w:pStyle w:val="ListParagraph"/>
        <w:numPr>
          <w:ilvl w:val="1"/>
          <w:numId w:val="61"/>
        </w:numPr>
        <w:spacing w:after="160" w:line="259" w:lineRule="auto"/>
      </w:pPr>
      <w:r>
        <w:t xml:space="preserve">A more effective way to reach students is needed, perhaps through a survey platform that can be administered via text message.  </w:t>
      </w:r>
      <w:r w:rsidR="00825E15">
        <w:t xml:space="preserve"> </w:t>
      </w:r>
    </w:p>
    <w:p w14:paraId="1FE66688" w14:textId="77777777" w:rsidR="001A6940" w:rsidRDefault="001A6940" w:rsidP="001A6940">
      <w:pPr>
        <w:pStyle w:val="ListParagraph"/>
        <w:numPr>
          <w:ilvl w:val="1"/>
          <w:numId w:val="61"/>
        </w:numPr>
        <w:spacing w:after="160" w:line="259" w:lineRule="auto"/>
      </w:pPr>
      <w:r>
        <w:t xml:space="preserve">Send the CSS to consumers who have received services within the last six months. </w:t>
      </w:r>
    </w:p>
    <w:p w14:paraId="7901CAD1" w14:textId="221B66AF" w:rsidR="001A6940" w:rsidRDefault="001A6940" w:rsidP="001A6940">
      <w:pPr>
        <w:pStyle w:val="ListParagraph"/>
        <w:numPr>
          <w:ilvl w:val="1"/>
          <w:numId w:val="61"/>
        </w:numPr>
        <w:spacing w:after="160" w:line="259" w:lineRule="auto"/>
      </w:pPr>
      <w:r>
        <w:t>Instead of sending out the surveys all at one time, send the surveys out within three months of the consumer receiving services.</w:t>
      </w:r>
    </w:p>
    <w:p w14:paraId="4355723A" w14:textId="77777777" w:rsidR="001A6940" w:rsidRDefault="001A6940" w:rsidP="001A6940">
      <w:pPr>
        <w:pStyle w:val="ListParagraph"/>
        <w:numPr>
          <w:ilvl w:val="1"/>
          <w:numId w:val="61"/>
        </w:numPr>
        <w:spacing w:after="160" w:line="259" w:lineRule="auto"/>
      </w:pPr>
      <w:r>
        <w:t>Provide consumers with incentives for completing the survey.</w:t>
      </w:r>
    </w:p>
    <w:p w14:paraId="72846F29" w14:textId="27C1E92B" w:rsidR="001A6940" w:rsidRDefault="001A6940" w:rsidP="001A6940">
      <w:pPr>
        <w:pStyle w:val="ListParagraph"/>
        <w:numPr>
          <w:ilvl w:val="1"/>
          <w:numId w:val="61"/>
        </w:numPr>
        <w:spacing w:after="160" w:line="259" w:lineRule="auto"/>
      </w:pPr>
      <w:r>
        <w:t>Ensure that DOR has accurate and up-to-date emails on file for consumers.</w:t>
      </w:r>
    </w:p>
    <w:p w14:paraId="57DD75E3" w14:textId="57F96E90" w:rsidR="001A6940" w:rsidRDefault="001A6940" w:rsidP="001A6940">
      <w:pPr>
        <w:pStyle w:val="ListParagraph"/>
        <w:numPr>
          <w:ilvl w:val="1"/>
          <w:numId w:val="61"/>
        </w:numPr>
        <w:spacing w:after="160" w:line="259" w:lineRule="auto"/>
      </w:pPr>
      <w:r>
        <w:t xml:space="preserve">Discuss the CSS with the consumer during the first </w:t>
      </w:r>
      <w:r w:rsidR="00B73C25">
        <w:t xml:space="preserve">encounter </w:t>
      </w:r>
      <w:r w:rsidR="00C1403B">
        <w:t xml:space="preserve">and talk about the data that will be collected. </w:t>
      </w:r>
      <w:r>
        <w:t xml:space="preserve"> </w:t>
      </w:r>
      <w:r w:rsidR="00C1403B">
        <w:t xml:space="preserve"> </w:t>
      </w:r>
    </w:p>
    <w:p w14:paraId="0E7D880B" w14:textId="7B265787" w:rsidR="001A6940" w:rsidRDefault="001A6940" w:rsidP="001A6940">
      <w:pPr>
        <w:pStyle w:val="ListParagraph"/>
        <w:numPr>
          <w:ilvl w:val="1"/>
          <w:numId w:val="61"/>
        </w:numPr>
        <w:spacing w:after="160" w:line="259" w:lineRule="auto"/>
      </w:pPr>
      <w:r>
        <w:t>Consider a shorter survey and let the consumer know upfront how long it will take to complete.</w:t>
      </w:r>
    </w:p>
    <w:p w14:paraId="151BF299" w14:textId="51CFA5B6" w:rsidR="001A6940" w:rsidRDefault="001A6940" w:rsidP="001A6940">
      <w:pPr>
        <w:pStyle w:val="ListParagraph"/>
        <w:numPr>
          <w:ilvl w:val="0"/>
          <w:numId w:val="61"/>
        </w:numPr>
        <w:spacing w:after="160" w:line="259" w:lineRule="auto"/>
      </w:pPr>
      <w:r>
        <w:t xml:space="preserve">Further analysis and data </w:t>
      </w:r>
      <w:proofErr w:type="gramStart"/>
      <w:r w:rsidR="00AF58BD">
        <w:t>is</w:t>
      </w:r>
      <w:proofErr w:type="gramEnd"/>
      <w:r w:rsidR="00AF58BD">
        <w:t xml:space="preserve"> </w:t>
      </w:r>
      <w:r>
        <w:t>needed on</w:t>
      </w:r>
      <w:r w:rsidR="00AF58BD">
        <w:t xml:space="preserve"> the following 2022 CSS results:</w:t>
      </w:r>
    </w:p>
    <w:p w14:paraId="2FA25AED" w14:textId="77777777" w:rsidR="001A6940" w:rsidRDefault="001A6940" w:rsidP="001A6940">
      <w:pPr>
        <w:pStyle w:val="ListParagraph"/>
        <w:numPr>
          <w:ilvl w:val="1"/>
          <w:numId w:val="61"/>
        </w:numPr>
        <w:spacing w:after="160" w:line="259" w:lineRule="auto"/>
      </w:pPr>
      <w:r>
        <w:t xml:space="preserve">Potentially eligible participants reporting “only somewhat satisfied with employment guidance (71.1% score) they received from their counselor.” </w:t>
      </w:r>
    </w:p>
    <w:p w14:paraId="5BBD0D74" w14:textId="26151F6B" w:rsidR="001A6940" w:rsidRDefault="00A311CF" w:rsidP="001A6940">
      <w:pPr>
        <w:pStyle w:val="ListParagraph"/>
        <w:numPr>
          <w:ilvl w:val="1"/>
          <w:numId w:val="61"/>
        </w:numPr>
        <w:spacing w:after="160" w:line="259" w:lineRule="auto"/>
      </w:pPr>
      <w:r>
        <w:t>“</w:t>
      </w:r>
      <w:r w:rsidR="001A6940">
        <w:t>L</w:t>
      </w:r>
      <w:r>
        <w:t>ack of desired jobs” reported as a reason for unemployment</w:t>
      </w:r>
      <w:r w:rsidR="00AF58BD">
        <w:t>.</w:t>
      </w:r>
    </w:p>
    <w:p w14:paraId="1DF99638" w14:textId="4164F6EC" w:rsidR="00A311CF" w:rsidRDefault="001A6940" w:rsidP="001A6940">
      <w:pPr>
        <w:pStyle w:val="ListParagraph"/>
        <w:numPr>
          <w:ilvl w:val="1"/>
          <w:numId w:val="61"/>
        </w:numPr>
        <w:spacing w:after="160" w:line="259" w:lineRule="auto"/>
      </w:pPr>
      <w:r>
        <w:t>D</w:t>
      </w:r>
      <w:r w:rsidR="00A311CF">
        <w:t xml:space="preserve">ata on the average amount of time from when a consumer enters VR to obtaining employment. </w:t>
      </w:r>
    </w:p>
    <w:p w14:paraId="7FB90813" w14:textId="2DB3B5E1" w:rsidR="001A6940" w:rsidRDefault="001A6940" w:rsidP="00825E15">
      <w:pPr>
        <w:pStyle w:val="ListParagraph"/>
        <w:numPr>
          <w:ilvl w:val="0"/>
          <w:numId w:val="61"/>
        </w:numPr>
        <w:spacing w:after="160" w:line="259" w:lineRule="auto"/>
      </w:pPr>
      <w:r>
        <w:t>Questions:</w:t>
      </w:r>
    </w:p>
    <w:p w14:paraId="76921AF4" w14:textId="54675391" w:rsidR="001A6940" w:rsidRDefault="001A6940" w:rsidP="00825E15">
      <w:pPr>
        <w:pStyle w:val="ListParagraph"/>
        <w:numPr>
          <w:ilvl w:val="1"/>
          <w:numId w:val="61"/>
        </w:numPr>
        <w:spacing w:after="160" w:line="259" w:lineRule="auto"/>
      </w:pPr>
      <w:r>
        <w:t>In the survey, there is a “disability not defined” category. Does DOR serve individuals without a disability? (</w:t>
      </w:r>
      <w:r w:rsidR="00AF58BD">
        <w:t>Response - p</w:t>
      </w:r>
      <w:r>
        <w:t xml:space="preserve">otentially eligible participants have not yet reported disability type, and some consumers </w:t>
      </w:r>
      <w:r w:rsidR="00AF58BD">
        <w:t>do not</w:t>
      </w:r>
      <w:r>
        <w:t xml:space="preserve"> identify their disability on the survey response.  </w:t>
      </w:r>
      <w:r w:rsidR="00A311CF">
        <w:t xml:space="preserve"> </w:t>
      </w:r>
    </w:p>
    <w:p w14:paraId="5EF38FB8" w14:textId="2B3AB3E5" w:rsidR="001D6B32" w:rsidRPr="00663F8B" w:rsidRDefault="00A311CF" w:rsidP="00663F8B">
      <w:pPr>
        <w:pStyle w:val="ListParagraph"/>
        <w:numPr>
          <w:ilvl w:val="1"/>
          <w:numId w:val="61"/>
        </w:numPr>
        <w:spacing w:after="160" w:line="259" w:lineRule="auto"/>
      </w:pPr>
      <w:r>
        <w:t xml:space="preserve">DOR </w:t>
      </w:r>
      <w:r w:rsidR="001A6940">
        <w:t xml:space="preserve">stated a </w:t>
      </w:r>
      <w:r>
        <w:t>focus on racial equity for employment and earnings</w:t>
      </w:r>
      <w:r w:rsidR="001A6940">
        <w:t>.</w:t>
      </w:r>
      <w:r>
        <w:t xml:space="preserve"> </w:t>
      </w:r>
      <w:r w:rsidR="00AF58BD">
        <w:t>Will this be better understood through the CSS or CSA?</w:t>
      </w:r>
      <w:r w:rsidR="001A6940">
        <w:t xml:space="preserve"> (</w:t>
      </w:r>
      <w:r w:rsidR="00AF58BD">
        <w:t>Response - b</w:t>
      </w:r>
      <w:r w:rsidR="001A6940">
        <w:t xml:space="preserve">oth, however, the CSA will probably provide more insight). </w:t>
      </w:r>
      <w:bookmarkStart w:id="12" w:name="_Hlk60717645"/>
      <w:bookmarkEnd w:id="11"/>
    </w:p>
    <w:p w14:paraId="3AAF8661" w14:textId="07539C8B" w:rsidR="00804DD2" w:rsidRPr="00663F8B" w:rsidRDefault="00804DD2" w:rsidP="003549EF">
      <w:pPr>
        <w:pStyle w:val="Heading1"/>
      </w:pPr>
      <w:r w:rsidRPr="00663F8B">
        <w:t>Item</w:t>
      </w:r>
      <w:r w:rsidR="007D2BDC" w:rsidRPr="00663F8B">
        <w:t xml:space="preserve"> 17</w:t>
      </w:r>
      <w:r w:rsidRPr="00663F8B">
        <w:t xml:space="preserve">: Adopt-a-Region Reports </w:t>
      </w:r>
    </w:p>
    <w:p w14:paraId="474B9C14" w14:textId="123B9487" w:rsidR="00804DD2" w:rsidRPr="00AC5425" w:rsidRDefault="00804DD2" w:rsidP="00831F93">
      <w:r w:rsidRPr="00663F8B">
        <w:t xml:space="preserve">SRC members </w:t>
      </w:r>
      <w:r w:rsidR="00AC5425">
        <w:t>reported out</w:t>
      </w:r>
      <w:r w:rsidRPr="00663F8B">
        <w:t xml:space="preserve"> from their recent Adopt-a-Region discussions.</w:t>
      </w:r>
      <w:bookmarkStart w:id="13" w:name="_Hlk119311158"/>
    </w:p>
    <w:p w14:paraId="1C3CC548" w14:textId="77777777" w:rsidR="003E330D" w:rsidRDefault="003E330D" w:rsidP="00831F93"/>
    <w:p w14:paraId="47213CAE" w14:textId="511C2772" w:rsidR="000A1148" w:rsidRDefault="000A1148" w:rsidP="000A1148">
      <w:r>
        <w:t xml:space="preserve">Benjamin Aviles connected with Susan Senior, Regional Director, </w:t>
      </w:r>
      <w:r w:rsidRPr="000A1148">
        <w:t>Los Angeles South Bay</w:t>
      </w:r>
      <w:r>
        <w:t xml:space="preserve"> District. On May 1, 2023, the </w:t>
      </w:r>
      <w:r w:rsidR="00AF58BD">
        <w:t>d</w:t>
      </w:r>
      <w:r>
        <w:t xml:space="preserve">istrict and community partners </w:t>
      </w:r>
      <w:r w:rsidR="00AF58BD">
        <w:t>received</w:t>
      </w:r>
      <w:r>
        <w:t xml:space="preserve"> a grant from Congresswoman Maxine Waters. Sen</w:t>
      </w:r>
      <w:r w:rsidR="00AF58BD">
        <w:t>i</w:t>
      </w:r>
      <w:r>
        <w:t xml:space="preserve">or </w:t>
      </w:r>
      <w:r w:rsidR="00AF58BD">
        <w:t xml:space="preserve">recently </w:t>
      </w:r>
      <w:r>
        <w:t>received an award for her community engagement. District highlights include employment for veterans</w:t>
      </w:r>
      <w:r w:rsidR="00AF58BD">
        <w:t xml:space="preserve"> and</w:t>
      </w:r>
      <w:r>
        <w:t xml:space="preserve"> working with the California State University to serve individuals involved with the juvenile justice system who are attending college. The </w:t>
      </w:r>
      <w:r w:rsidR="00AF58BD">
        <w:t>d</w:t>
      </w:r>
      <w:r>
        <w:t xml:space="preserve">istrict held an “employer spotlight” with HEI </w:t>
      </w:r>
      <w:r w:rsidR="004A3C9A">
        <w:t>H</w:t>
      </w:r>
      <w:r>
        <w:t xml:space="preserve">otels </w:t>
      </w:r>
      <w:r w:rsidR="004A3C9A">
        <w:t>for consumers seeking employment in the hospitality and retail sectors.</w:t>
      </w:r>
    </w:p>
    <w:p w14:paraId="6388A116" w14:textId="77777777" w:rsidR="004A3C9A" w:rsidRDefault="004A3C9A" w:rsidP="000A1148"/>
    <w:p w14:paraId="0987D93B" w14:textId="30CD25B4" w:rsidR="004A3C9A" w:rsidRDefault="004A3C9A" w:rsidP="004A3C9A">
      <w:r>
        <w:t xml:space="preserve">Aviles also connected with </w:t>
      </w:r>
      <w:r w:rsidRPr="004A3C9A">
        <w:t xml:space="preserve">Robert </w:t>
      </w:r>
      <w:proofErr w:type="spellStart"/>
      <w:r w:rsidRPr="004A3C9A">
        <w:t>Loeun</w:t>
      </w:r>
      <w:proofErr w:type="spellEnd"/>
      <w:r>
        <w:t xml:space="preserve">, Regional Director, DOR </w:t>
      </w:r>
      <w:r w:rsidRPr="004A3C9A">
        <w:t>Inland Empire</w:t>
      </w:r>
      <w:r>
        <w:t xml:space="preserve"> District. Highlights include the </w:t>
      </w:r>
      <w:r w:rsidR="00AF58BD">
        <w:t>d</w:t>
      </w:r>
      <w:r>
        <w:t>istrict’s collaboration with community partners and the Transition Partnership Programs, increasing collaboration with regional centers to prepare consumers for employment,</w:t>
      </w:r>
      <w:r w:rsidR="00AF58BD">
        <w:t xml:space="preserve"> and</w:t>
      </w:r>
      <w:r>
        <w:t xml:space="preserve"> increasing services for foster youth and individuals in the justice system. Challenges include the ending of subminimum wage and finding vendors who can offer integrated employment. Another challenge is the need to increase pay rates to vendors who provide services such as job coaching, and the lack of available ASL interpreters. The </w:t>
      </w:r>
      <w:r w:rsidR="00AF58BD">
        <w:t>d</w:t>
      </w:r>
      <w:r>
        <w:t xml:space="preserve">istrict has a partnership with Hyatt Hotels to provide consumers with job readiness. </w:t>
      </w:r>
    </w:p>
    <w:p w14:paraId="20B1F418" w14:textId="77777777" w:rsidR="004A3C9A" w:rsidRDefault="004A3C9A" w:rsidP="004A3C9A"/>
    <w:p w14:paraId="3B18AA6C" w14:textId="43B5C906" w:rsidR="004A3C9A" w:rsidRDefault="004A3C9A" w:rsidP="004A3C9A">
      <w:r>
        <w:t xml:space="preserve">Kecia Weller connected with </w:t>
      </w:r>
      <w:r w:rsidRPr="004A3C9A">
        <w:t>Maureen McIntyre</w:t>
      </w:r>
      <w:r>
        <w:t xml:space="preserve">, Regional Director, DOR </w:t>
      </w:r>
      <w:r w:rsidRPr="004A3C9A">
        <w:t>Van Nuys/Foothill</w:t>
      </w:r>
      <w:r>
        <w:t xml:space="preserve"> District. </w:t>
      </w:r>
      <w:r w:rsidR="00321741">
        <w:t xml:space="preserve">The </w:t>
      </w:r>
      <w:r w:rsidR="00AF58BD">
        <w:t>d</w:t>
      </w:r>
      <w:r w:rsidR="00321741">
        <w:t>istrict is currently serving 282 students with disabilities</w:t>
      </w:r>
      <w:r w:rsidR="00AF58BD">
        <w:t xml:space="preserve">. </w:t>
      </w:r>
      <w:r w:rsidR="00136AB4">
        <w:t xml:space="preserve">To </w:t>
      </w:r>
      <w:r w:rsidR="00014EA3">
        <w:t xml:space="preserve">date, the </w:t>
      </w:r>
      <w:r w:rsidR="00AF58BD">
        <w:t xml:space="preserve">DOR </w:t>
      </w:r>
      <w:r w:rsidR="00014EA3">
        <w:t xml:space="preserve">Van/Nuys Foothill District has closed 259 cases.  </w:t>
      </w:r>
    </w:p>
    <w:p w14:paraId="1375771C" w14:textId="77777777" w:rsidR="00014EA3" w:rsidRDefault="00014EA3" w:rsidP="004A3C9A"/>
    <w:p w14:paraId="48ACD85B" w14:textId="57AE49AC" w:rsidR="00014EA3" w:rsidRDefault="00014EA3" w:rsidP="00014EA3">
      <w:r>
        <w:t xml:space="preserve">Theresa Comstock connected with David </w:t>
      </w:r>
      <w:proofErr w:type="spellStart"/>
      <w:r>
        <w:t>Wayte</w:t>
      </w:r>
      <w:proofErr w:type="spellEnd"/>
      <w:r>
        <w:t xml:space="preserve">, Regional Director, DOR </w:t>
      </w:r>
      <w:r w:rsidRPr="00014EA3">
        <w:t>Redwood Empire</w:t>
      </w:r>
      <w:r w:rsidRPr="00014EA3">
        <w:tab/>
      </w:r>
      <w:r>
        <w:t xml:space="preserve"> District. The </w:t>
      </w:r>
      <w:r w:rsidR="00AF58BD">
        <w:t>d</w:t>
      </w:r>
      <w:r>
        <w:t xml:space="preserve">istrict collaborates with and participates on </w:t>
      </w:r>
      <w:r w:rsidR="00AF58BD">
        <w:t xml:space="preserve">local </w:t>
      </w:r>
      <w:r>
        <w:t xml:space="preserve">workforce development boards. </w:t>
      </w:r>
      <w:r w:rsidR="00163DE8">
        <w:t>There</w:t>
      </w:r>
      <w:r>
        <w:t xml:space="preserve"> is a focus on improving employment outcomes</w:t>
      </w:r>
      <w:r w:rsidR="00163DE8">
        <w:t xml:space="preserve"> and staff are reaching out to consumers employed at the </w:t>
      </w:r>
      <w:r w:rsidR="00AF58BD">
        <w:t>90-day</w:t>
      </w:r>
      <w:r w:rsidR="00163DE8">
        <w:t xml:space="preserve"> mark to see if support is needed. The goal is to increase employment outcomes by 5% for the next year. The </w:t>
      </w:r>
      <w:r w:rsidR="00AF58BD">
        <w:t>d</w:t>
      </w:r>
      <w:r w:rsidR="00163DE8">
        <w:t xml:space="preserve">istrict is expanding student services and there are initiatives for using reallotment dollars to develop contracts with school districts to provide services for individuals on the autism spectrum. The </w:t>
      </w:r>
      <w:r w:rsidR="00AF58BD">
        <w:t>district</w:t>
      </w:r>
      <w:r w:rsidR="00163DE8">
        <w:t xml:space="preserve"> is providing support for the tribal vocational rehabilitation program in their area.</w:t>
      </w:r>
    </w:p>
    <w:p w14:paraId="388513ED" w14:textId="77777777" w:rsidR="00163DE8" w:rsidRDefault="00163DE8" w:rsidP="00014EA3"/>
    <w:p w14:paraId="73395DB5" w14:textId="09892D20" w:rsidR="00163DE8" w:rsidRDefault="00163DE8" w:rsidP="00014EA3">
      <w:r>
        <w:t xml:space="preserve">Comstock also connected with Justin </w:t>
      </w:r>
      <w:r w:rsidR="006F021F" w:rsidRPr="006F021F">
        <w:t>McIntire</w:t>
      </w:r>
      <w:r w:rsidR="006F021F">
        <w:t xml:space="preserve">, District Administrator, DOR Santa Barbara District. The </w:t>
      </w:r>
      <w:r w:rsidR="00AF58BD">
        <w:t>d</w:t>
      </w:r>
      <w:r w:rsidR="006F021F">
        <w:t>istrict has experienced an increase</w:t>
      </w:r>
      <w:r w:rsidR="00AF58BD">
        <w:t xml:space="preserve"> in</w:t>
      </w:r>
      <w:r w:rsidR="006F021F">
        <w:t xml:space="preserve"> enrollments. Successful closures are slightly down, so the </w:t>
      </w:r>
      <w:r w:rsidR="00AF58BD">
        <w:t>d</w:t>
      </w:r>
      <w:r w:rsidR="006F021F">
        <w:t xml:space="preserve">istrict is trying to get consumers into services quicker through expedited enrollment and is partnering with the local America’s Job Center of California. The </w:t>
      </w:r>
      <w:r w:rsidR="00AF58BD">
        <w:t>district</w:t>
      </w:r>
      <w:r w:rsidR="006F021F">
        <w:t xml:space="preserve"> reports that the mental health cooperative programs are doing well in the San Luis Obispo and Santa Barbara areas. The </w:t>
      </w:r>
      <w:r w:rsidR="00AF58BD">
        <w:t>district</w:t>
      </w:r>
      <w:r w:rsidR="006F021F">
        <w:t xml:space="preserve"> is engaging with the local workforce development boards. A challenge is that three of the offices in the </w:t>
      </w:r>
      <w:r w:rsidR="00EA7266">
        <w:t>d</w:t>
      </w:r>
      <w:r w:rsidR="006F021F">
        <w:t xml:space="preserve">istrict have </w:t>
      </w:r>
      <w:r w:rsidR="00EA7266">
        <w:t>move</w:t>
      </w:r>
      <w:r w:rsidR="00F5089C">
        <w:t>.</w:t>
      </w:r>
    </w:p>
    <w:p w14:paraId="584F9D25" w14:textId="77777777" w:rsidR="006F021F" w:rsidRDefault="006F021F" w:rsidP="00014EA3"/>
    <w:p w14:paraId="3F310945" w14:textId="7F351C05" w:rsidR="007D084A" w:rsidRDefault="00AA09BA" w:rsidP="00014EA3">
      <w:r>
        <w:t xml:space="preserve">Ivan Guillen </w:t>
      </w:r>
      <w:r w:rsidR="007D084A">
        <w:t xml:space="preserve">noted that he did not have a chance to connect with Peter Blanco, Regional Director, DOR San Diego Office, however, informally through Guillen’s Client Assistance Program </w:t>
      </w:r>
      <w:r w:rsidR="0094028D">
        <w:t xml:space="preserve">(CAP) </w:t>
      </w:r>
      <w:r w:rsidR="007D084A">
        <w:t>casework, it is understood that new Team Managers have been hired. CAP has noticed an increase in the number of calls from consumers in the San Diego area. On occasion staffing changes can bring a new management style or perspective.</w:t>
      </w:r>
    </w:p>
    <w:p w14:paraId="6A7F86DC" w14:textId="77777777" w:rsidR="007D084A" w:rsidRDefault="007D084A" w:rsidP="00014EA3"/>
    <w:p w14:paraId="6ED5F34E" w14:textId="5D2806A7" w:rsidR="006F021F" w:rsidRDefault="007D084A" w:rsidP="00014EA3">
      <w:r>
        <w:t xml:space="preserve">Lisa Hayes connected with </w:t>
      </w:r>
      <w:proofErr w:type="spellStart"/>
      <w:r w:rsidR="00CD61B5" w:rsidRPr="00CD61B5">
        <w:t>Shayn</w:t>
      </w:r>
      <w:proofErr w:type="spellEnd"/>
      <w:r w:rsidR="00CD61B5" w:rsidRPr="00CD61B5">
        <w:t xml:space="preserve"> Anderson</w:t>
      </w:r>
      <w:r w:rsidR="00CD61B5">
        <w:t xml:space="preserve">, Regional Director, DOR San Joaquin Valley District. </w:t>
      </w:r>
      <w:r w:rsidR="0094028D">
        <w:t xml:space="preserve">The district is successfully implementing expedited </w:t>
      </w:r>
      <w:r w:rsidR="0094028D">
        <w:lastRenderedPageBreak/>
        <w:t xml:space="preserve">enrollment and the Consumer Payment Card (CPC). The CPC is being introduced to consumers as part of the district’s </w:t>
      </w:r>
      <w:r w:rsidR="00CD61B5">
        <w:t>“Foundations of Employment” initiative. Paid internships and apprentices are going well</w:t>
      </w:r>
      <w:r w:rsidR="00F5089C">
        <w:t>,</w:t>
      </w:r>
      <w:r w:rsidR="00CD61B5">
        <w:t xml:space="preserve"> and district staffing has improved. The district recently added five new Student Services cooperative programs and one new adult services program at Taft College. It’s expected that an additional 648 students and 128 adults will be served through these new programs. Additionally, the district expanded six existing cooperative programs which will serve an additional 536 students and 60 adults. The district is developing a relationship with the state prison in the area. </w:t>
      </w:r>
    </w:p>
    <w:p w14:paraId="3A6BE036" w14:textId="77777777" w:rsidR="00CD61B5" w:rsidRDefault="00CD61B5" w:rsidP="00014EA3"/>
    <w:p w14:paraId="5DF8EF0C" w14:textId="393D1EC4" w:rsidR="003440BD" w:rsidRDefault="00CD61B5" w:rsidP="004A3C9A">
      <w:r>
        <w:t>Nick Wavrin connected with Erwin Petilla, District Administrator, DOR Greater Los Angeles District.</w:t>
      </w:r>
      <w:r w:rsidR="003440BD">
        <w:t xml:space="preserve"> Several district successes and initiatives were highlighted including hiring events with a local construction company and Enterprise Rent-a-Car. A “school to career” event took place in Montebello focusing on opportunities beyond high school in education, employment and independent living. Ninety students participated and received certificates of completion. The district is working on proposals to expand pre-employment services to students with disabilities.</w:t>
      </w:r>
    </w:p>
    <w:p w14:paraId="2F59E20A" w14:textId="77777777" w:rsidR="003440BD" w:rsidRDefault="003440BD" w:rsidP="004A3C9A"/>
    <w:p w14:paraId="389E7321" w14:textId="601F2C8E" w:rsidR="003440BD" w:rsidRDefault="003440BD" w:rsidP="004A3C9A">
      <w:r>
        <w:t xml:space="preserve">La Trena Robinson connected with Theresa Woo, Regional Director, DOR San Francisco District. </w:t>
      </w:r>
      <w:r w:rsidR="0067745F">
        <w:t xml:space="preserve">A focus for the district is collaboration, developing partnerships, </w:t>
      </w:r>
      <w:r w:rsidR="0094028D">
        <w:t xml:space="preserve">pursuing </w:t>
      </w:r>
      <w:r w:rsidR="0067745F">
        <w:t xml:space="preserve">grant funding, and connecting DOR to the workforce. New initiatives were highlighted, including a program to help students start their own businesses by providing training on how to </w:t>
      </w:r>
      <w:r w:rsidR="00B10ED3">
        <w:t xml:space="preserve">operate </w:t>
      </w:r>
      <w:r w:rsidR="0067745F">
        <w:t xml:space="preserve">and manage a coffee cart. The district is also collaborating with a construction company to offer a pre-apprentice program </w:t>
      </w:r>
      <w:r w:rsidR="00B10ED3">
        <w:t>to teach</w:t>
      </w:r>
      <w:r w:rsidR="0067745F">
        <w:t xml:space="preserve"> 16 – 18-year-old students basic construction skills. The district is applying for additional grant funding to expand </w:t>
      </w:r>
      <w:r w:rsidR="008450D5">
        <w:t>job preparation classes offered through the San Francisco City College Extension to adults with intellectual and developmental disabilities. Challenges</w:t>
      </w:r>
      <w:r w:rsidR="00B10ED3">
        <w:t xml:space="preserve"> in the district</w:t>
      </w:r>
      <w:r w:rsidR="008450D5">
        <w:t xml:space="preserve"> include staffing and the high cost of living.</w:t>
      </w:r>
    </w:p>
    <w:p w14:paraId="65A3FECE" w14:textId="77777777" w:rsidR="008450D5" w:rsidRDefault="008450D5" w:rsidP="004A3C9A"/>
    <w:p w14:paraId="4625C3D2" w14:textId="7508C168" w:rsidR="008450D5" w:rsidRDefault="008450D5" w:rsidP="008450D5">
      <w:r w:rsidRPr="00663F8B">
        <w:t>Chanel Brisbane</w:t>
      </w:r>
      <w:r>
        <w:t xml:space="preserve"> connected with Sherri Han-Lam, Regional Director, DOR Orange/San Gabriel District. The </w:t>
      </w:r>
      <w:r w:rsidR="0094028D">
        <w:t>d</w:t>
      </w:r>
      <w:r>
        <w:t xml:space="preserve">istrict reports low staffing vacancies and was awarded two certificates for work being done in the region. A challenge is the low number of available ASL interpreters which may be a result of private companies being able to pay more and offer remote opportunities. Two focus areas for the </w:t>
      </w:r>
      <w:r w:rsidR="0094028D">
        <w:t>d</w:t>
      </w:r>
      <w:r>
        <w:t xml:space="preserve">istrict include 1) increasing the number of vendors that focus on re-entry (especially for youth), and 2) implementing a grant that </w:t>
      </w:r>
      <w:r w:rsidR="0094028D">
        <w:t xml:space="preserve">will </w:t>
      </w:r>
      <w:r>
        <w:t xml:space="preserve">allow DOR to contract with a mental health treatment center and serve consumers who are actively participating in recovery programs. </w:t>
      </w:r>
    </w:p>
    <w:p w14:paraId="5B0E1418" w14:textId="77777777" w:rsidR="008450D5" w:rsidRDefault="008450D5" w:rsidP="004A3C9A"/>
    <w:p w14:paraId="7F98ACCC" w14:textId="1A8B2033" w:rsidR="008450D5" w:rsidRPr="004A3C9A" w:rsidRDefault="008450D5" w:rsidP="004A3C9A">
      <w:r>
        <w:t>Nick Wavrin agreed to partner with the DOR Blind Field Services (BFS) District for the Adopt-a-Region program</w:t>
      </w:r>
      <w:r w:rsidR="000A6189">
        <w:t>.</w:t>
      </w:r>
    </w:p>
    <w:p w14:paraId="3EEC94D7" w14:textId="77777777" w:rsidR="00587F0B" w:rsidRPr="004A62E9" w:rsidRDefault="00587F0B" w:rsidP="00587F0B">
      <w:pPr>
        <w:rPr>
          <w:b/>
          <w:bCs/>
          <w:highlight w:val="yellow"/>
        </w:rPr>
      </w:pPr>
    </w:p>
    <w:p w14:paraId="00C8E133" w14:textId="532160F5" w:rsidR="00587F0B" w:rsidRPr="00663F8B" w:rsidRDefault="00587F0B" w:rsidP="00587F0B">
      <w:pPr>
        <w:rPr>
          <w:b/>
          <w:bCs/>
        </w:rPr>
      </w:pPr>
      <w:r w:rsidRPr="00663F8B">
        <w:rPr>
          <w:b/>
          <w:bCs/>
        </w:rPr>
        <w:lastRenderedPageBreak/>
        <w:t>Item 1</w:t>
      </w:r>
      <w:r w:rsidR="0097257C" w:rsidRPr="00663F8B">
        <w:rPr>
          <w:b/>
          <w:bCs/>
        </w:rPr>
        <w:t>8</w:t>
      </w:r>
      <w:r w:rsidRPr="00663F8B">
        <w:rPr>
          <w:b/>
          <w:bCs/>
        </w:rPr>
        <w:t>: SRC Policy Committee Report Out</w:t>
      </w:r>
      <w:r w:rsidR="007A3D01" w:rsidRPr="00663F8B">
        <w:rPr>
          <w:b/>
          <w:bCs/>
        </w:rPr>
        <w:t xml:space="preserve"> </w:t>
      </w:r>
    </w:p>
    <w:p w14:paraId="169F6227" w14:textId="4FA0CB38" w:rsidR="000D2EB9" w:rsidRDefault="00587F0B" w:rsidP="00663F8B">
      <w:pPr>
        <w:rPr>
          <w:rFonts w:eastAsia="Times New Roman" w:cs="Arial"/>
          <w:szCs w:val="28"/>
        </w:rPr>
      </w:pPr>
      <w:r w:rsidRPr="00663F8B">
        <w:t>Kecia Weller, Chair, SRC Policy Committee</w:t>
      </w:r>
      <w:r w:rsidR="0094028D">
        <w:t xml:space="preserve">, </w:t>
      </w:r>
      <w:r w:rsidR="001A6940" w:rsidRPr="00663F8B">
        <w:t>provided</w:t>
      </w:r>
      <w:r w:rsidR="00663F8B" w:rsidRPr="00663F8B">
        <w:t xml:space="preserve"> an update. </w:t>
      </w:r>
      <w:r w:rsidR="000D2EB9" w:rsidRPr="00663F8B">
        <w:rPr>
          <w:rFonts w:eastAsia="Times New Roman" w:cs="Arial"/>
          <w:szCs w:val="28"/>
        </w:rPr>
        <w:t>On April 1</w:t>
      </w:r>
      <w:r w:rsidR="00663F8B" w:rsidRPr="00663F8B">
        <w:rPr>
          <w:rFonts w:eastAsia="Times New Roman" w:cs="Arial"/>
          <w:szCs w:val="28"/>
        </w:rPr>
        <w:t>7, 2023,</w:t>
      </w:r>
      <w:r w:rsidR="000D2EB9" w:rsidRPr="00663F8B">
        <w:rPr>
          <w:rFonts w:eastAsia="Times New Roman" w:cs="Arial"/>
          <w:szCs w:val="28"/>
        </w:rPr>
        <w:t xml:space="preserve"> the SRC Policy Committee convened by Zoom.</w:t>
      </w:r>
      <w:r w:rsidR="001A6940" w:rsidRPr="00663F8B">
        <w:rPr>
          <w:rFonts w:eastAsia="Times New Roman" w:cs="Arial"/>
          <w:szCs w:val="28"/>
        </w:rPr>
        <w:t xml:space="preserve"> The goal of the </w:t>
      </w:r>
      <w:r w:rsidR="000D2EB9" w:rsidRPr="00663F8B">
        <w:rPr>
          <w:rFonts w:eastAsia="Times New Roman" w:cs="Arial"/>
          <w:szCs w:val="28"/>
        </w:rPr>
        <w:t>meeting was to review the lengthy list of SRC policy questions and prioritize which policy questions to address first. After review and discussion, the Policy Committee reached agreed to prioritize the following three policy topics/questions:</w:t>
      </w:r>
      <w:r w:rsidR="00663F8B" w:rsidRPr="00663F8B">
        <w:t xml:space="preserve"> 1) </w:t>
      </w:r>
      <w:r w:rsidR="000D2EB9" w:rsidRPr="00663F8B">
        <w:rPr>
          <w:rFonts w:eastAsia="Times New Roman" w:cs="Arial"/>
          <w:szCs w:val="28"/>
        </w:rPr>
        <w:t>DOR Student Services</w:t>
      </w:r>
      <w:r w:rsidR="00663F8B" w:rsidRPr="00663F8B">
        <w:t xml:space="preserve">, 2) </w:t>
      </w:r>
      <w:r w:rsidR="00663F8B" w:rsidRPr="00663F8B">
        <w:rPr>
          <w:rFonts w:eastAsia="Times New Roman" w:cs="Arial"/>
          <w:szCs w:val="28"/>
        </w:rPr>
        <w:t>b</w:t>
      </w:r>
      <w:r w:rsidR="000D2EB9" w:rsidRPr="00663F8B">
        <w:rPr>
          <w:rFonts w:eastAsia="Times New Roman" w:cs="Arial"/>
          <w:szCs w:val="28"/>
        </w:rPr>
        <w:t>enefits planning</w:t>
      </w:r>
      <w:r w:rsidR="00663F8B" w:rsidRPr="00663F8B">
        <w:t xml:space="preserve">, and 3) </w:t>
      </w:r>
      <w:r w:rsidR="00663F8B" w:rsidRPr="00663F8B">
        <w:rPr>
          <w:rFonts w:eastAsia="Times New Roman" w:cs="Arial"/>
          <w:szCs w:val="28"/>
        </w:rPr>
        <w:t>d</w:t>
      </w:r>
      <w:r w:rsidR="000D2EB9" w:rsidRPr="00663F8B">
        <w:rPr>
          <w:rFonts w:eastAsia="Times New Roman" w:cs="Arial"/>
          <w:szCs w:val="28"/>
        </w:rPr>
        <w:t>iversity, equity</w:t>
      </w:r>
      <w:r w:rsidR="000A6189">
        <w:rPr>
          <w:rFonts w:eastAsia="Times New Roman" w:cs="Arial"/>
          <w:szCs w:val="28"/>
        </w:rPr>
        <w:t>,</w:t>
      </w:r>
      <w:r w:rsidR="000D2EB9" w:rsidRPr="00663F8B">
        <w:rPr>
          <w:rFonts w:eastAsia="Times New Roman" w:cs="Arial"/>
          <w:szCs w:val="28"/>
        </w:rPr>
        <w:t xml:space="preserve"> and inclusion</w:t>
      </w:r>
      <w:r w:rsidR="00663F8B" w:rsidRPr="00663F8B">
        <w:t xml:space="preserve">. </w:t>
      </w:r>
      <w:r w:rsidR="000D2EB9" w:rsidRPr="00663F8B">
        <w:rPr>
          <w:rFonts w:eastAsia="Times New Roman" w:cs="Arial"/>
          <w:szCs w:val="28"/>
        </w:rPr>
        <w:t xml:space="preserve">After gathering and reviewing additional information on each of these topic areas, the </w:t>
      </w:r>
      <w:r w:rsidR="00B10ED3">
        <w:rPr>
          <w:rFonts w:eastAsia="Times New Roman" w:cs="Arial"/>
          <w:szCs w:val="28"/>
        </w:rPr>
        <w:t xml:space="preserve">SRC </w:t>
      </w:r>
      <w:r w:rsidR="000D2EB9" w:rsidRPr="00663F8B">
        <w:rPr>
          <w:rFonts w:eastAsia="Times New Roman" w:cs="Arial"/>
          <w:szCs w:val="28"/>
        </w:rPr>
        <w:t>Policy Committee will develop draft recommendations for the full SRC’s consideration and potential adoption.</w:t>
      </w:r>
      <w:r w:rsidR="00663F8B" w:rsidRPr="00663F8B">
        <w:t xml:space="preserve"> </w:t>
      </w:r>
      <w:r w:rsidR="000D2EB9" w:rsidRPr="00663F8B">
        <w:rPr>
          <w:rFonts w:eastAsia="Times New Roman" w:cs="Arial"/>
          <w:szCs w:val="28"/>
        </w:rPr>
        <w:t xml:space="preserve">The next SRC Policy Committee meeting is scheduled for June </w:t>
      </w:r>
      <w:r w:rsidR="00663F8B" w:rsidRPr="00663F8B">
        <w:rPr>
          <w:rFonts w:eastAsia="Times New Roman" w:cs="Arial"/>
          <w:szCs w:val="28"/>
        </w:rPr>
        <w:t xml:space="preserve">26, 2023. </w:t>
      </w:r>
    </w:p>
    <w:p w14:paraId="456B417A" w14:textId="77777777" w:rsidR="000A6189" w:rsidRDefault="000A6189" w:rsidP="00663F8B">
      <w:pPr>
        <w:rPr>
          <w:rFonts w:eastAsia="Times New Roman" w:cs="Arial"/>
          <w:szCs w:val="28"/>
        </w:rPr>
      </w:pPr>
    </w:p>
    <w:p w14:paraId="4184F1E1" w14:textId="38440AE7" w:rsidR="000A6189" w:rsidRPr="00B952CF" w:rsidRDefault="000A6189" w:rsidP="00663F8B">
      <w:pPr>
        <w:rPr>
          <w:rFonts w:eastAsia="Times New Roman" w:cs="Arial"/>
          <w:szCs w:val="28"/>
        </w:rPr>
      </w:pPr>
      <w:r>
        <w:rPr>
          <w:rFonts w:eastAsia="Times New Roman" w:cs="Arial"/>
          <w:szCs w:val="28"/>
        </w:rPr>
        <w:t xml:space="preserve">Members discussed the importance of developing a full understanding of an issue prior to developing a policy recommendation. It was suggested that the SRC recommendations include specific and actionable ideas. Bjerke </w:t>
      </w:r>
      <w:r w:rsidR="00B952CF">
        <w:rPr>
          <w:rFonts w:eastAsia="Times New Roman" w:cs="Arial"/>
          <w:szCs w:val="28"/>
        </w:rPr>
        <w:t xml:space="preserve">explained that the </w:t>
      </w:r>
      <w:r>
        <w:rPr>
          <w:rFonts w:eastAsia="Times New Roman" w:cs="Arial"/>
          <w:szCs w:val="28"/>
        </w:rPr>
        <w:t>SRC, as a full Council, can adopt a recommendation during the quarterly meetings. However, there may be instances in which an issue is complex and require</w:t>
      </w:r>
      <w:r w:rsidR="0094028D">
        <w:rPr>
          <w:rFonts w:eastAsia="Times New Roman" w:cs="Arial"/>
          <w:szCs w:val="28"/>
        </w:rPr>
        <w:t>s</w:t>
      </w:r>
      <w:r>
        <w:rPr>
          <w:rFonts w:eastAsia="Times New Roman" w:cs="Arial"/>
          <w:szCs w:val="28"/>
        </w:rPr>
        <w:t xml:space="preserve"> additional research. In these cases, it may be beneficial to refer the policy question to the SRC Policy Committee for additional exploration and to develop a draft recommendation for the full Council’s consideration. </w:t>
      </w:r>
    </w:p>
    <w:p w14:paraId="7D6F2AC8" w14:textId="77777777" w:rsidR="00F764DA" w:rsidRPr="004A62E9" w:rsidRDefault="00F764DA" w:rsidP="00831F93">
      <w:pPr>
        <w:rPr>
          <w:highlight w:val="yellow"/>
        </w:rPr>
      </w:pPr>
    </w:p>
    <w:p w14:paraId="19939440" w14:textId="543D4225" w:rsidR="00793ADA" w:rsidRPr="000A6189" w:rsidRDefault="005573D5" w:rsidP="00804DD2">
      <w:pPr>
        <w:pStyle w:val="Heading1"/>
      </w:pPr>
      <w:r w:rsidRPr="000A6189">
        <w:t>Item</w:t>
      </w:r>
      <w:r w:rsidR="00243937" w:rsidRPr="000A6189">
        <w:t xml:space="preserve"> </w:t>
      </w:r>
      <w:r w:rsidR="0097257C" w:rsidRPr="000A6189">
        <w:t>19</w:t>
      </w:r>
      <w:r w:rsidR="008F6DBF" w:rsidRPr="000A6189">
        <w:t xml:space="preserve">: </w:t>
      </w:r>
      <w:r w:rsidR="008162EF" w:rsidRPr="000A6189">
        <w:t xml:space="preserve">Debrief and Recommendations Discussion </w:t>
      </w:r>
    </w:p>
    <w:p w14:paraId="48C68161" w14:textId="3A3D58DE" w:rsidR="00B952CF" w:rsidRDefault="00B952CF" w:rsidP="006F2AAF">
      <w:r>
        <w:t xml:space="preserve">Bjerke reviewed the highlights, questions, comments, and ideas raised throughout the quarterly meeting. </w:t>
      </w:r>
      <w:r w:rsidR="00B10ED3">
        <w:t xml:space="preserve">SRC member comments included: </w:t>
      </w:r>
    </w:p>
    <w:p w14:paraId="7D248B15" w14:textId="2E4774C2" w:rsidR="000A6189" w:rsidRDefault="00D55A5D" w:rsidP="00D55A5D">
      <w:pPr>
        <w:pStyle w:val="ListParagraph"/>
        <w:numPr>
          <w:ilvl w:val="0"/>
          <w:numId w:val="62"/>
        </w:numPr>
      </w:pPr>
      <w:r>
        <w:t xml:space="preserve">SRC members agreed that the </w:t>
      </w:r>
      <w:r w:rsidR="00B952CF">
        <w:t>challenges related to ASL interpreting services should be addressed</w:t>
      </w:r>
      <w:r w:rsidR="0094028D">
        <w:t xml:space="preserve">. A </w:t>
      </w:r>
      <w:r w:rsidR="00B952CF">
        <w:t xml:space="preserve">presentation from DOR staff on the issues, gaps and barriers </w:t>
      </w:r>
      <w:r w:rsidR="0094028D">
        <w:t xml:space="preserve">related to ASL interpreting </w:t>
      </w:r>
      <w:r w:rsidR="00B952CF">
        <w:t>was requested for the next SRC quarterly meeting</w:t>
      </w:r>
      <w:r>
        <w:t xml:space="preserve"> in anticipation of adopting a policy recommendation. </w:t>
      </w:r>
    </w:p>
    <w:p w14:paraId="742098B2" w14:textId="7A483B22" w:rsidR="00B952CF" w:rsidRDefault="00D55A5D" w:rsidP="00D55A5D">
      <w:pPr>
        <w:pStyle w:val="ListParagraph"/>
        <w:numPr>
          <w:ilvl w:val="0"/>
          <w:numId w:val="62"/>
        </w:numPr>
      </w:pPr>
      <w:r>
        <w:t xml:space="preserve">There is a need to </w:t>
      </w:r>
      <w:r w:rsidR="00B10ED3">
        <w:t>better</w:t>
      </w:r>
      <w:r>
        <w:t xml:space="preserve"> understand the 2022 CSS results (see page 16 for specific topics) and a need to improve the survey response rate. </w:t>
      </w:r>
      <w:r w:rsidR="00B952CF">
        <w:t>DOR has made racial equity a key focus</w:t>
      </w:r>
      <w:r>
        <w:t>,</w:t>
      </w:r>
      <w:r w:rsidR="00B952CF">
        <w:t xml:space="preserve"> </w:t>
      </w:r>
      <w:r>
        <w:t>but</w:t>
      </w:r>
      <w:r w:rsidR="00B952CF">
        <w:t xml:space="preserve"> data is needed on why that gap exists. </w:t>
      </w:r>
    </w:p>
    <w:p w14:paraId="68260095" w14:textId="2EB5CA51" w:rsidR="00B952CF" w:rsidRDefault="00B952CF" w:rsidP="00D55A5D">
      <w:pPr>
        <w:pStyle w:val="ListParagraph"/>
        <w:numPr>
          <w:ilvl w:val="0"/>
          <w:numId w:val="62"/>
        </w:numPr>
      </w:pPr>
      <w:r>
        <w:t xml:space="preserve">An effective way to </w:t>
      </w:r>
      <w:r w:rsidR="00D55A5D">
        <w:t>initiate</w:t>
      </w:r>
      <w:r>
        <w:t xml:space="preserve"> change can be proposing </w:t>
      </w:r>
      <w:r w:rsidR="0094028D">
        <w:t>modifications to an existing</w:t>
      </w:r>
      <w:r>
        <w:t xml:space="preserve"> regulation or policy</w:t>
      </w:r>
      <w:r w:rsidR="0094028D">
        <w:t xml:space="preserve">, as was done with the vehicle use regulations. </w:t>
      </w:r>
      <w:r>
        <w:t xml:space="preserve"> </w:t>
      </w:r>
      <w:r w:rsidR="0094028D">
        <w:t xml:space="preserve"> </w:t>
      </w:r>
    </w:p>
    <w:p w14:paraId="47D43DCC" w14:textId="5FDADEBF" w:rsidR="00D55A5D" w:rsidRDefault="00D55A5D" w:rsidP="00D55A5D">
      <w:pPr>
        <w:pStyle w:val="ListParagraph"/>
        <w:numPr>
          <w:ilvl w:val="0"/>
          <w:numId w:val="62"/>
        </w:numPr>
      </w:pPr>
      <w:r>
        <w:t xml:space="preserve">Suggestion that as DOR looks at controls and policies that may have outlived their usefulness, </w:t>
      </w:r>
      <w:r w:rsidR="0094028D">
        <w:t>to have the SRC provide input.</w:t>
      </w:r>
    </w:p>
    <w:bookmarkEnd w:id="13"/>
    <w:p w14:paraId="7EC93408" w14:textId="77777777" w:rsidR="003A49BE" w:rsidRPr="000A6189" w:rsidRDefault="003A49BE" w:rsidP="008F6DBF">
      <w:pPr>
        <w:rPr>
          <w:b/>
          <w:bCs/>
        </w:rPr>
      </w:pPr>
    </w:p>
    <w:p w14:paraId="7A0C7E4B" w14:textId="065C7B25" w:rsidR="00A90237" w:rsidRDefault="008F6DBF" w:rsidP="002D1053">
      <w:pPr>
        <w:pStyle w:val="Heading1"/>
      </w:pPr>
      <w:r w:rsidRPr="000A6189">
        <w:t>Item</w:t>
      </w:r>
      <w:r w:rsidR="007D2BDC" w:rsidRPr="000A6189">
        <w:t xml:space="preserve"> </w:t>
      </w:r>
      <w:r w:rsidR="00BB4B29" w:rsidRPr="000A6189">
        <w:t>2</w:t>
      </w:r>
      <w:r w:rsidR="0097257C" w:rsidRPr="000A6189">
        <w:t>0</w:t>
      </w:r>
      <w:r w:rsidRPr="000A6189">
        <w:t xml:space="preserve">: </w:t>
      </w:r>
      <w:r w:rsidR="00B33407" w:rsidRPr="000A6189">
        <w:t xml:space="preserve">SRC Officers, Members, and Executive Officer Reports </w:t>
      </w:r>
    </w:p>
    <w:p w14:paraId="2FCE2606" w14:textId="75DAA797" w:rsidR="00D55A5D" w:rsidRDefault="009F02F3" w:rsidP="009F02F3">
      <w:pPr>
        <w:pStyle w:val="ListParagraph"/>
        <w:numPr>
          <w:ilvl w:val="0"/>
          <w:numId w:val="63"/>
        </w:numPr>
      </w:pPr>
      <w:r>
        <w:t>Benjamin Aviles spoke about the importance of the SRC’s work, encouraging partnerships, participating in webinars, a focus on diversity, equity</w:t>
      </w:r>
      <w:r w:rsidR="0094028D">
        <w:t>,</w:t>
      </w:r>
      <w:r>
        <w:t xml:space="preserve"> and inclusion. Information about events and webinars are shared by Bjerke</w:t>
      </w:r>
      <w:r w:rsidR="0094028D">
        <w:t xml:space="preserve"> </w:t>
      </w:r>
      <w:r>
        <w:t>and posted on DOR’s Instagram and LinkedIn accounts.</w:t>
      </w:r>
    </w:p>
    <w:p w14:paraId="25BB9ABC" w14:textId="44A55FAD" w:rsidR="009F02F3" w:rsidRDefault="009F02F3" w:rsidP="009F02F3">
      <w:pPr>
        <w:pStyle w:val="ListParagraph"/>
        <w:numPr>
          <w:ilvl w:val="0"/>
          <w:numId w:val="63"/>
        </w:numPr>
      </w:pPr>
      <w:r>
        <w:lastRenderedPageBreak/>
        <w:t>Ivan Guillen reported that the Client Assistance Program (CAP) is experiencing an uptick in calls, which is good as that means more applications are being submitted. DOR’s expedited enrollment process is effective as CAP has not been receiving</w:t>
      </w:r>
      <w:r w:rsidR="00B10ED3">
        <w:t xml:space="preserve"> many</w:t>
      </w:r>
      <w:r>
        <w:t xml:space="preserve"> calls regarding delays with eligibility. Guillen explained that consumers may have a part time job to make ends meet, but the job is not necessarily related to their </w:t>
      </w:r>
      <w:r w:rsidR="0094028D">
        <w:t>long-term</w:t>
      </w:r>
      <w:r>
        <w:t xml:space="preserve"> employment goal.</w:t>
      </w:r>
    </w:p>
    <w:p w14:paraId="63E41EED" w14:textId="6574F967" w:rsidR="009F02F3" w:rsidRDefault="009F02F3" w:rsidP="009F02F3">
      <w:pPr>
        <w:pStyle w:val="ListParagraph"/>
        <w:numPr>
          <w:ilvl w:val="0"/>
          <w:numId w:val="63"/>
        </w:numPr>
      </w:pPr>
      <w:r>
        <w:t>Kecia Weller provided the quarterly SRC Treasurer’s report out. The SRC continues to operate efficiently and well within budget.</w:t>
      </w:r>
    </w:p>
    <w:p w14:paraId="767D5201" w14:textId="5FAE10B3" w:rsidR="009F02F3" w:rsidRDefault="009F02F3" w:rsidP="009F02F3">
      <w:pPr>
        <w:pStyle w:val="ListParagraph"/>
        <w:numPr>
          <w:ilvl w:val="0"/>
          <w:numId w:val="63"/>
        </w:numPr>
      </w:pPr>
      <w:r>
        <w:t>Susan Henderson suggested having an SRC committee focused on education issues.</w:t>
      </w:r>
    </w:p>
    <w:p w14:paraId="4D358A50" w14:textId="18876C02" w:rsidR="00FD7B8F" w:rsidRDefault="009F02F3" w:rsidP="009F02F3">
      <w:pPr>
        <w:pStyle w:val="ListParagraph"/>
        <w:numPr>
          <w:ilvl w:val="0"/>
          <w:numId w:val="63"/>
        </w:numPr>
      </w:pPr>
      <w:r>
        <w:t xml:space="preserve">Nick Wavrin provided a report out from the California Department of Education (CDE). After the Governor’s </w:t>
      </w:r>
      <w:r w:rsidR="0094028D">
        <w:t>r</w:t>
      </w:r>
      <w:r>
        <w:t xml:space="preserve">evised </w:t>
      </w:r>
      <w:r w:rsidR="0094028D">
        <w:t>b</w:t>
      </w:r>
      <w:r>
        <w:t xml:space="preserve">udget was released in May 2023, language changes for the Alternative Pathway to a High School Diploma were proposed. CDE is working on responding to this language. Work has started on the nonpublic school study, which </w:t>
      </w:r>
      <w:r w:rsidR="0094028D">
        <w:t>will examine</w:t>
      </w:r>
      <w:r>
        <w:t xml:space="preserve"> nonpublic school or agency placements for students with exceptional needs. </w:t>
      </w:r>
      <w:r w:rsidR="00FD7B8F">
        <w:t>The CDE completed the expansion of the family empowerment centers. The next Advisory Commission on Special Education meeting is scheduled for June 14 – 15, 2023.</w:t>
      </w:r>
    </w:p>
    <w:p w14:paraId="6F12B160" w14:textId="6288CBB2" w:rsidR="009F02F3" w:rsidRDefault="00FD7B8F" w:rsidP="009F02F3">
      <w:pPr>
        <w:pStyle w:val="ListParagraph"/>
        <w:numPr>
          <w:ilvl w:val="0"/>
          <w:numId w:val="63"/>
        </w:numPr>
      </w:pPr>
      <w:r>
        <w:t xml:space="preserve">Theresa Comstock reported on initiatives happening in behavioral health including the 988 line and efforts to build a crisis care continuum. </w:t>
      </w:r>
      <w:r w:rsidR="0094028D">
        <w:t xml:space="preserve">She spoke about the </w:t>
      </w:r>
      <w:r>
        <w:t xml:space="preserve">Governor’s proposal for behavioral health modernization and the CARE </w:t>
      </w:r>
      <w:r w:rsidR="004F3298">
        <w:t>A</w:t>
      </w:r>
      <w:r>
        <w:t xml:space="preserve">ct, and </w:t>
      </w:r>
      <w:r w:rsidR="004F3298">
        <w:t xml:space="preserve">the need to integrate services.  </w:t>
      </w:r>
      <w:r>
        <w:t xml:space="preserve"> </w:t>
      </w:r>
    </w:p>
    <w:p w14:paraId="06AA9FB2" w14:textId="3EB68656" w:rsidR="00FD7B8F" w:rsidRDefault="00FD7B8F" w:rsidP="009F02F3">
      <w:pPr>
        <w:pStyle w:val="ListParagraph"/>
        <w:numPr>
          <w:ilvl w:val="0"/>
          <w:numId w:val="63"/>
        </w:numPr>
      </w:pPr>
      <w:r>
        <w:t xml:space="preserve">Chanel Brisbane reported that Best Buddies is hiring. She mentioned that the Valley Mountain Regional Center formed a collaborative to support direct services professionals. Best Buddies was recently awarded a grant </w:t>
      </w:r>
      <w:r w:rsidR="004F3298">
        <w:t xml:space="preserve">by </w:t>
      </w:r>
      <w:r>
        <w:t xml:space="preserve">Supervisor Wagner, Third District Orange County, to provide a six-week summer jobs work series for individuals between the ages of 14 – 23. Best Buddies is applying for </w:t>
      </w:r>
      <w:r w:rsidR="00CD24C0">
        <w:t>certification</w:t>
      </w:r>
      <w:r>
        <w:t xml:space="preserve"> to offer Student Services.</w:t>
      </w:r>
    </w:p>
    <w:p w14:paraId="39E76560" w14:textId="634C5431" w:rsidR="00CD24C0" w:rsidRDefault="00CD24C0" w:rsidP="009F02F3">
      <w:pPr>
        <w:pStyle w:val="ListParagraph"/>
        <w:numPr>
          <w:ilvl w:val="0"/>
          <w:numId w:val="63"/>
        </w:numPr>
      </w:pPr>
      <w:r>
        <w:t>Lisa Hayes spoke about the Community Living Fund and the importance of including independent living centers</w:t>
      </w:r>
      <w:r w:rsidR="0019754A">
        <w:t xml:space="preserve"> which can provide support for consumers pursuing employment. </w:t>
      </w:r>
    </w:p>
    <w:p w14:paraId="6EA77B41" w14:textId="7DAB0134" w:rsidR="0019754A" w:rsidRPr="00D55A5D" w:rsidRDefault="0019754A" w:rsidP="009F02F3">
      <w:pPr>
        <w:pStyle w:val="ListParagraph"/>
        <w:numPr>
          <w:ilvl w:val="0"/>
          <w:numId w:val="63"/>
        </w:numPr>
      </w:pPr>
      <w:r>
        <w:t>La Trena Robinson reported that SEIU United Healthcare Workers West is supporting SB 525</w:t>
      </w:r>
      <w:r w:rsidRPr="0019754A">
        <w:t xml:space="preserve"> </w:t>
      </w:r>
      <w:r w:rsidR="004F3298">
        <w:t xml:space="preserve">which </w:t>
      </w:r>
      <w:r w:rsidRPr="0019754A">
        <w:t>will set a $25/hour minimum wage for healthcare workers</w:t>
      </w:r>
      <w:r>
        <w:t>.</w:t>
      </w:r>
    </w:p>
    <w:bookmarkEnd w:id="12"/>
    <w:p w14:paraId="691DD934" w14:textId="1E474319" w:rsidR="00587F0B" w:rsidRDefault="00587F0B" w:rsidP="00587F0B">
      <w:pPr>
        <w:rPr>
          <w:b/>
          <w:bCs/>
        </w:rPr>
      </w:pPr>
    </w:p>
    <w:p w14:paraId="2EE5DCAA" w14:textId="77777777" w:rsidR="00B10ED3" w:rsidRPr="000A6189" w:rsidRDefault="00B10ED3" w:rsidP="00587F0B">
      <w:pPr>
        <w:rPr>
          <w:b/>
          <w:bCs/>
        </w:rPr>
      </w:pPr>
    </w:p>
    <w:p w14:paraId="3B6E06A2" w14:textId="26DE60A7" w:rsidR="00587F0B" w:rsidRPr="000A6189" w:rsidRDefault="00587F0B" w:rsidP="00587F0B">
      <w:pPr>
        <w:rPr>
          <w:b/>
          <w:bCs/>
        </w:rPr>
      </w:pPr>
      <w:r w:rsidRPr="000A6189">
        <w:rPr>
          <w:b/>
          <w:bCs/>
        </w:rPr>
        <w:t>Item 2</w:t>
      </w:r>
      <w:r w:rsidR="0097257C" w:rsidRPr="000A6189">
        <w:rPr>
          <w:b/>
          <w:bCs/>
        </w:rPr>
        <w:t>1</w:t>
      </w:r>
      <w:r w:rsidRPr="000A6189">
        <w:rPr>
          <w:b/>
          <w:bCs/>
        </w:rPr>
        <w:t xml:space="preserve">: Selection of </w:t>
      </w:r>
      <w:r w:rsidR="003A49BE" w:rsidRPr="000A6189">
        <w:rPr>
          <w:b/>
          <w:bCs/>
        </w:rPr>
        <w:t>Future Meeting Dates</w:t>
      </w:r>
      <w:r w:rsidR="00882DC3" w:rsidRPr="000A6189">
        <w:rPr>
          <w:b/>
          <w:bCs/>
        </w:rPr>
        <w:t xml:space="preserve"> </w:t>
      </w:r>
    </w:p>
    <w:p w14:paraId="50A6979B" w14:textId="77777777" w:rsidR="0019754A" w:rsidRDefault="0019754A" w:rsidP="0019754A">
      <w:pPr>
        <w:ind w:left="360" w:hanging="360"/>
      </w:pPr>
      <w:r>
        <w:t>Motion: It was moved/seconded (Guillen/Brisbane) to approve the future SRC</w:t>
      </w:r>
    </w:p>
    <w:p w14:paraId="27140179" w14:textId="2E826C8B" w:rsidR="0019754A" w:rsidRDefault="0019754A" w:rsidP="0019754A">
      <w:r>
        <w:t xml:space="preserve">quarterly meeting dates. (Yes – Comstock, Wavrin, Robinson, Aviles, Guillen, Brisbane, Henderson, Weller, Hayes), (No – 0), (Absent – Hasak, Lewis), (Abstain – 0). </w:t>
      </w:r>
    </w:p>
    <w:p w14:paraId="623142B1" w14:textId="77777777" w:rsidR="0019754A" w:rsidRDefault="0019754A" w:rsidP="0019754A">
      <w:pPr>
        <w:pStyle w:val="ListParagraph"/>
        <w:numPr>
          <w:ilvl w:val="0"/>
          <w:numId w:val="64"/>
        </w:numPr>
      </w:pPr>
      <w:r>
        <w:lastRenderedPageBreak/>
        <w:t>November 29 – 30, 2023</w:t>
      </w:r>
    </w:p>
    <w:p w14:paraId="12B79171" w14:textId="77777777" w:rsidR="0019754A" w:rsidRDefault="0019754A" w:rsidP="0019754A">
      <w:pPr>
        <w:pStyle w:val="ListParagraph"/>
        <w:numPr>
          <w:ilvl w:val="0"/>
          <w:numId w:val="64"/>
        </w:numPr>
      </w:pPr>
      <w:r>
        <w:t>March 6 – 7, 2024</w:t>
      </w:r>
    </w:p>
    <w:p w14:paraId="5420D516" w14:textId="245A2C97" w:rsidR="0019754A" w:rsidRDefault="0019754A" w:rsidP="0019754A">
      <w:pPr>
        <w:pStyle w:val="ListParagraph"/>
        <w:numPr>
          <w:ilvl w:val="0"/>
          <w:numId w:val="64"/>
        </w:numPr>
      </w:pPr>
      <w:r>
        <w:t>June 5 –</w:t>
      </w:r>
      <w:r w:rsidR="004F3298">
        <w:t xml:space="preserve"> </w:t>
      </w:r>
      <w:r>
        <w:t>6, 2024</w:t>
      </w:r>
    </w:p>
    <w:p w14:paraId="228CFC1F" w14:textId="77777777" w:rsidR="0019754A" w:rsidRDefault="0019754A" w:rsidP="0019754A">
      <w:pPr>
        <w:pStyle w:val="ListParagraph"/>
        <w:numPr>
          <w:ilvl w:val="0"/>
          <w:numId w:val="64"/>
        </w:numPr>
      </w:pPr>
      <w:r>
        <w:t>September 11 – 12, 2024</w:t>
      </w:r>
    </w:p>
    <w:p w14:paraId="71C54B99" w14:textId="2F6733AE" w:rsidR="00587F0B" w:rsidRDefault="00587F0B" w:rsidP="00144CE4"/>
    <w:p w14:paraId="54150082" w14:textId="5D144C6C" w:rsidR="0019754A" w:rsidRDefault="0019754A" w:rsidP="00144CE4">
      <w:r>
        <w:t xml:space="preserve">Bjerke confirmed that the next SRC quarterly meeting is scheduled for September 6 – 7, 2023. </w:t>
      </w:r>
    </w:p>
    <w:p w14:paraId="2AA37108" w14:textId="77777777" w:rsidR="004F3298" w:rsidRPr="0019754A" w:rsidRDefault="004F3298" w:rsidP="00144CE4"/>
    <w:p w14:paraId="6E0E2E31" w14:textId="5B33FA20" w:rsidR="00465EAB" w:rsidRDefault="005C7C12" w:rsidP="0019754A">
      <w:pPr>
        <w:pStyle w:val="Heading1"/>
      </w:pPr>
      <w:r w:rsidRPr="000A6189">
        <w:t xml:space="preserve">Adjourn </w:t>
      </w:r>
      <w:bookmarkStart w:id="14" w:name="_Hlk536179184"/>
      <w:bookmarkEnd w:id="3"/>
    </w:p>
    <w:p w14:paraId="0865426F" w14:textId="1335E670" w:rsidR="0019754A" w:rsidRPr="0019754A" w:rsidRDefault="0019754A" w:rsidP="0019754A">
      <w:r>
        <w:t>It was moved/seconded (Weller/Hayes) to adjourn the June 7 – 8, 2023 SRC quarterly meeting.</w:t>
      </w:r>
    </w:p>
    <w:p w14:paraId="1CD44283" w14:textId="77777777" w:rsidR="00730707" w:rsidRDefault="00730707" w:rsidP="00730707"/>
    <w:p w14:paraId="58130DBE" w14:textId="627D6637" w:rsidR="00730707" w:rsidRDefault="00730707">
      <w:r>
        <w:br w:type="page"/>
      </w:r>
    </w:p>
    <w:p w14:paraId="1D6C8CDB" w14:textId="441FA550" w:rsidR="00AE0334" w:rsidRDefault="00CE6E6B" w:rsidP="00CE6E6B">
      <w:pPr>
        <w:pStyle w:val="Heading1"/>
        <w:rPr>
          <w:rFonts w:cs="Arial"/>
        </w:rPr>
      </w:pPr>
      <w:bookmarkStart w:id="15" w:name="_Appendix_(xx)_–"/>
      <w:bookmarkEnd w:id="15"/>
      <w:r>
        <w:rPr>
          <w:rFonts w:cs="Arial"/>
        </w:rPr>
        <w:lastRenderedPageBreak/>
        <w:t xml:space="preserve">Appendix </w:t>
      </w:r>
      <w:r w:rsidR="00F57873">
        <w:rPr>
          <w:rFonts w:cs="Arial"/>
        </w:rPr>
        <w:t>A</w:t>
      </w:r>
      <w:r>
        <w:rPr>
          <w:rFonts w:cs="Arial"/>
        </w:rPr>
        <w:t xml:space="preserve"> </w:t>
      </w:r>
      <w:r w:rsidR="00AE0334">
        <w:rPr>
          <w:rFonts w:cs="Arial"/>
        </w:rPr>
        <w:t>– CalDOR Payment Card Presentation</w:t>
      </w:r>
    </w:p>
    <w:p w14:paraId="6E3BF860" w14:textId="456060C0" w:rsidR="00CE6E6B" w:rsidRPr="00215081" w:rsidRDefault="00CE6E6B" w:rsidP="00AE0334">
      <w:pPr>
        <w:pStyle w:val="Heading2"/>
      </w:pPr>
      <w:r w:rsidRPr="00215081">
        <w:t>Slide 1</w:t>
      </w:r>
      <w:r>
        <w:t xml:space="preserve">: </w:t>
      </w:r>
      <w:r w:rsidRPr="00215081">
        <w:t>Welcome to the CalDOR Payment Card!</w:t>
      </w:r>
    </w:p>
    <w:p w14:paraId="0DB46667" w14:textId="77777777" w:rsidR="00CE6E6B" w:rsidRPr="00215081" w:rsidRDefault="00CE6E6B" w:rsidP="00CE6E6B">
      <w:pPr>
        <w:rPr>
          <w:rFonts w:cs="Arial"/>
          <w:szCs w:val="28"/>
        </w:rPr>
      </w:pPr>
      <w:r w:rsidRPr="00215081">
        <w:rPr>
          <w:rFonts w:cs="Arial"/>
          <w:szCs w:val="28"/>
        </w:rPr>
        <w:t>DOR Logo</w:t>
      </w:r>
    </w:p>
    <w:p w14:paraId="5CC923B4" w14:textId="77777777" w:rsidR="00CE6E6B" w:rsidRPr="00215081" w:rsidRDefault="00CE6E6B" w:rsidP="00CE6E6B">
      <w:pPr>
        <w:rPr>
          <w:rFonts w:cs="Arial"/>
          <w:szCs w:val="28"/>
        </w:rPr>
      </w:pPr>
      <w:r w:rsidRPr="00215081">
        <w:rPr>
          <w:rFonts w:cs="Arial"/>
          <w:szCs w:val="28"/>
        </w:rPr>
        <w:t>Image of the CalDOR Payment Card</w:t>
      </w:r>
    </w:p>
    <w:p w14:paraId="2B6BA9A0" w14:textId="77777777" w:rsidR="00CE6E6B" w:rsidRPr="00215081" w:rsidRDefault="00CE6E6B" w:rsidP="00CE6E6B">
      <w:pPr>
        <w:rPr>
          <w:rFonts w:cs="Arial"/>
          <w:szCs w:val="28"/>
        </w:rPr>
      </w:pPr>
      <w:r w:rsidRPr="00215081">
        <w:rPr>
          <w:rFonts w:cs="Arial"/>
          <w:szCs w:val="28"/>
        </w:rPr>
        <w:t>DOR Payment Card Program logo</w:t>
      </w:r>
    </w:p>
    <w:p w14:paraId="5C5734EB" w14:textId="77777777" w:rsidR="00CE6E6B" w:rsidRPr="00215081" w:rsidRDefault="00CE6E6B" w:rsidP="00CE6E6B">
      <w:pPr>
        <w:rPr>
          <w:rFonts w:cs="Arial"/>
          <w:szCs w:val="28"/>
        </w:rPr>
      </w:pPr>
      <w:r w:rsidRPr="00215081">
        <w:rPr>
          <w:rFonts w:cs="Arial"/>
          <w:szCs w:val="28"/>
          <w:u w:val="single"/>
        </w:rPr>
        <w:t>Presenters:</w:t>
      </w:r>
      <w:r w:rsidRPr="00215081">
        <w:rPr>
          <w:rFonts w:cs="Arial"/>
          <w:szCs w:val="28"/>
        </w:rPr>
        <w:t> </w:t>
      </w:r>
    </w:p>
    <w:p w14:paraId="1895F463" w14:textId="77777777" w:rsidR="00CE6E6B" w:rsidRPr="00215081" w:rsidRDefault="00CE6E6B" w:rsidP="00455103">
      <w:pPr>
        <w:numPr>
          <w:ilvl w:val="0"/>
          <w:numId w:val="16"/>
        </w:numPr>
        <w:spacing w:line="259" w:lineRule="auto"/>
        <w:rPr>
          <w:rFonts w:cs="Arial"/>
          <w:szCs w:val="28"/>
        </w:rPr>
      </w:pPr>
      <w:r w:rsidRPr="00215081">
        <w:rPr>
          <w:rFonts w:cs="Arial"/>
          <w:szCs w:val="28"/>
        </w:rPr>
        <w:t>Lori Bruno, Chief Accounting Officer/CPC Project Lead  </w:t>
      </w:r>
    </w:p>
    <w:p w14:paraId="4BCD4BB6" w14:textId="77777777" w:rsidR="00CE6E6B" w:rsidRPr="00215081" w:rsidRDefault="00CE6E6B" w:rsidP="00455103">
      <w:pPr>
        <w:numPr>
          <w:ilvl w:val="0"/>
          <w:numId w:val="16"/>
        </w:numPr>
        <w:spacing w:line="259" w:lineRule="auto"/>
        <w:rPr>
          <w:rFonts w:cs="Arial"/>
          <w:szCs w:val="28"/>
        </w:rPr>
      </w:pPr>
      <w:r w:rsidRPr="00215081">
        <w:rPr>
          <w:rFonts w:cs="Arial"/>
          <w:szCs w:val="28"/>
        </w:rPr>
        <w:t>Sean Nunez, District Administrator/CPC VR Program SME</w:t>
      </w:r>
    </w:p>
    <w:p w14:paraId="1DDE657A" w14:textId="77777777" w:rsidR="00CE6E6B" w:rsidRPr="00215081" w:rsidRDefault="00CE6E6B" w:rsidP="00455103">
      <w:pPr>
        <w:numPr>
          <w:ilvl w:val="0"/>
          <w:numId w:val="16"/>
        </w:numPr>
        <w:spacing w:line="259" w:lineRule="auto"/>
        <w:rPr>
          <w:rFonts w:cs="Arial"/>
          <w:szCs w:val="28"/>
        </w:rPr>
      </w:pPr>
      <w:r w:rsidRPr="00215081">
        <w:rPr>
          <w:rFonts w:cs="Arial"/>
          <w:szCs w:val="28"/>
        </w:rPr>
        <w:t>Peter Blanco, Regional Director</w:t>
      </w:r>
    </w:p>
    <w:p w14:paraId="77E7C36C" w14:textId="77777777" w:rsidR="00CE6E6B" w:rsidRPr="00215081" w:rsidRDefault="00CE6E6B" w:rsidP="00455103">
      <w:pPr>
        <w:numPr>
          <w:ilvl w:val="0"/>
          <w:numId w:val="16"/>
        </w:numPr>
        <w:spacing w:line="259" w:lineRule="auto"/>
        <w:rPr>
          <w:rFonts w:cs="Arial"/>
          <w:szCs w:val="28"/>
        </w:rPr>
      </w:pPr>
      <w:r w:rsidRPr="00215081">
        <w:rPr>
          <w:rFonts w:cs="Arial"/>
          <w:szCs w:val="28"/>
        </w:rPr>
        <w:t>Sherri Han-Lam, Regional Director</w:t>
      </w:r>
    </w:p>
    <w:p w14:paraId="1140F8BA" w14:textId="77777777" w:rsidR="00CE6E6B" w:rsidRPr="00215081" w:rsidRDefault="00CE6E6B" w:rsidP="00455103">
      <w:pPr>
        <w:numPr>
          <w:ilvl w:val="0"/>
          <w:numId w:val="16"/>
        </w:numPr>
        <w:spacing w:line="259" w:lineRule="auto"/>
        <w:rPr>
          <w:rFonts w:cs="Arial"/>
          <w:szCs w:val="28"/>
        </w:rPr>
      </w:pPr>
      <w:r w:rsidRPr="00215081">
        <w:rPr>
          <w:rFonts w:cs="Arial"/>
          <w:szCs w:val="28"/>
        </w:rPr>
        <w:t>Gina Franklin, AAI, Accounting Services/CPC Program Administrator</w:t>
      </w:r>
    </w:p>
    <w:p w14:paraId="0492C008" w14:textId="77777777" w:rsidR="00CE6E6B" w:rsidRPr="00215081" w:rsidRDefault="00CE6E6B" w:rsidP="00455103">
      <w:pPr>
        <w:numPr>
          <w:ilvl w:val="0"/>
          <w:numId w:val="16"/>
        </w:numPr>
        <w:spacing w:line="259" w:lineRule="auto"/>
        <w:rPr>
          <w:rFonts w:cs="Arial"/>
          <w:szCs w:val="28"/>
        </w:rPr>
      </w:pPr>
      <w:r w:rsidRPr="00215081">
        <w:rPr>
          <w:rFonts w:cs="Arial"/>
          <w:szCs w:val="28"/>
        </w:rPr>
        <w:t xml:space="preserve">Phi </w:t>
      </w:r>
      <w:proofErr w:type="spellStart"/>
      <w:r w:rsidRPr="00215081">
        <w:rPr>
          <w:rFonts w:cs="Arial"/>
          <w:szCs w:val="28"/>
        </w:rPr>
        <w:t>Phi</w:t>
      </w:r>
      <w:proofErr w:type="spellEnd"/>
      <w:r w:rsidRPr="00215081">
        <w:rPr>
          <w:rFonts w:cs="Arial"/>
          <w:szCs w:val="28"/>
        </w:rPr>
        <w:t xml:space="preserve"> Phan, AGPA, Accounting Services</w:t>
      </w:r>
    </w:p>
    <w:p w14:paraId="0CDD98D3" w14:textId="77777777" w:rsidR="00CE6E6B" w:rsidRPr="00215081" w:rsidRDefault="00CE6E6B" w:rsidP="00CE6E6B">
      <w:pPr>
        <w:rPr>
          <w:rFonts w:cs="Arial"/>
          <w:szCs w:val="28"/>
        </w:rPr>
      </w:pPr>
    </w:p>
    <w:p w14:paraId="2C3C86AF" w14:textId="77777777" w:rsidR="00CE6E6B" w:rsidRPr="00215081" w:rsidRDefault="00CE6E6B" w:rsidP="00AE0334">
      <w:pPr>
        <w:pStyle w:val="Heading2"/>
      </w:pPr>
      <w:r w:rsidRPr="00215081">
        <w:t>Slide 2: CalDOR Payment Card - The Vision and Journey Begins!</w:t>
      </w:r>
    </w:p>
    <w:p w14:paraId="2907AB9C" w14:textId="77777777" w:rsidR="00CE6E6B" w:rsidRPr="00215081" w:rsidRDefault="00CE6E6B" w:rsidP="00455103">
      <w:pPr>
        <w:pStyle w:val="ListParagraph"/>
        <w:numPr>
          <w:ilvl w:val="0"/>
          <w:numId w:val="22"/>
        </w:numPr>
        <w:spacing w:line="259" w:lineRule="auto"/>
        <w:rPr>
          <w:rFonts w:cs="Arial"/>
          <w:szCs w:val="28"/>
        </w:rPr>
      </w:pPr>
      <w:r w:rsidRPr="00215081">
        <w:rPr>
          <w:rFonts w:cs="Arial"/>
          <w:szCs w:val="28"/>
        </w:rPr>
        <w:t xml:space="preserve">It all started with a vision / goal! </w:t>
      </w:r>
    </w:p>
    <w:p w14:paraId="264F56D1" w14:textId="77777777" w:rsidR="00CE6E6B" w:rsidRPr="00215081" w:rsidRDefault="00CE6E6B" w:rsidP="00455103">
      <w:pPr>
        <w:pStyle w:val="ListParagraph"/>
        <w:numPr>
          <w:ilvl w:val="1"/>
          <w:numId w:val="22"/>
        </w:numPr>
        <w:spacing w:line="259" w:lineRule="auto"/>
        <w:rPr>
          <w:rFonts w:cs="Arial"/>
          <w:szCs w:val="28"/>
        </w:rPr>
      </w:pPr>
      <w:r w:rsidRPr="00215081">
        <w:rPr>
          <w:rFonts w:cs="Arial"/>
          <w:szCs w:val="28"/>
        </w:rPr>
        <w:t>Decades long push by field staff for a modern payment method for consumers to purchase authorized VR goods and services they need to achieve their employment goal, same day if needed</w:t>
      </w:r>
      <w:r>
        <w:rPr>
          <w:rFonts w:cs="Arial"/>
          <w:szCs w:val="28"/>
        </w:rPr>
        <w:t>.</w:t>
      </w:r>
    </w:p>
    <w:p w14:paraId="4CC24CEB" w14:textId="77777777" w:rsidR="00CE6E6B" w:rsidRPr="00215081" w:rsidRDefault="00CE6E6B" w:rsidP="00455103">
      <w:pPr>
        <w:pStyle w:val="ListParagraph"/>
        <w:numPr>
          <w:ilvl w:val="0"/>
          <w:numId w:val="22"/>
        </w:numPr>
        <w:spacing w:line="259" w:lineRule="auto"/>
        <w:rPr>
          <w:rFonts w:cs="Arial"/>
          <w:szCs w:val="28"/>
        </w:rPr>
      </w:pPr>
      <w:r w:rsidRPr="00215081">
        <w:rPr>
          <w:rFonts w:cs="Arial"/>
          <w:szCs w:val="28"/>
        </w:rPr>
        <w:t>21</w:t>
      </w:r>
      <w:r w:rsidRPr="00215081">
        <w:rPr>
          <w:rFonts w:cs="Arial"/>
          <w:szCs w:val="28"/>
          <w:vertAlign w:val="superscript"/>
        </w:rPr>
        <w:t>st</w:t>
      </w:r>
      <w:r w:rsidRPr="00215081">
        <w:rPr>
          <w:rFonts w:cs="Arial"/>
          <w:szCs w:val="28"/>
        </w:rPr>
        <w:t xml:space="preserve"> Century / Debit Cards</w:t>
      </w:r>
    </w:p>
    <w:p w14:paraId="550DA7AA" w14:textId="77777777" w:rsidR="00CE6E6B" w:rsidRPr="00215081" w:rsidRDefault="00CE6E6B" w:rsidP="00455103">
      <w:pPr>
        <w:pStyle w:val="ListParagraph"/>
        <w:numPr>
          <w:ilvl w:val="0"/>
          <w:numId w:val="22"/>
        </w:numPr>
        <w:spacing w:line="259" w:lineRule="auto"/>
        <w:rPr>
          <w:rFonts w:cs="Arial"/>
          <w:szCs w:val="28"/>
        </w:rPr>
      </w:pPr>
      <w:r w:rsidRPr="00215081">
        <w:rPr>
          <w:rFonts w:cs="Arial"/>
          <w:szCs w:val="28"/>
        </w:rPr>
        <w:t>Historically, over $20-$30 million of checks, bank drafts, and hand carried authorizations were issued to consumers to pay for VR goods/services</w:t>
      </w:r>
      <w:r>
        <w:rPr>
          <w:rFonts w:cs="Arial"/>
          <w:szCs w:val="28"/>
        </w:rPr>
        <w:t>.</w:t>
      </w:r>
    </w:p>
    <w:p w14:paraId="07E60BDD" w14:textId="77777777" w:rsidR="00CE6E6B" w:rsidRPr="00215081" w:rsidRDefault="00CE6E6B" w:rsidP="00455103">
      <w:pPr>
        <w:pStyle w:val="ListParagraph"/>
        <w:numPr>
          <w:ilvl w:val="1"/>
          <w:numId w:val="22"/>
        </w:numPr>
        <w:spacing w:line="259" w:lineRule="auto"/>
        <w:rPr>
          <w:rFonts w:cs="Arial"/>
          <w:szCs w:val="28"/>
        </w:rPr>
      </w:pPr>
      <w:r w:rsidRPr="00215081">
        <w:rPr>
          <w:rFonts w:cs="Arial"/>
          <w:szCs w:val="28"/>
        </w:rPr>
        <w:t xml:space="preserve"> It’s a New Day!</w:t>
      </w:r>
    </w:p>
    <w:p w14:paraId="1F61CE5E" w14:textId="77777777" w:rsidR="00CE6E6B" w:rsidRPr="00215081" w:rsidRDefault="00CE6E6B" w:rsidP="00455103">
      <w:pPr>
        <w:pStyle w:val="ListParagraph"/>
        <w:numPr>
          <w:ilvl w:val="2"/>
          <w:numId w:val="22"/>
        </w:numPr>
        <w:spacing w:line="259" w:lineRule="auto"/>
        <w:rPr>
          <w:rFonts w:cs="Arial"/>
          <w:szCs w:val="28"/>
        </w:rPr>
      </w:pPr>
      <w:r w:rsidRPr="00215081">
        <w:rPr>
          <w:rFonts w:cs="Arial"/>
          <w:szCs w:val="28"/>
        </w:rPr>
        <w:t>DOR Leadership supported an opportunity to think differently to benefit consumers</w:t>
      </w:r>
      <w:r>
        <w:rPr>
          <w:rFonts w:cs="Arial"/>
          <w:szCs w:val="28"/>
        </w:rPr>
        <w:t>.</w:t>
      </w:r>
    </w:p>
    <w:p w14:paraId="06369EA7" w14:textId="77777777" w:rsidR="00CE6E6B" w:rsidRPr="00215081" w:rsidRDefault="00CE6E6B" w:rsidP="00455103">
      <w:pPr>
        <w:pStyle w:val="ListParagraph"/>
        <w:numPr>
          <w:ilvl w:val="2"/>
          <w:numId w:val="22"/>
        </w:numPr>
        <w:spacing w:line="259" w:lineRule="auto"/>
        <w:rPr>
          <w:rFonts w:cs="Arial"/>
          <w:szCs w:val="28"/>
        </w:rPr>
      </w:pPr>
      <w:r w:rsidRPr="00215081">
        <w:rPr>
          <w:rFonts w:cs="Arial"/>
          <w:szCs w:val="28"/>
        </w:rPr>
        <w:t>Received approval to seek a financial services company who DOR Accounting Services could partner with to administer a consumer payment card program</w:t>
      </w:r>
      <w:r>
        <w:rPr>
          <w:rFonts w:cs="Arial"/>
          <w:szCs w:val="28"/>
        </w:rPr>
        <w:t>.</w:t>
      </w:r>
    </w:p>
    <w:p w14:paraId="7871307A" w14:textId="77777777" w:rsidR="00CE6E6B" w:rsidRPr="00215081" w:rsidRDefault="00CE6E6B" w:rsidP="00455103">
      <w:pPr>
        <w:pStyle w:val="ListParagraph"/>
        <w:numPr>
          <w:ilvl w:val="2"/>
          <w:numId w:val="22"/>
        </w:numPr>
        <w:spacing w:line="259" w:lineRule="auto"/>
        <w:rPr>
          <w:rFonts w:cs="Arial"/>
          <w:szCs w:val="28"/>
        </w:rPr>
      </w:pPr>
      <w:r w:rsidRPr="00215081">
        <w:rPr>
          <w:rFonts w:cs="Arial"/>
          <w:szCs w:val="28"/>
        </w:rPr>
        <w:t>Finalized contract with WEX Health in December 2021</w:t>
      </w:r>
    </w:p>
    <w:p w14:paraId="295DA0EC" w14:textId="77777777" w:rsidR="00CE6E6B" w:rsidRDefault="00CE6E6B" w:rsidP="00455103">
      <w:pPr>
        <w:pStyle w:val="ListParagraph"/>
        <w:numPr>
          <w:ilvl w:val="2"/>
          <w:numId w:val="22"/>
        </w:numPr>
        <w:spacing w:line="259" w:lineRule="auto"/>
        <w:rPr>
          <w:rFonts w:cs="Arial"/>
          <w:szCs w:val="28"/>
        </w:rPr>
      </w:pPr>
      <w:r w:rsidRPr="00215081">
        <w:rPr>
          <w:rFonts w:cs="Arial"/>
          <w:szCs w:val="28"/>
        </w:rPr>
        <w:t>New frontier with no roadmap!</w:t>
      </w:r>
    </w:p>
    <w:p w14:paraId="07F34718" w14:textId="77777777" w:rsidR="00CE6E6B" w:rsidRPr="00215081" w:rsidRDefault="00CE6E6B" w:rsidP="00CE6E6B">
      <w:pPr>
        <w:pStyle w:val="ListParagraph"/>
        <w:ind w:left="2160"/>
        <w:rPr>
          <w:rFonts w:cs="Arial"/>
          <w:szCs w:val="28"/>
        </w:rPr>
      </w:pPr>
    </w:p>
    <w:p w14:paraId="1AFB1087" w14:textId="77777777" w:rsidR="00CE6E6B" w:rsidRPr="00215081" w:rsidRDefault="00CE6E6B" w:rsidP="00AE0334">
      <w:pPr>
        <w:pStyle w:val="Heading2"/>
      </w:pPr>
      <w:r w:rsidRPr="00215081">
        <w:t>Slide 3: CalDOR Payment Card Project – Full Steam Ahead!</w:t>
      </w:r>
    </w:p>
    <w:p w14:paraId="2CB5D659" w14:textId="77777777" w:rsidR="00CE6E6B" w:rsidRDefault="00CE6E6B" w:rsidP="00455103">
      <w:pPr>
        <w:pStyle w:val="ListParagraph"/>
        <w:numPr>
          <w:ilvl w:val="0"/>
          <w:numId w:val="23"/>
        </w:numPr>
        <w:spacing w:line="259" w:lineRule="auto"/>
        <w:rPr>
          <w:rFonts w:cs="Arial"/>
          <w:szCs w:val="28"/>
        </w:rPr>
      </w:pPr>
      <w:r w:rsidRPr="00215081">
        <w:rPr>
          <w:rFonts w:cs="Arial"/>
          <w:szCs w:val="28"/>
        </w:rPr>
        <w:t>Once the Design and Setup of the CalDOR Payment Card portal and internal system processes development was completed, initial testing conducted with DOR’s Napa Branch - September/October 2022</w:t>
      </w:r>
    </w:p>
    <w:p w14:paraId="56ECDCDD" w14:textId="77777777" w:rsidR="00CE6E6B" w:rsidRDefault="00CE6E6B" w:rsidP="00455103">
      <w:pPr>
        <w:pStyle w:val="ListParagraph"/>
        <w:numPr>
          <w:ilvl w:val="0"/>
          <w:numId w:val="23"/>
        </w:numPr>
        <w:spacing w:line="259" w:lineRule="auto"/>
        <w:rPr>
          <w:rFonts w:cs="Arial"/>
          <w:szCs w:val="28"/>
        </w:rPr>
      </w:pPr>
      <w:r w:rsidRPr="00215081">
        <w:rPr>
          <w:rFonts w:cs="Arial"/>
          <w:szCs w:val="28"/>
        </w:rPr>
        <w:t xml:space="preserve">Statewide CPC Program Training and Rollout – November/December 2022 </w:t>
      </w:r>
    </w:p>
    <w:p w14:paraId="57E1DD88" w14:textId="77777777" w:rsidR="00CE6E6B" w:rsidRDefault="00CE6E6B" w:rsidP="00455103">
      <w:pPr>
        <w:pStyle w:val="ListParagraph"/>
        <w:numPr>
          <w:ilvl w:val="0"/>
          <w:numId w:val="23"/>
        </w:numPr>
        <w:spacing w:line="259" w:lineRule="auto"/>
        <w:rPr>
          <w:rFonts w:cs="Arial"/>
          <w:szCs w:val="28"/>
        </w:rPr>
      </w:pPr>
      <w:r w:rsidRPr="00215081">
        <w:rPr>
          <w:rFonts w:cs="Arial"/>
          <w:szCs w:val="28"/>
        </w:rPr>
        <w:t>Today – 10,000+ consumers enrolled statewide and climbing!</w:t>
      </w:r>
    </w:p>
    <w:p w14:paraId="0EFC7CAE" w14:textId="77777777" w:rsidR="00CE6E6B" w:rsidRDefault="00CE6E6B" w:rsidP="00455103">
      <w:pPr>
        <w:pStyle w:val="ListParagraph"/>
        <w:numPr>
          <w:ilvl w:val="0"/>
          <w:numId w:val="23"/>
        </w:numPr>
        <w:spacing w:line="259" w:lineRule="auto"/>
        <w:rPr>
          <w:rFonts w:cs="Arial"/>
          <w:szCs w:val="28"/>
        </w:rPr>
      </w:pPr>
      <w:r w:rsidRPr="00215081">
        <w:rPr>
          <w:rFonts w:cs="Arial"/>
          <w:szCs w:val="28"/>
        </w:rPr>
        <w:t>Image of DOR Director Joe</w:t>
      </w:r>
      <w:r>
        <w:rPr>
          <w:rFonts w:cs="Arial"/>
          <w:szCs w:val="28"/>
        </w:rPr>
        <w:t xml:space="preserve"> Xavier</w:t>
      </w:r>
      <w:r w:rsidRPr="00215081">
        <w:rPr>
          <w:rFonts w:cs="Arial"/>
          <w:szCs w:val="28"/>
        </w:rPr>
        <w:t xml:space="preserve"> talking to the first CPC consumer, Annie</w:t>
      </w:r>
      <w:r>
        <w:rPr>
          <w:rFonts w:cs="Arial"/>
          <w:szCs w:val="28"/>
        </w:rPr>
        <w:t>.</w:t>
      </w:r>
    </w:p>
    <w:p w14:paraId="0747E3A0" w14:textId="77777777" w:rsidR="00CE6E6B" w:rsidRDefault="00CE6E6B" w:rsidP="00455103">
      <w:pPr>
        <w:pStyle w:val="ListParagraph"/>
        <w:numPr>
          <w:ilvl w:val="0"/>
          <w:numId w:val="23"/>
        </w:numPr>
        <w:spacing w:line="259" w:lineRule="auto"/>
        <w:rPr>
          <w:rFonts w:cs="Arial"/>
          <w:szCs w:val="28"/>
        </w:rPr>
      </w:pPr>
      <w:r w:rsidRPr="00215081">
        <w:rPr>
          <w:rFonts w:cs="Arial"/>
          <w:szCs w:val="28"/>
        </w:rPr>
        <w:t xml:space="preserve">Image of </w:t>
      </w:r>
      <w:r>
        <w:rPr>
          <w:rFonts w:cs="Arial"/>
          <w:szCs w:val="28"/>
        </w:rPr>
        <w:t xml:space="preserve">the </w:t>
      </w:r>
      <w:r w:rsidRPr="00215081">
        <w:rPr>
          <w:rFonts w:cs="Arial"/>
          <w:szCs w:val="28"/>
        </w:rPr>
        <w:t>DOR executive team with</w:t>
      </w:r>
      <w:r>
        <w:rPr>
          <w:rFonts w:cs="Arial"/>
          <w:szCs w:val="28"/>
        </w:rPr>
        <w:t xml:space="preserve"> the DOR</w:t>
      </w:r>
      <w:r w:rsidRPr="00215081">
        <w:rPr>
          <w:rFonts w:cs="Arial"/>
          <w:szCs w:val="28"/>
        </w:rPr>
        <w:t xml:space="preserve"> Napa team, holding a giant CPC card.</w:t>
      </w:r>
    </w:p>
    <w:p w14:paraId="6BF41E61" w14:textId="77777777" w:rsidR="00CE6E6B" w:rsidRPr="00215081" w:rsidRDefault="00CE6E6B" w:rsidP="00455103">
      <w:pPr>
        <w:pStyle w:val="ListParagraph"/>
        <w:numPr>
          <w:ilvl w:val="0"/>
          <w:numId w:val="23"/>
        </w:numPr>
        <w:spacing w:line="259" w:lineRule="auto"/>
        <w:rPr>
          <w:rFonts w:cs="Arial"/>
          <w:szCs w:val="28"/>
        </w:rPr>
      </w:pPr>
      <w:r w:rsidRPr="00215081">
        <w:rPr>
          <w:rFonts w:cs="Arial"/>
          <w:szCs w:val="28"/>
        </w:rPr>
        <w:lastRenderedPageBreak/>
        <w:t xml:space="preserve">Link to video: </w:t>
      </w:r>
      <w:hyperlink r:id="rId12" w:history="1">
        <w:r w:rsidRPr="00215081">
          <w:rPr>
            <w:rStyle w:val="Hyperlink"/>
            <w:rFonts w:cs="Arial"/>
            <w:szCs w:val="28"/>
          </w:rPr>
          <w:t>https://youtu.be/ELaUAT2-3S0</w:t>
        </w:r>
      </w:hyperlink>
      <w:r w:rsidRPr="00215081">
        <w:rPr>
          <w:rFonts w:cs="Arial"/>
          <w:szCs w:val="28"/>
        </w:rPr>
        <w:t xml:space="preserve"> </w:t>
      </w:r>
    </w:p>
    <w:p w14:paraId="0F3E645B" w14:textId="77777777" w:rsidR="00CE6E6B" w:rsidRDefault="00CE6E6B" w:rsidP="00CE6E6B">
      <w:pPr>
        <w:tabs>
          <w:tab w:val="num" w:pos="720"/>
        </w:tabs>
        <w:rPr>
          <w:rFonts w:cs="Arial"/>
          <w:b/>
          <w:bCs/>
          <w:szCs w:val="28"/>
        </w:rPr>
      </w:pPr>
    </w:p>
    <w:p w14:paraId="679CA6F0" w14:textId="77777777" w:rsidR="00CE6E6B" w:rsidRDefault="00CE6E6B" w:rsidP="00AE0334">
      <w:pPr>
        <w:pStyle w:val="Heading2"/>
      </w:pPr>
      <w:r>
        <w:t xml:space="preserve">Slide 4: </w:t>
      </w:r>
      <w:r w:rsidRPr="00215081">
        <w:t>CPC Benefits – Consumer Experience / Stories</w:t>
      </w:r>
    </w:p>
    <w:p w14:paraId="7FBD21A5" w14:textId="77777777" w:rsidR="00CE6E6B" w:rsidRPr="00215081" w:rsidRDefault="00CE6E6B" w:rsidP="00455103">
      <w:pPr>
        <w:numPr>
          <w:ilvl w:val="0"/>
          <w:numId w:val="24"/>
        </w:numPr>
        <w:tabs>
          <w:tab w:val="num" w:pos="720"/>
        </w:tabs>
        <w:spacing w:line="259" w:lineRule="auto"/>
        <w:rPr>
          <w:rFonts w:cs="Arial"/>
          <w:szCs w:val="28"/>
        </w:rPr>
      </w:pPr>
      <w:r w:rsidRPr="00215081">
        <w:rPr>
          <w:rFonts w:cs="Arial"/>
          <w:szCs w:val="28"/>
        </w:rPr>
        <w:t>Customer Service-Focus:</w:t>
      </w:r>
    </w:p>
    <w:p w14:paraId="15C0BCB1"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Privacy</w:t>
      </w:r>
    </w:p>
    <w:p w14:paraId="1E138E9F"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Convenience including:</w:t>
      </w:r>
    </w:p>
    <w:p w14:paraId="6F5325B4" w14:textId="77777777" w:rsidR="00CE6E6B" w:rsidRPr="00215081" w:rsidRDefault="00CE6E6B" w:rsidP="00455103">
      <w:pPr>
        <w:numPr>
          <w:ilvl w:val="2"/>
          <w:numId w:val="24"/>
        </w:numPr>
        <w:tabs>
          <w:tab w:val="num" w:pos="720"/>
        </w:tabs>
        <w:spacing w:line="259" w:lineRule="auto"/>
        <w:rPr>
          <w:rFonts w:cs="Arial"/>
          <w:szCs w:val="28"/>
        </w:rPr>
      </w:pPr>
      <w:r w:rsidRPr="00215081">
        <w:rPr>
          <w:rFonts w:cs="Arial"/>
          <w:szCs w:val="28"/>
        </w:rPr>
        <w:t>Procuring Goods and Services in the “usual” manner</w:t>
      </w:r>
    </w:p>
    <w:p w14:paraId="63DA5037" w14:textId="77777777" w:rsidR="00CE6E6B" w:rsidRPr="00215081" w:rsidRDefault="00CE6E6B" w:rsidP="00455103">
      <w:pPr>
        <w:numPr>
          <w:ilvl w:val="2"/>
          <w:numId w:val="24"/>
        </w:numPr>
        <w:tabs>
          <w:tab w:val="num" w:pos="720"/>
        </w:tabs>
        <w:spacing w:line="259" w:lineRule="auto"/>
        <w:rPr>
          <w:rFonts w:cs="Arial"/>
          <w:szCs w:val="28"/>
        </w:rPr>
      </w:pPr>
      <w:r w:rsidRPr="00215081">
        <w:rPr>
          <w:rFonts w:cs="Arial"/>
          <w:szCs w:val="28"/>
        </w:rPr>
        <w:t xml:space="preserve">Receipt Uploads (versus mail or drop-off) </w:t>
      </w:r>
    </w:p>
    <w:p w14:paraId="4944487D"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Responsiveness to Consumer Needs</w:t>
      </w:r>
    </w:p>
    <w:p w14:paraId="5B9DBC93"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Expediting Procurement of VR Goods and Services</w:t>
      </w:r>
    </w:p>
    <w:p w14:paraId="4D583316"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Increased options for consumers:</w:t>
      </w:r>
    </w:p>
    <w:p w14:paraId="4BACAB1C" w14:textId="77777777" w:rsidR="00CE6E6B" w:rsidRPr="00215081" w:rsidRDefault="00CE6E6B" w:rsidP="00455103">
      <w:pPr>
        <w:numPr>
          <w:ilvl w:val="2"/>
          <w:numId w:val="24"/>
        </w:numPr>
        <w:tabs>
          <w:tab w:val="num" w:pos="720"/>
        </w:tabs>
        <w:spacing w:line="259" w:lineRule="auto"/>
        <w:rPr>
          <w:rFonts w:cs="Arial"/>
          <w:szCs w:val="28"/>
        </w:rPr>
      </w:pPr>
      <w:r w:rsidRPr="00215081">
        <w:rPr>
          <w:rFonts w:cs="Arial"/>
          <w:szCs w:val="28"/>
        </w:rPr>
        <w:t>Online purchases</w:t>
      </w:r>
    </w:p>
    <w:p w14:paraId="3A2D1C07" w14:textId="77777777" w:rsidR="00CE6E6B" w:rsidRPr="00215081" w:rsidRDefault="00CE6E6B" w:rsidP="00455103">
      <w:pPr>
        <w:numPr>
          <w:ilvl w:val="2"/>
          <w:numId w:val="24"/>
        </w:numPr>
        <w:tabs>
          <w:tab w:val="num" w:pos="720"/>
        </w:tabs>
        <w:spacing w:line="259" w:lineRule="auto"/>
        <w:rPr>
          <w:rFonts w:cs="Arial"/>
          <w:szCs w:val="28"/>
        </w:rPr>
      </w:pPr>
      <w:r w:rsidRPr="00215081">
        <w:rPr>
          <w:rFonts w:cs="Arial"/>
          <w:szCs w:val="28"/>
        </w:rPr>
        <w:t>Specialty tools and services</w:t>
      </w:r>
    </w:p>
    <w:p w14:paraId="6F98FDA0" w14:textId="77777777" w:rsidR="00CE6E6B" w:rsidRPr="00215081" w:rsidRDefault="00CE6E6B" w:rsidP="00455103">
      <w:pPr>
        <w:numPr>
          <w:ilvl w:val="2"/>
          <w:numId w:val="24"/>
        </w:numPr>
        <w:tabs>
          <w:tab w:val="num" w:pos="720"/>
        </w:tabs>
        <w:spacing w:line="259" w:lineRule="auto"/>
        <w:rPr>
          <w:rFonts w:cs="Arial"/>
          <w:szCs w:val="28"/>
        </w:rPr>
      </w:pPr>
      <w:r w:rsidRPr="00215081">
        <w:rPr>
          <w:rFonts w:cs="Arial"/>
          <w:szCs w:val="28"/>
        </w:rPr>
        <w:t>Smaller/ non-traditional businesses</w:t>
      </w:r>
    </w:p>
    <w:p w14:paraId="5B46CF18" w14:textId="77777777" w:rsidR="00CE6E6B" w:rsidRPr="00215081" w:rsidRDefault="00CE6E6B" w:rsidP="00455103">
      <w:pPr>
        <w:numPr>
          <w:ilvl w:val="0"/>
          <w:numId w:val="24"/>
        </w:numPr>
        <w:tabs>
          <w:tab w:val="num" w:pos="720"/>
        </w:tabs>
        <w:spacing w:line="259" w:lineRule="auto"/>
        <w:rPr>
          <w:rFonts w:cs="Arial"/>
          <w:szCs w:val="28"/>
        </w:rPr>
      </w:pPr>
      <w:r w:rsidRPr="00215081">
        <w:rPr>
          <w:rFonts w:cs="Arial"/>
          <w:szCs w:val="28"/>
        </w:rPr>
        <w:t>Sample Consumer Stories:</w:t>
      </w:r>
    </w:p>
    <w:p w14:paraId="4683C22E"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Remote Consumer – Vehicle Repair (Tires)</w:t>
      </w:r>
    </w:p>
    <w:p w14:paraId="47BD3F38" w14:textId="77777777" w:rsidR="00CE6E6B" w:rsidRPr="00215081" w:rsidRDefault="00CE6E6B" w:rsidP="00455103">
      <w:pPr>
        <w:numPr>
          <w:ilvl w:val="1"/>
          <w:numId w:val="24"/>
        </w:numPr>
        <w:tabs>
          <w:tab w:val="num" w:pos="720"/>
        </w:tabs>
        <w:spacing w:line="259" w:lineRule="auto"/>
        <w:rPr>
          <w:rFonts w:cs="Arial"/>
          <w:szCs w:val="28"/>
        </w:rPr>
      </w:pPr>
      <w:r w:rsidRPr="00215081">
        <w:rPr>
          <w:rFonts w:cs="Arial"/>
          <w:szCs w:val="28"/>
        </w:rPr>
        <w:t>Traveling Consumer – University Tuition/Fees (Montana), Emergency Maintenance (shelter)</w:t>
      </w:r>
    </w:p>
    <w:p w14:paraId="422F1F62" w14:textId="77777777" w:rsidR="00CE6E6B" w:rsidRPr="00215081" w:rsidRDefault="00CE6E6B" w:rsidP="00CE6E6B">
      <w:pPr>
        <w:tabs>
          <w:tab w:val="num" w:pos="720"/>
        </w:tabs>
        <w:rPr>
          <w:rFonts w:cs="Arial"/>
          <w:szCs w:val="28"/>
        </w:rPr>
      </w:pPr>
    </w:p>
    <w:p w14:paraId="24D3DCDA" w14:textId="403E75BF" w:rsidR="00CE6E6B" w:rsidRDefault="00CE6E6B" w:rsidP="00AE0334">
      <w:pPr>
        <w:pStyle w:val="Heading2"/>
      </w:pPr>
      <w:r>
        <w:t xml:space="preserve">Slide 5: </w:t>
      </w:r>
      <w:r w:rsidRPr="00215081">
        <w:t>And Coming Soon! Authorized Gasoline Purchases </w:t>
      </w:r>
    </w:p>
    <w:p w14:paraId="6ECC6066" w14:textId="77777777" w:rsidR="00CE6E6B" w:rsidRPr="00215081" w:rsidRDefault="00CE6E6B" w:rsidP="00CE6E6B">
      <w:pPr>
        <w:rPr>
          <w:rFonts w:cs="Arial"/>
          <w:szCs w:val="28"/>
        </w:rPr>
      </w:pPr>
      <w:r w:rsidRPr="00215081">
        <w:rPr>
          <w:rFonts w:cs="Arial"/>
          <w:szCs w:val="28"/>
        </w:rPr>
        <w:t>"Gas in California is expensive. I can't focus on my training if I am worried about running out of gas by the end of the week. I am a nursing student and I travel a lot for school. The CPC gives me more flexibility for when and where I buy gas.</w:t>
      </w:r>
      <w:r>
        <w:rPr>
          <w:rFonts w:cs="Arial"/>
          <w:szCs w:val="28"/>
        </w:rPr>
        <w:t xml:space="preserve">” </w:t>
      </w:r>
      <w:r w:rsidRPr="00215081">
        <w:rPr>
          <w:rFonts w:cs="Arial"/>
          <w:szCs w:val="28"/>
        </w:rPr>
        <w:t>-- Annie Conley </w:t>
      </w:r>
    </w:p>
    <w:p w14:paraId="319B14A7" w14:textId="77777777" w:rsidR="00CE6E6B" w:rsidRPr="00215081" w:rsidRDefault="00CE6E6B" w:rsidP="00455103">
      <w:pPr>
        <w:numPr>
          <w:ilvl w:val="0"/>
          <w:numId w:val="25"/>
        </w:numPr>
        <w:spacing w:line="259" w:lineRule="auto"/>
        <w:rPr>
          <w:rFonts w:cs="Arial"/>
          <w:szCs w:val="28"/>
        </w:rPr>
      </w:pPr>
      <w:r w:rsidRPr="00215081">
        <w:rPr>
          <w:rFonts w:cs="Arial"/>
          <w:szCs w:val="28"/>
        </w:rPr>
        <w:t>DOR continues to consider and test new viable options for the CPC:</w:t>
      </w:r>
    </w:p>
    <w:p w14:paraId="25741E37" w14:textId="77777777" w:rsidR="00CE6E6B" w:rsidRPr="00215081" w:rsidRDefault="00CE6E6B" w:rsidP="00455103">
      <w:pPr>
        <w:numPr>
          <w:ilvl w:val="1"/>
          <w:numId w:val="26"/>
        </w:numPr>
        <w:spacing w:line="259" w:lineRule="auto"/>
        <w:rPr>
          <w:rFonts w:cs="Arial"/>
          <w:szCs w:val="28"/>
        </w:rPr>
      </w:pPr>
      <w:r w:rsidRPr="00215081">
        <w:rPr>
          <w:rFonts w:cs="Arial"/>
          <w:szCs w:val="28"/>
        </w:rPr>
        <w:t>Rather than using reimbursement checks, DOR worked with WEX Health to test the ability to use pre-authorized funds on the CPC to purchase gasoline. </w:t>
      </w:r>
    </w:p>
    <w:p w14:paraId="72B7EBC2" w14:textId="77777777" w:rsidR="00CE6E6B" w:rsidRPr="00215081" w:rsidRDefault="00CE6E6B" w:rsidP="00455103">
      <w:pPr>
        <w:numPr>
          <w:ilvl w:val="1"/>
          <w:numId w:val="26"/>
        </w:numPr>
        <w:spacing w:line="259" w:lineRule="auto"/>
        <w:rPr>
          <w:rFonts w:cs="Arial"/>
          <w:szCs w:val="28"/>
        </w:rPr>
      </w:pPr>
      <w:r w:rsidRPr="00215081">
        <w:rPr>
          <w:rFonts w:cs="Arial"/>
          <w:szCs w:val="28"/>
        </w:rPr>
        <w:t>Using the CPC alleviates the needs for the consumer to pay out of pocket for gasoline and wait to be reimbursed.</w:t>
      </w:r>
    </w:p>
    <w:p w14:paraId="14DC7222" w14:textId="77777777" w:rsidR="00CE6E6B" w:rsidRPr="00215081" w:rsidRDefault="00CE6E6B" w:rsidP="00455103">
      <w:pPr>
        <w:numPr>
          <w:ilvl w:val="1"/>
          <w:numId w:val="26"/>
        </w:numPr>
        <w:spacing w:line="259" w:lineRule="auto"/>
        <w:rPr>
          <w:rFonts w:cs="Arial"/>
          <w:szCs w:val="28"/>
        </w:rPr>
      </w:pPr>
      <w:r w:rsidRPr="00215081">
        <w:rPr>
          <w:rFonts w:cs="Arial"/>
          <w:szCs w:val="28"/>
        </w:rPr>
        <w:t>Consumer can only buy the amount of gas that has been authorized by the DOR Counselor, and consumers are required to submit a receipt to DOR. </w:t>
      </w:r>
    </w:p>
    <w:p w14:paraId="6813312E" w14:textId="77777777" w:rsidR="00CE6E6B" w:rsidRPr="00215081" w:rsidRDefault="00CE6E6B" w:rsidP="00CE6E6B">
      <w:pPr>
        <w:rPr>
          <w:rFonts w:cs="Arial"/>
          <w:szCs w:val="28"/>
        </w:rPr>
      </w:pPr>
    </w:p>
    <w:p w14:paraId="43529FB5" w14:textId="77777777" w:rsidR="00CE6E6B" w:rsidRPr="00215081" w:rsidRDefault="00CE6E6B" w:rsidP="00AE0334">
      <w:pPr>
        <w:pStyle w:val="Heading2"/>
      </w:pPr>
      <w:r>
        <w:t xml:space="preserve">Slide 6: </w:t>
      </w:r>
      <w:r w:rsidRPr="00215081">
        <w:t>CPC Benefits - DOR VR Service Delivery Team</w:t>
      </w:r>
    </w:p>
    <w:p w14:paraId="53C5AF1B" w14:textId="77777777" w:rsidR="00CE6E6B" w:rsidRPr="00215081" w:rsidRDefault="00CE6E6B" w:rsidP="00455103">
      <w:pPr>
        <w:numPr>
          <w:ilvl w:val="0"/>
          <w:numId w:val="18"/>
        </w:numPr>
        <w:spacing w:line="259" w:lineRule="auto"/>
        <w:rPr>
          <w:rFonts w:cs="Arial"/>
          <w:szCs w:val="28"/>
        </w:rPr>
      </w:pPr>
      <w:r w:rsidRPr="00215081">
        <w:rPr>
          <w:rFonts w:cs="Arial"/>
          <w:szCs w:val="28"/>
        </w:rPr>
        <w:t>2-3 DOR staff still process most transactions and separation of duties ensures high level of internal control</w:t>
      </w:r>
      <w:r>
        <w:rPr>
          <w:rFonts w:cs="Arial"/>
          <w:szCs w:val="28"/>
        </w:rPr>
        <w:t>.</w:t>
      </w:r>
      <w:r w:rsidRPr="00215081">
        <w:rPr>
          <w:rFonts w:cs="Arial"/>
          <w:szCs w:val="28"/>
        </w:rPr>
        <w:t>  </w:t>
      </w:r>
    </w:p>
    <w:p w14:paraId="61DB7C2B" w14:textId="77777777" w:rsidR="00CE6E6B" w:rsidRPr="00215081" w:rsidRDefault="00CE6E6B" w:rsidP="00455103">
      <w:pPr>
        <w:numPr>
          <w:ilvl w:val="0"/>
          <w:numId w:val="18"/>
        </w:numPr>
        <w:spacing w:line="259" w:lineRule="auto"/>
        <w:rPr>
          <w:rFonts w:cs="Arial"/>
          <w:szCs w:val="28"/>
        </w:rPr>
      </w:pPr>
      <w:r w:rsidRPr="00215081">
        <w:rPr>
          <w:rFonts w:cs="Arial"/>
          <w:szCs w:val="28"/>
        </w:rPr>
        <w:t>CPC allows DOR to put people over process and allows staff more time to provide counseling and guidance, rather than completing administrative tasks related to purchasing goods. </w:t>
      </w:r>
    </w:p>
    <w:p w14:paraId="3C3763E6" w14:textId="77777777" w:rsidR="00CE6E6B" w:rsidRPr="00215081" w:rsidRDefault="00CE6E6B" w:rsidP="00455103">
      <w:pPr>
        <w:numPr>
          <w:ilvl w:val="0"/>
          <w:numId w:val="18"/>
        </w:numPr>
        <w:spacing w:line="259" w:lineRule="auto"/>
        <w:rPr>
          <w:rFonts w:cs="Arial"/>
          <w:szCs w:val="28"/>
        </w:rPr>
      </w:pPr>
      <w:r w:rsidRPr="00215081">
        <w:rPr>
          <w:rFonts w:cs="Arial"/>
          <w:szCs w:val="28"/>
        </w:rPr>
        <w:lastRenderedPageBreak/>
        <w:t>Automated emails are sent to consumers to notify them that funds are available. This reduces the need for consumers to call DOR staff to inquire about "checks in the mail" which may get delayed or lost in transit. </w:t>
      </w:r>
    </w:p>
    <w:p w14:paraId="34004612" w14:textId="77777777" w:rsidR="00CE6E6B" w:rsidRPr="00215081" w:rsidRDefault="00CE6E6B" w:rsidP="00455103">
      <w:pPr>
        <w:numPr>
          <w:ilvl w:val="0"/>
          <w:numId w:val="18"/>
        </w:numPr>
        <w:spacing w:line="259" w:lineRule="auto"/>
        <w:rPr>
          <w:rFonts w:cs="Arial"/>
          <w:szCs w:val="28"/>
        </w:rPr>
      </w:pPr>
      <w:r w:rsidRPr="00215081">
        <w:rPr>
          <w:rFonts w:cs="Arial"/>
          <w:szCs w:val="28"/>
        </w:rPr>
        <w:t>Approved funds are available to the consumer electronically (usually within an hour), cutting down the need for administrative staff to print, package, and send checks through the mail. </w:t>
      </w:r>
    </w:p>
    <w:p w14:paraId="098D0060" w14:textId="77777777" w:rsidR="00CE6E6B" w:rsidRPr="00215081" w:rsidRDefault="00CE6E6B" w:rsidP="00455103">
      <w:pPr>
        <w:numPr>
          <w:ilvl w:val="0"/>
          <w:numId w:val="18"/>
        </w:numPr>
        <w:spacing w:line="259" w:lineRule="auto"/>
        <w:rPr>
          <w:rFonts w:cs="Arial"/>
          <w:szCs w:val="28"/>
        </w:rPr>
      </w:pPr>
      <w:r w:rsidRPr="00215081">
        <w:rPr>
          <w:rFonts w:cs="Arial"/>
          <w:szCs w:val="28"/>
        </w:rPr>
        <w:t xml:space="preserve">Staff Already Report: </w:t>
      </w:r>
    </w:p>
    <w:p w14:paraId="01542291" w14:textId="77777777" w:rsidR="00CE6E6B" w:rsidRPr="00215081" w:rsidRDefault="00CE6E6B" w:rsidP="00455103">
      <w:pPr>
        <w:numPr>
          <w:ilvl w:val="1"/>
          <w:numId w:val="18"/>
        </w:numPr>
        <w:tabs>
          <w:tab w:val="num" w:pos="1440"/>
        </w:tabs>
        <w:spacing w:line="259" w:lineRule="auto"/>
        <w:rPr>
          <w:rFonts w:cs="Arial"/>
          <w:szCs w:val="28"/>
        </w:rPr>
      </w:pPr>
      <w:r w:rsidRPr="00215081">
        <w:rPr>
          <w:rFonts w:cs="Arial"/>
          <w:szCs w:val="28"/>
        </w:rPr>
        <w:t xml:space="preserve">Reduced Administrative Burden </w:t>
      </w:r>
    </w:p>
    <w:p w14:paraId="13BED74A" w14:textId="77777777" w:rsidR="00CE6E6B" w:rsidRPr="00215081" w:rsidRDefault="00CE6E6B" w:rsidP="00455103">
      <w:pPr>
        <w:numPr>
          <w:ilvl w:val="1"/>
          <w:numId w:val="18"/>
        </w:numPr>
        <w:tabs>
          <w:tab w:val="num" w:pos="1440"/>
        </w:tabs>
        <w:spacing w:line="259" w:lineRule="auto"/>
        <w:rPr>
          <w:rFonts w:cs="Arial"/>
          <w:szCs w:val="28"/>
        </w:rPr>
      </w:pPr>
      <w:r w:rsidRPr="00215081">
        <w:rPr>
          <w:rFonts w:cs="Arial"/>
          <w:szCs w:val="28"/>
        </w:rPr>
        <w:t>Increased Options</w:t>
      </w:r>
    </w:p>
    <w:p w14:paraId="1B55F7B8" w14:textId="77777777" w:rsidR="00CE6E6B" w:rsidRPr="00215081" w:rsidRDefault="00CE6E6B" w:rsidP="00455103">
      <w:pPr>
        <w:numPr>
          <w:ilvl w:val="1"/>
          <w:numId w:val="18"/>
        </w:numPr>
        <w:tabs>
          <w:tab w:val="num" w:pos="1440"/>
        </w:tabs>
        <w:spacing w:line="259" w:lineRule="auto"/>
        <w:rPr>
          <w:rFonts w:cs="Arial"/>
          <w:szCs w:val="28"/>
        </w:rPr>
      </w:pPr>
      <w:r w:rsidRPr="00215081">
        <w:rPr>
          <w:rFonts w:cs="Arial"/>
          <w:szCs w:val="28"/>
        </w:rPr>
        <w:t>Expediting Services</w:t>
      </w:r>
    </w:p>
    <w:p w14:paraId="4C0D17E9" w14:textId="77777777" w:rsidR="00CE6E6B" w:rsidRPr="00215081" w:rsidRDefault="00CE6E6B" w:rsidP="00455103">
      <w:pPr>
        <w:numPr>
          <w:ilvl w:val="1"/>
          <w:numId w:val="18"/>
        </w:numPr>
        <w:tabs>
          <w:tab w:val="num" w:pos="1440"/>
        </w:tabs>
        <w:spacing w:line="259" w:lineRule="auto"/>
        <w:rPr>
          <w:rFonts w:cs="Arial"/>
          <w:szCs w:val="28"/>
        </w:rPr>
      </w:pPr>
      <w:r w:rsidRPr="00215081">
        <w:rPr>
          <w:rFonts w:cs="Arial"/>
          <w:szCs w:val="28"/>
        </w:rPr>
        <w:t>Automated Verification of Receipt of Goods and Services</w:t>
      </w:r>
    </w:p>
    <w:p w14:paraId="2D5B2178" w14:textId="77777777" w:rsidR="00CE6E6B" w:rsidRDefault="00CE6E6B" w:rsidP="00CE6E6B">
      <w:pPr>
        <w:rPr>
          <w:rFonts w:cs="Arial"/>
          <w:b/>
          <w:bCs/>
          <w:szCs w:val="28"/>
        </w:rPr>
      </w:pPr>
    </w:p>
    <w:p w14:paraId="1C1FD642" w14:textId="77777777" w:rsidR="00CE6E6B" w:rsidRPr="00215081" w:rsidRDefault="00CE6E6B" w:rsidP="00AE0334">
      <w:pPr>
        <w:pStyle w:val="Heading2"/>
      </w:pPr>
      <w:r>
        <w:t xml:space="preserve">Slide 7: </w:t>
      </w:r>
      <w:r w:rsidRPr="00215081">
        <w:t>CPC Implementation – Field Leadership Perspectives</w:t>
      </w:r>
    </w:p>
    <w:p w14:paraId="0C6B5767" w14:textId="77777777" w:rsidR="00CE6E6B" w:rsidRPr="00215081" w:rsidRDefault="00CE6E6B" w:rsidP="00455103">
      <w:pPr>
        <w:numPr>
          <w:ilvl w:val="0"/>
          <w:numId w:val="19"/>
        </w:numPr>
        <w:spacing w:line="259" w:lineRule="auto"/>
        <w:rPr>
          <w:rFonts w:cs="Arial"/>
          <w:szCs w:val="28"/>
        </w:rPr>
      </w:pPr>
      <w:r w:rsidRPr="00215081">
        <w:rPr>
          <w:rFonts w:cs="Arial"/>
          <w:szCs w:val="28"/>
        </w:rPr>
        <w:t>DOR is the first agency in the nation to implement the CPC</w:t>
      </w:r>
      <w:r>
        <w:rPr>
          <w:rFonts w:cs="Arial"/>
          <w:szCs w:val="28"/>
        </w:rPr>
        <w:t>.</w:t>
      </w:r>
    </w:p>
    <w:p w14:paraId="0D04D174" w14:textId="77777777" w:rsidR="00CE6E6B" w:rsidRPr="00215081" w:rsidRDefault="00CE6E6B" w:rsidP="00455103">
      <w:pPr>
        <w:numPr>
          <w:ilvl w:val="0"/>
          <w:numId w:val="19"/>
        </w:numPr>
        <w:spacing w:line="259" w:lineRule="auto"/>
        <w:rPr>
          <w:rFonts w:cs="Arial"/>
          <w:szCs w:val="28"/>
        </w:rPr>
      </w:pPr>
      <w:r w:rsidRPr="00215081">
        <w:rPr>
          <w:rFonts w:cs="Arial"/>
          <w:szCs w:val="28"/>
        </w:rPr>
        <w:t>Leadership needs to be in aligned and in agreement to support this effort</w:t>
      </w:r>
      <w:r>
        <w:rPr>
          <w:rFonts w:cs="Arial"/>
          <w:szCs w:val="28"/>
        </w:rPr>
        <w:t>.</w:t>
      </w:r>
    </w:p>
    <w:p w14:paraId="0CE40A1D" w14:textId="77777777" w:rsidR="00CE6E6B" w:rsidRPr="00215081" w:rsidRDefault="00CE6E6B" w:rsidP="00455103">
      <w:pPr>
        <w:numPr>
          <w:ilvl w:val="0"/>
          <w:numId w:val="19"/>
        </w:numPr>
        <w:spacing w:line="259" w:lineRule="auto"/>
        <w:rPr>
          <w:rFonts w:cs="Arial"/>
          <w:szCs w:val="28"/>
        </w:rPr>
      </w:pPr>
      <w:r w:rsidRPr="00215081">
        <w:rPr>
          <w:rFonts w:cs="Arial"/>
          <w:szCs w:val="28"/>
        </w:rPr>
        <w:t>Create the space to have the honest conversations that unpacked and address concerns amongst leadership</w:t>
      </w:r>
      <w:r>
        <w:rPr>
          <w:rFonts w:cs="Arial"/>
          <w:szCs w:val="28"/>
        </w:rPr>
        <w:t>.</w:t>
      </w:r>
    </w:p>
    <w:p w14:paraId="2364AC24" w14:textId="77777777" w:rsidR="00CE6E6B" w:rsidRPr="00215081" w:rsidRDefault="00CE6E6B" w:rsidP="00455103">
      <w:pPr>
        <w:numPr>
          <w:ilvl w:val="0"/>
          <w:numId w:val="19"/>
        </w:numPr>
        <w:spacing w:line="259" w:lineRule="auto"/>
        <w:rPr>
          <w:rFonts w:cs="Arial"/>
          <w:szCs w:val="28"/>
        </w:rPr>
      </w:pPr>
      <w:r w:rsidRPr="00215081">
        <w:rPr>
          <w:rFonts w:cs="Arial"/>
          <w:szCs w:val="28"/>
        </w:rPr>
        <w:t>Leadership support is not one and done and it is an ongoing commitment and conversation</w:t>
      </w:r>
      <w:r>
        <w:rPr>
          <w:rFonts w:cs="Arial"/>
          <w:szCs w:val="28"/>
        </w:rPr>
        <w:t>.</w:t>
      </w:r>
    </w:p>
    <w:p w14:paraId="682C9DFE" w14:textId="77777777" w:rsidR="00CE6E6B" w:rsidRPr="00215081" w:rsidRDefault="00CE6E6B" w:rsidP="00455103">
      <w:pPr>
        <w:numPr>
          <w:ilvl w:val="0"/>
          <w:numId w:val="19"/>
        </w:numPr>
        <w:spacing w:line="259" w:lineRule="auto"/>
        <w:rPr>
          <w:rFonts w:cs="Arial"/>
          <w:szCs w:val="28"/>
        </w:rPr>
      </w:pPr>
      <w:r w:rsidRPr="00215081">
        <w:rPr>
          <w:rFonts w:cs="Arial"/>
          <w:szCs w:val="28"/>
        </w:rPr>
        <w:t>Success with the roll out and possible challenges</w:t>
      </w:r>
    </w:p>
    <w:p w14:paraId="12B60CF7" w14:textId="77777777" w:rsidR="00CE6E6B" w:rsidRDefault="00CE6E6B" w:rsidP="00CE6E6B">
      <w:pPr>
        <w:rPr>
          <w:rFonts w:cs="Arial"/>
          <w:b/>
          <w:bCs/>
          <w:szCs w:val="28"/>
        </w:rPr>
      </w:pPr>
    </w:p>
    <w:p w14:paraId="6D1C2496" w14:textId="77777777" w:rsidR="00CE6E6B" w:rsidRPr="00215081" w:rsidRDefault="00CE6E6B" w:rsidP="00AE0334">
      <w:pPr>
        <w:pStyle w:val="Heading2"/>
      </w:pPr>
      <w:r>
        <w:t xml:space="preserve">Slide 8: </w:t>
      </w:r>
      <w:r w:rsidRPr="00215081">
        <w:t>CPC Implementation – Administrative Activities &amp; Resources</w:t>
      </w:r>
    </w:p>
    <w:p w14:paraId="6BB48BEB" w14:textId="77777777" w:rsidR="00CE6E6B" w:rsidRPr="00215081" w:rsidRDefault="00CE6E6B" w:rsidP="00455103">
      <w:pPr>
        <w:numPr>
          <w:ilvl w:val="0"/>
          <w:numId w:val="20"/>
        </w:numPr>
        <w:spacing w:line="259" w:lineRule="auto"/>
        <w:rPr>
          <w:rFonts w:cs="Arial"/>
          <w:szCs w:val="28"/>
        </w:rPr>
      </w:pPr>
      <w:r w:rsidRPr="00215081">
        <w:rPr>
          <w:rFonts w:cs="Arial"/>
          <w:szCs w:val="28"/>
        </w:rPr>
        <w:t>CPC Program Rollout and Resources:</w:t>
      </w:r>
    </w:p>
    <w:p w14:paraId="0868B946" w14:textId="77777777" w:rsidR="00CE6E6B" w:rsidRPr="00215081" w:rsidRDefault="00CE6E6B" w:rsidP="00455103">
      <w:pPr>
        <w:numPr>
          <w:ilvl w:val="1"/>
          <w:numId w:val="20"/>
        </w:numPr>
        <w:tabs>
          <w:tab w:val="num" w:pos="1440"/>
        </w:tabs>
        <w:spacing w:line="259" w:lineRule="auto"/>
        <w:rPr>
          <w:rFonts w:cs="Arial"/>
          <w:szCs w:val="28"/>
        </w:rPr>
      </w:pPr>
      <w:r w:rsidRPr="00215081">
        <w:rPr>
          <w:rFonts w:cs="Arial"/>
          <w:szCs w:val="28"/>
        </w:rPr>
        <w:t>Department wide trainings and individual follow up trainings for each district</w:t>
      </w:r>
    </w:p>
    <w:p w14:paraId="3498727F" w14:textId="77777777" w:rsidR="00CE6E6B" w:rsidRPr="00215081" w:rsidRDefault="00CE6E6B" w:rsidP="00455103">
      <w:pPr>
        <w:numPr>
          <w:ilvl w:val="1"/>
          <w:numId w:val="20"/>
        </w:numPr>
        <w:tabs>
          <w:tab w:val="num" w:pos="1440"/>
        </w:tabs>
        <w:spacing w:line="259" w:lineRule="auto"/>
        <w:rPr>
          <w:rFonts w:cs="Arial"/>
          <w:szCs w:val="28"/>
        </w:rPr>
      </w:pPr>
      <w:r w:rsidRPr="00215081">
        <w:rPr>
          <w:rFonts w:cs="Arial"/>
          <w:szCs w:val="28"/>
        </w:rPr>
        <w:t>WEX CPC Admin Portal (Production) and Testing environments for staff access</w:t>
      </w:r>
    </w:p>
    <w:p w14:paraId="576D313A" w14:textId="77777777" w:rsidR="00CE6E6B" w:rsidRPr="00215081" w:rsidRDefault="00CE6E6B" w:rsidP="00455103">
      <w:pPr>
        <w:numPr>
          <w:ilvl w:val="1"/>
          <w:numId w:val="20"/>
        </w:numPr>
        <w:tabs>
          <w:tab w:val="num" w:pos="1440"/>
        </w:tabs>
        <w:spacing w:line="259" w:lineRule="auto"/>
        <w:rPr>
          <w:rFonts w:cs="Arial"/>
          <w:szCs w:val="28"/>
        </w:rPr>
      </w:pPr>
      <w:r w:rsidRPr="00215081">
        <w:rPr>
          <w:rFonts w:cs="Arial"/>
          <w:szCs w:val="28"/>
        </w:rPr>
        <w:t>Intranet page CPC Resources for DOR staff w/ simple, easy to follow training materials, job aids, and policy guidance resources</w:t>
      </w:r>
      <w:r>
        <w:rPr>
          <w:rFonts w:cs="Arial"/>
          <w:szCs w:val="28"/>
        </w:rPr>
        <w:t>.</w:t>
      </w:r>
    </w:p>
    <w:p w14:paraId="130655AA" w14:textId="77777777" w:rsidR="00CE6E6B" w:rsidRPr="00215081" w:rsidRDefault="00CE6E6B" w:rsidP="00455103">
      <w:pPr>
        <w:numPr>
          <w:ilvl w:val="1"/>
          <w:numId w:val="20"/>
        </w:numPr>
        <w:tabs>
          <w:tab w:val="num" w:pos="1440"/>
        </w:tabs>
        <w:spacing w:line="259" w:lineRule="auto"/>
        <w:rPr>
          <w:rFonts w:cs="Arial"/>
          <w:szCs w:val="28"/>
        </w:rPr>
      </w:pPr>
      <w:r w:rsidRPr="00215081">
        <w:rPr>
          <w:rFonts w:cs="Arial"/>
          <w:szCs w:val="28"/>
        </w:rPr>
        <w:t>Toll-free phone numbers for consumers to ask for assistance</w:t>
      </w:r>
      <w:r>
        <w:rPr>
          <w:rFonts w:cs="Arial"/>
          <w:szCs w:val="28"/>
        </w:rPr>
        <w:t>.</w:t>
      </w:r>
    </w:p>
    <w:p w14:paraId="75111B31" w14:textId="77777777" w:rsidR="00CE6E6B" w:rsidRPr="00215081" w:rsidRDefault="00CE6E6B" w:rsidP="00455103">
      <w:pPr>
        <w:numPr>
          <w:ilvl w:val="1"/>
          <w:numId w:val="20"/>
        </w:numPr>
        <w:tabs>
          <w:tab w:val="num" w:pos="1440"/>
        </w:tabs>
        <w:spacing w:line="259" w:lineRule="auto"/>
        <w:rPr>
          <w:rFonts w:cs="Arial"/>
          <w:szCs w:val="28"/>
        </w:rPr>
      </w:pPr>
      <w:r w:rsidRPr="00215081">
        <w:rPr>
          <w:rFonts w:cs="Arial"/>
          <w:szCs w:val="28"/>
        </w:rPr>
        <w:t>Collaborative CPC Program Admin and District SPOC Teams for maximizing communications and continuous improvement activities</w:t>
      </w:r>
      <w:r>
        <w:rPr>
          <w:rFonts w:cs="Arial"/>
          <w:szCs w:val="28"/>
        </w:rPr>
        <w:t>.</w:t>
      </w:r>
    </w:p>
    <w:p w14:paraId="2C4D2F19" w14:textId="77777777" w:rsidR="00CE6E6B" w:rsidRPr="00215081" w:rsidRDefault="00CE6E6B" w:rsidP="00455103">
      <w:pPr>
        <w:numPr>
          <w:ilvl w:val="0"/>
          <w:numId w:val="20"/>
        </w:numPr>
        <w:spacing w:line="259" w:lineRule="auto"/>
        <w:rPr>
          <w:rFonts w:cs="Arial"/>
          <w:szCs w:val="28"/>
        </w:rPr>
      </w:pPr>
      <w:r w:rsidRPr="00215081">
        <w:rPr>
          <w:rFonts w:cs="Arial"/>
          <w:szCs w:val="28"/>
        </w:rPr>
        <w:t>DOR staff also have access to multiple reports directly from the CPC Admin Portal, including completed merchant transaction reports, declined transaction reports, and consumer CPC enrollment reports to help monitor card activity and account information.</w:t>
      </w:r>
    </w:p>
    <w:p w14:paraId="28149525" w14:textId="77777777" w:rsidR="00CE6E6B" w:rsidRDefault="00CE6E6B" w:rsidP="00455103">
      <w:pPr>
        <w:numPr>
          <w:ilvl w:val="1"/>
          <w:numId w:val="20"/>
        </w:numPr>
        <w:tabs>
          <w:tab w:val="num" w:pos="1440"/>
        </w:tabs>
        <w:spacing w:line="259" w:lineRule="auto"/>
        <w:rPr>
          <w:rFonts w:cs="Arial"/>
          <w:szCs w:val="28"/>
        </w:rPr>
      </w:pPr>
      <w:r w:rsidRPr="00215081">
        <w:rPr>
          <w:rFonts w:cs="Arial"/>
          <w:szCs w:val="28"/>
        </w:rPr>
        <w:t xml:space="preserve">These reports instantaneously </w:t>
      </w:r>
      <w:proofErr w:type="gramStart"/>
      <w:r w:rsidRPr="00215081">
        <w:rPr>
          <w:rFonts w:cs="Arial"/>
          <w:szCs w:val="28"/>
        </w:rPr>
        <w:t>allows</w:t>
      </w:r>
      <w:proofErr w:type="gramEnd"/>
      <w:r w:rsidRPr="00215081">
        <w:rPr>
          <w:rFonts w:cs="Arial"/>
          <w:szCs w:val="28"/>
        </w:rPr>
        <w:t xml:space="preserve"> the DOR CPC Program Admin Team to work closely with DOR District Counselors, VR Service Delivery Team members and field leadership to support consumers.</w:t>
      </w:r>
    </w:p>
    <w:p w14:paraId="38AA75B9" w14:textId="77777777" w:rsidR="00CE6E6B" w:rsidRPr="00215081" w:rsidRDefault="00CE6E6B" w:rsidP="00CE6E6B">
      <w:pPr>
        <w:ind w:left="1440"/>
        <w:rPr>
          <w:rFonts w:cs="Arial"/>
          <w:szCs w:val="28"/>
        </w:rPr>
      </w:pPr>
    </w:p>
    <w:p w14:paraId="7E730668" w14:textId="77777777" w:rsidR="00CE6E6B" w:rsidRDefault="00CE6E6B" w:rsidP="00AE0334">
      <w:pPr>
        <w:pStyle w:val="Heading2"/>
      </w:pPr>
      <w:r>
        <w:lastRenderedPageBreak/>
        <w:t xml:space="preserve">Slide 9: </w:t>
      </w:r>
      <w:r w:rsidRPr="00215081">
        <w:t>DOR CPC – Consumer Web Resources</w:t>
      </w:r>
    </w:p>
    <w:p w14:paraId="1DC9B992" w14:textId="77777777" w:rsidR="00CE6E6B" w:rsidRPr="00960EA3" w:rsidRDefault="00CE6E6B" w:rsidP="00455103">
      <w:pPr>
        <w:pStyle w:val="ListParagraph"/>
        <w:numPr>
          <w:ilvl w:val="0"/>
          <w:numId w:val="27"/>
        </w:numPr>
        <w:spacing w:line="259" w:lineRule="auto"/>
        <w:rPr>
          <w:rFonts w:cs="Arial"/>
          <w:szCs w:val="28"/>
        </w:rPr>
      </w:pPr>
      <w:r w:rsidRPr="00960EA3">
        <w:rPr>
          <w:rFonts w:cs="Arial"/>
          <w:szCs w:val="28"/>
        </w:rPr>
        <w:t xml:space="preserve">Image of the CalDOR Payment card webpage on the DOR website: </w:t>
      </w:r>
      <w:hyperlink r:id="rId13" w:history="1">
        <w:r w:rsidRPr="00960EA3">
          <w:rPr>
            <w:rStyle w:val="Hyperlink"/>
            <w:rFonts w:cs="Arial"/>
            <w:szCs w:val="28"/>
          </w:rPr>
          <w:t>https://www.dor.ca.gov/Home/CalDorPaymentCard</w:t>
        </w:r>
      </w:hyperlink>
      <w:r w:rsidRPr="00960EA3">
        <w:rPr>
          <w:rFonts w:cs="Arial"/>
          <w:szCs w:val="28"/>
        </w:rPr>
        <w:t xml:space="preserve"> </w:t>
      </w:r>
    </w:p>
    <w:p w14:paraId="5EE0DE32" w14:textId="77777777" w:rsidR="00CE6E6B" w:rsidRPr="00D30047" w:rsidRDefault="00CE6E6B" w:rsidP="00455103">
      <w:pPr>
        <w:pStyle w:val="ListParagraph"/>
        <w:numPr>
          <w:ilvl w:val="0"/>
          <w:numId w:val="27"/>
        </w:numPr>
        <w:spacing w:line="259" w:lineRule="auto"/>
        <w:rPr>
          <w:rFonts w:cs="Arial"/>
          <w:szCs w:val="28"/>
        </w:rPr>
      </w:pPr>
      <w:r w:rsidRPr="00960EA3">
        <w:rPr>
          <w:rFonts w:cs="Arial"/>
          <w:szCs w:val="28"/>
        </w:rPr>
        <w:t>Image of the WEX CPC Participant Portal</w:t>
      </w:r>
    </w:p>
    <w:p w14:paraId="73B8FAEE" w14:textId="77777777" w:rsidR="00CE6E6B" w:rsidRDefault="00CE6E6B" w:rsidP="00CE6E6B">
      <w:pPr>
        <w:rPr>
          <w:rFonts w:cs="Arial"/>
          <w:b/>
          <w:bCs/>
          <w:szCs w:val="28"/>
        </w:rPr>
      </w:pPr>
    </w:p>
    <w:p w14:paraId="1A7F6357" w14:textId="77777777" w:rsidR="00CE6E6B" w:rsidRDefault="00CE6E6B" w:rsidP="00AE0334">
      <w:pPr>
        <w:pStyle w:val="Heading2"/>
      </w:pPr>
      <w:r>
        <w:t xml:space="preserve">Slide 10: </w:t>
      </w:r>
      <w:r w:rsidRPr="00215081">
        <w:t xml:space="preserve">DOR CPC Program Implementation – By the Numbers! </w:t>
      </w:r>
    </w:p>
    <w:p w14:paraId="2412C338" w14:textId="77777777" w:rsidR="00CE6E6B" w:rsidRPr="0028309D" w:rsidRDefault="00CE6E6B" w:rsidP="00CE6E6B">
      <w:pPr>
        <w:rPr>
          <w:rFonts w:cs="Arial"/>
          <w:szCs w:val="28"/>
        </w:rPr>
      </w:pPr>
      <w:r w:rsidRPr="0028309D">
        <w:rPr>
          <w:rFonts w:cs="Arial"/>
          <w:szCs w:val="28"/>
        </w:rPr>
        <w:t>Active consumer accounts: 11,088</w:t>
      </w:r>
    </w:p>
    <w:p w14:paraId="7ED8012C" w14:textId="77777777" w:rsidR="00CE6E6B" w:rsidRPr="0028309D" w:rsidRDefault="00CE6E6B" w:rsidP="00CE6E6B">
      <w:pPr>
        <w:rPr>
          <w:rFonts w:cs="Arial"/>
          <w:szCs w:val="28"/>
        </w:rPr>
      </w:pPr>
      <w:r w:rsidRPr="0028309D">
        <w:rPr>
          <w:rFonts w:cs="Arial"/>
          <w:szCs w:val="28"/>
        </w:rPr>
        <w:t>Total usage amount: $1,990,745.45</w:t>
      </w:r>
    </w:p>
    <w:p w14:paraId="3FB20047" w14:textId="77777777" w:rsidR="00CE6E6B" w:rsidRPr="0028309D" w:rsidRDefault="00CE6E6B" w:rsidP="00CE6E6B">
      <w:pPr>
        <w:rPr>
          <w:rFonts w:cs="Arial"/>
          <w:szCs w:val="28"/>
        </w:rPr>
      </w:pPr>
      <w:r w:rsidRPr="0028309D">
        <w:rPr>
          <w:rFonts w:cs="Arial"/>
          <w:szCs w:val="28"/>
        </w:rPr>
        <w:t>CPC Service Usage</w:t>
      </w:r>
    </w:p>
    <w:p w14:paraId="2AC1710C" w14:textId="77777777" w:rsidR="00CE6E6B" w:rsidRPr="0028309D" w:rsidRDefault="00CE6E6B" w:rsidP="00455103">
      <w:pPr>
        <w:pStyle w:val="ListParagraph"/>
        <w:numPr>
          <w:ilvl w:val="0"/>
          <w:numId w:val="28"/>
        </w:numPr>
        <w:spacing w:line="259" w:lineRule="auto"/>
        <w:rPr>
          <w:rFonts w:cs="Arial"/>
          <w:szCs w:val="28"/>
        </w:rPr>
      </w:pPr>
      <w:r w:rsidRPr="0028309D">
        <w:rPr>
          <w:rFonts w:cs="Arial"/>
          <w:szCs w:val="28"/>
        </w:rPr>
        <w:t>Educational Vocational Training and Associated Goods and Services $1,615,021.57</w:t>
      </w:r>
    </w:p>
    <w:p w14:paraId="5A1A9740" w14:textId="77777777" w:rsidR="00CE6E6B" w:rsidRPr="0028309D" w:rsidRDefault="00CE6E6B" w:rsidP="00455103">
      <w:pPr>
        <w:pStyle w:val="ListParagraph"/>
        <w:numPr>
          <w:ilvl w:val="0"/>
          <w:numId w:val="28"/>
        </w:numPr>
        <w:spacing w:line="259" w:lineRule="auto"/>
        <w:rPr>
          <w:rFonts w:cs="Arial"/>
          <w:szCs w:val="28"/>
        </w:rPr>
      </w:pPr>
      <w:r w:rsidRPr="0028309D">
        <w:rPr>
          <w:rFonts w:cs="Arial"/>
          <w:szCs w:val="28"/>
        </w:rPr>
        <w:t>Job Placement Goods and Services $322,174.93</w:t>
      </w:r>
    </w:p>
    <w:p w14:paraId="49294D70" w14:textId="77777777" w:rsidR="00CE6E6B" w:rsidRPr="0028309D" w:rsidRDefault="00CE6E6B" w:rsidP="00455103">
      <w:pPr>
        <w:pStyle w:val="ListParagraph"/>
        <w:numPr>
          <w:ilvl w:val="0"/>
          <w:numId w:val="28"/>
        </w:numPr>
        <w:spacing w:line="259" w:lineRule="auto"/>
        <w:rPr>
          <w:rFonts w:cs="Arial"/>
          <w:szCs w:val="28"/>
        </w:rPr>
      </w:pPr>
      <w:r w:rsidRPr="0028309D">
        <w:rPr>
          <w:rFonts w:cs="Arial"/>
          <w:szCs w:val="28"/>
        </w:rPr>
        <w:t>Transportation Vehicle Fees and Services $32,427.88</w:t>
      </w:r>
    </w:p>
    <w:p w14:paraId="508C9DB3" w14:textId="77777777" w:rsidR="00CE6E6B" w:rsidRPr="0028309D" w:rsidRDefault="00CE6E6B" w:rsidP="00455103">
      <w:pPr>
        <w:pStyle w:val="ListParagraph"/>
        <w:numPr>
          <w:ilvl w:val="0"/>
          <w:numId w:val="28"/>
        </w:numPr>
        <w:spacing w:line="259" w:lineRule="auto"/>
        <w:rPr>
          <w:rFonts w:cs="Arial"/>
          <w:szCs w:val="28"/>
        </w:rPr>
      </w:pPr>
      <w:r w:rsidRPr="0028309D">
        <w:rPr>
          <w:rFonts w:cs="Arial"/>
          <w:szCs w:val="28"/>
        </w:rPr>
        <w:t>Shelter/Utilities</w:t>
      </w:r>
      <w:r w:rsidRPr="0028309D">
        <w:rPr>
          <w:rFonts w:cs="Arial"/>
          <w:szCs w:val="28"/>
        </w:rPr>
        <w:tab/>
        <w:t>$15,650.17</w:t>
      </w:r>
    </w:p>
    <w:p w14:paraId="3D8AB7F7" w14:textId="77777777" w:rsidR="00CE6E6B" w:rsidRPr="00D30047" w:rsidRDefault="00CE6E6B" w:rsidP="00455103">
      <w:pPr>
        <w:pStyle w:val="ListParagraph"/>
        <w:numPr>
          <w:ilvl w:val="0"/>
          <w:numId w:val="28"/>
        </w:numPr>
        <w:spacing w:line="259" w:lineRule="auto"/>
        <w:rPr>
          <w:rFonts w:cs="Arial"/>
          <w:szCs w:val="28"/>
        </w:rPr>
      </w:pPr>
      <w:r w:rsidRPr="0028309D">
        <w:rPr>
          <w:rFonts w:cs="Arial"/>
          <w:szCs w:val="28"/>
        </w:rPr>
        <w:t>Health and Nutrition Personal Item Goods and Services $5,471.90</w:t>
      </w:r>
    </w:p>
    <w:p w14:paraId="2657D31E" w14:textId="77777777" w:rsidR="00CE6E6B" w:rsidRPr="00215081" w:rsidRDefault="00CE6E6B" w:rsidP="00CE6E6B">
      <w:pPr>
        <w:rPr>
          <w:rFonts w:cs="Arial"/>
          <w:szCs w:val="28"/>
        </w:rPr>
      </w:pPr>
    </w:p>
    <w:p w14:paraId="124AFE9E" w14:textId="77777777" w:rsidR="00CE6E6B" w:rsidRPr="00215081" w:rsidRDefault="00CE6E6B" w:rsidP="00AE0334">
      <w:pPr>
        <w:pStyle w:val="Heading2"/>
      </w:pPr>
      <w:r>
        <w:t xml:space="preserve">Slide 11: </w:t>
      </w:r>
      <w:r w:rsidRPr="00215081">
        <w:t>What’s New &amp; Coming Soon?!</w:t>
      </w:r>
    </w:p>
    <w:p w14:paraId="6216A945" w14:textId="77777777" w:rsidR="00CE6E6B" w:rsidRPr="00215081" w:rsidRDefault="00CE6E6B" w:rsidP="00455103">
      <w:pPr>
        <w:numPr>
          <w:ilvl w:val="0"/>
          <w:numId w:val="21"/>
        </w:numPr>
        <w:spacing w:line="259" w:lineRule="auto"/>
        <w:rPr>
          <w:rFonts w:cs="Arial"/>
          <w:szCs w:val="28"/>
        </w:rPr>
      </w:pPr>
      <w:r w:rsidRPr="00215081">
        <w:rPr>
          <w:rFonts w:cs="Arial"/>
          <w:szCs w:val="28"/>
        </w:rPr>
        <w:t xml:space="preserve">New! CalDOR Payment Card mobile app is now available for iOS and Android phones. Consumers can use this app to easily upload required receipts, check their fund balances for pre-authorized VR goods/services, and view notifications. </w:t>
      </w:r>
    </w:p>
    <w:p w14:paraId="1A68ACE9" w14:textId="77777777" w:rsidR="00CE6E6B" w:rsidRDefault="00CE6E6B" w:rsidP="00455103">
      <w:pPr>
        <w:numPr>
          <w:ilvl w:val="0"/>
          <w:numId w:val="21"/>
        </w:numPr>
        <w:spacing w:line="259" w:lineRule="auto"/>
        <w:rPr>
          <w:rFonts w:cs="Arial"/>
          <w:szCs w:val="28"/>
        </w:rPr>
      </w:pPr>
      <w:r w:rsidRPr="00215081">
        <w:rPr>
          <w:rFonts w:cs="Arial"/>
          <w:szCs w:val="28"/>
        </w:rPr>
        <w:t>Coming soon! Consumer instructional videos on WEX CPC features, DOR guidance and resources on proper CPC use, access their Participant Portal, and other beneficial information to be available 24/7 through the DOR webpage.</w:t>
      </w:r>
    </w:p>
    <w:p w14:paraId="3CBE2F40" w14:textId="77777777" w:rsidR="00CE6E6B" w:rsidRDefault="00CE6E6B" w:rsidP="00455103">
      <w:pPr>
        <w:numPr>
          <w:ilvl w:val="0"/>
          <w:numId w:val="21"/>
        </w:numPr>
        <w:spacing w:line="259" w:lineRule="auto"/>
        <w:rPr>
          <w:rFonts w:cs="Arial"/>
          <w:szCs w:val="28"/>
        </w:rPr>
      </w:pPr>
      <w:r>
        <w:rPr>
          <w:rFonts w:cs="Arial"/>
          <w:szCs w:val="28"/>
        </w:rPr>
        <w:t>Image of the CalDOR Payment Card mobile app logo.</w:t>
      </w:r>
    </w:p>
    <w:p w14:paraId="67278476" w14:textId="77777777" w:rsidR="00CE6E6B" w:rsidRDefault="00CE6E6B" w:rsidP="00455103">
      <w:pPr>
        <w:numPr>
          <w:ilvl w:val="0"/>
          <w:numId w:val="21"/>
        </w:numPr>
        <w:spacing w:line="259" w:lineRule="auto"/>
        <w:rPr>
          <w:rFonts w:cs="Arial"/>
          <w:szCs w:val="28"/>
        </w:rPr>
      </w:pPr>
      <w:r>
        <w:rPr>
          <w:rFonts w:cs="Arial"/>
          <w:szCs w:val="28"/>
        </w:rPr>
        <w:t xml:space="preserve">Image of the CalDOR Payment Card mobile app displayed on a smart phone. </w:t>
      </w:r>
    </w:p>
    <w:p w14:paraId="72119761" w14:textId="77777777" w:rsidR="00CE6E6B" w:rsidRDefault="00CE6E6B" w:rsidP="00CE6E6B">
      <w:pPr>
        <w:rPr>
          <w:rFonts w:cs="Arial"/>
          <w:szCs w:val="28"/>
        </w:rPr>
      </w:pPr>
    </w:p>
    <w:p w14:paraId="27E94F63" w14:textId="77777777" w:rsidR="00CE6E6B" w:rsidRPr="00215081" w:rsidRDefault="00CE6E6B" w:rsidP="00AE0334">
      <w:pPr>
        <w:pStyle w:val="Heading2"/>
      </w:pPr>
      <w:r>
        <w:t>Slide 12: Thank you – any questions?</w:t>
      </w:r>
    </w:p>
    <w:p w14:paraId="3C975937" w14:textId="77777777" w:rsidR="00CE6E6B" w:rsidRPr="00215081" w:rsidRDefault="00CE6E6B" w:rsidP="00CE6E6B">
      <w:pPr>
        <w:rPr>
          <w:rFonts w:cs="Arial"/>
          <w:szCs w:val="28"/>
        </w:rPr>
      </w:pPr>
      <w:r w:rsidRPr="00215081">
        <w:rPr>
          <w:rFonts w:cs="Arial"/>
          <w:szCs w:val="28"/>
        </w:rPr>
        <w:t>Contact DOR CPC Program Team</w:t>
      </w:r>
    </w:p>
    <w:p w14:paraId="3B5DD03D" w14:textId="422F4ACC" w:rsidR="00046863" w:rsidRPr="00AE0334" w:rsidRDefault="00EE3D59" w:rsidP="00AE0334">
      <w:pPr>
        <w:rPr>
          <w:rFonts w:cs="Arial"/>
          <w:szCs w:val="28"/>
        </w:rPr>
      </w:pPr>
      <w:hyperlink r:id="rId14" w:history="1">
        <w:r w:rsidR="00CE6E6B" w:rsidRPr="00215081">
          <w:rPr>
            <w:rStyle w:val="Hyperlink"/>
            <w:rFonts w:cs="Arial"/>
            <w:szCs w:val="28"/>
          </w:rPr>
          <w:t>Caldorpaymentcard@dor.ca.gov</w:t>
        </w:r>
      </w:hyperlink>
      <w:r w:rsidR="00CE6E6B">
        <w:rPr>
          <w:rFonts w:cs="Arial"/>
          <w:szCs w:val="28"/>
          <w:u w:val="single"/>
        </w:rPr>
        <w:t xml:space="preserve"> </w:t>
      </w:r>
    </w:p>
    <w:p w14:paraId="650DC2C8" w14:textId="217CB04D" w:rsidR="00AE0334" w:rsidRDefault="00CE6E6B" w:rsidP="00AE0334">
      <w:pPr>
        <w:pStyle w:val="Heading1"/>
        <w:rPr>
          <w:rFonts w:cstheme="minorBidi"/>
        </w:rPr>
      </w:pPr>
      <w:r>
        <w:rPr>
          <w:rFonts w:cstheme="minorBidi"/>
        </w:rPr>
        <w:br w:type="page"/>
      </w:r>
    </w:p>
    <w:p w14:paraId="16680D34" w14:textId="25AE88C5" w:rsidR="00AE0334" w:rsidRDefault="00AE0334" w:rsidP="00AE0334">
      <w:pPr>
        <w:pStyle w:val="Heading1"/>
        <w:rPr>
          <w:rFonts w:cstheme="minorBidi"/>
        </w:rPr>
      </w:pPr>
      <w:bookmarkStart w:id="16" w:name="_Appendix_(xx)_DOR"/>
      <w:bookmarkEnd w:id="16"/>
      <w:r>
        <w:rPr>
          <w:rFonts w:cstheme="minorBidi"/>
        </w:rPr>
        <w:lastRenderedPageBreak/>
        <w:t xml:space="preserve">Appendix </w:t>
      </w:r>
      <w:r w:rsidR="00F96F82">
        <w:rPr>
          <w:rFonts w:cstheme="minorBidi"/>
        </w:rPr>
        <w:t xml:space="preserve">B: </w:t>
      </w:r>
      <w:r>
        <w:rPr>
          <w:rFonts w:cstheme="minorBidi"/>
        </w:rPr>
        <w:t>DOR In-Service Trainings Presentation</w:t>
      </w:r>
    </w:p>
    <w:p w14:paraId="644A5F83" w14:textId="77777777" w:rsidR="00AE0334" w:rsidRPr="00AE0334" w:rsidRDefault="00AE0334" w:rsidP="00AE0334"/>
    <w:p w14:paraId="0217E154" w14:textId="77777777" w:rsidR="00AE0334" w:rsidRDefault="00AE0334" w:rsidP="00AE0334">
      <w:pPr>
        <w:pStyle w:val="Heading2"/>
      </w:pPr>
      <w:r>
        <w:t xml:space="preserve">Slide 1: </w:t>
      </w:r>
      <w:r w:rsidRPr="00996AC9">
        <w:t>DOR In-Service Trainings</w:t>
      </w:r>
    </w:p>
    <w:p w14:paraId="00827DC4" w14:textId="261EAE77" w:rsidR="00AE0334" w:rsidRPr="00996AC9" w:rsidRDefault="00AE0334" w:rsidP="00AE0334">
      <w:r w:rsidRPr="00996AC9">
        <w:t>June 7, 2023</w:t>
      </w:r>
      <w:r>
        <w:t>,</w:t>
      </w:r>
      <w:r w:rsidRPr="00996AC9">
        <w:t xml:space="preserve"> SRC Meeting</w:t>
      </w:r>
    </w:p>
    <w:p w14:paraId="291F844D" w14:textId="77777777" w:rsidR="00AE0334" w:rsidRPr="00996AC9" w:rsidRDefault="00AE0334" w:rsidP="008265B2">
      <w:pPr>
        <w:pStyle w:val="ListParagraph"/>
        <w:numPr>
          <w:ilvl w:val="0"/>
          <w:numId w:val="34"/>
        </w:numPr>
        <w:rPr>
          <w:rFonts w:cs="Arial"/>
          <w:szCs w:val="28"/>
        </w:rPr>
      </w:pPr>
      <w:r w:rsidRPr="00996AC9">
        <w:rPr>
          <w:rFonts w:eastAsiaTheme="minorEastAsia" w:cs="Arial"/>
          <w:szCs w:val="28"/>
        </w:rPr>
        <w:t>Staff Development Unit</w:t>
      </w:r>
    </w:p>
    <w:p w14:paraId="39233C02" w14:textId="77777777" w:rsidR="00AE0334" w:rsidRPr="00996AC9" w:rsidRDefault="00AE0334" w:rsidP="008265B2">
      <w:pPr>
        <w:pStyle w:val="ListParagraph"/>
        <w:numPr>
          <w:ilvl w:val="0"/>
          <w:numId w:val="34"/>
        </w:numPr>
        <w:rPr>
          <w:rFonts w:cs="Arial"/>
          <w:szCs w:val="28"/>
        </w:rPr>
      </w:pPr>
      <w:r w:rsidRPr="00996AC9">
        <w:rPr>
          <w:rFonts w:eastAsiaTheme="minorEastAsia" w:cs="Arial"/>
          <w:szCs w:val="28"/>
        </w:rPr>
        <w:t>VR Employment Division</w:t>
      </w:r>
    </w:p>
    <w:p w14:paraId="17C1EEB6" w14:textId="77777777" w:rsidR="00AE0334" w:rsidRPr="00996AC9" w:rsidRDefault="00AE0334" w:rsidP="008265B2">
      <w:pPr>
        <w:pStyle w:val="ListParagraph"/>
        <w:numPr>
          <w:ilvl w:val="0"/>
          <w:numId w:val="34"/>
        </w:numPr>
        <w:rPr>
          <w:rFonts w:cs="Arial"/>
          <w:szCs w:val="28"/>
        </w:rPr>
      </w:pPr>
      <w:r w:rsidRPr="00996AC9">
        <w:rPr>
          <w:rFonts w:eastAsiaTheme="minorEastAsia" w:cs="Arial"/>
          <w:szCs w:val="28"/>
        </w:rPr>
        <w:t>VR Policy and Resources Division</w:t>
      </w:r>
    </w:p>
    <w:p w14:paraId="05EF6CF9" w14:textId="77777777" w:rsidR="00AE0334" w:rsidRDefault="00AE0334" w:rsidP="00AE0334">
      <w:pPr>
        <w:rPr>
          <w:rFonts w:cs="Arial"/>
          <w:szCs w:val="28"/>
        </w:rPr>
      </w:pPr>
      <w:r>
        <w:rPr>
          <w:rFonts w:cs="Arial"/>
          <w:szCs w:val="28"/>
        </w:rPr>
        <w:t>DOR logo</w:t>
      </w:r>
    </w:p>
    <w:p w14:paraId="4D34506B" w14:textId="77777777" w:rsidR="00AE0334" w:rsidRDefault="00AE0334" w:rsidP="00AE0334">
      <w:pPr>
        <w:rPr>
          <w:rFonts w:cs="Arial"/>
          <w:szCs w:val="28"/>
        </w:rPr>
      </w:pPr>
    </w:p>
    <w:p w14:paraId="6AFDE90B" w14:textId="77777777" w:rsidR="00AE0334" w:rsidRDefault="00AE0334" w:rsidP="00AE0334">
      <w:pPr>
        <w:pStyle w:val="Heading2"/>
      </w:pPr>
      <w:r>
        <w:t>Slide 2: Presentation Overview</w:t>
      </w:r>
    </w:p>
    <w:p w14:paraId="29E23279" w14:textId="77777777" w:rsidR="00AE0334" w:rsidRPr="00996AC9" w:rsidRDefault="00AE0334" w:rsidP="008265B2">
      <w:pPr>
        <w:pStyle w:val="ListParagraph"/>
        <w:numPr>
          <w:ilvl w:val="0"/>
          <w:numId w:val="32"/>
        </w:numPr>
        <w:rPr>
          <w:rFonts w:cs="Arial"/>
          <w:szCs w:val="28"/>
        </w:rPr>
      </w:pPr>
      <w:r w:rsidRPr="00996AC9">
        <w:rPr>
          <w:rFonts w:cs="Arial"/>
          <w:szCs w:val="28"/>
        </w:rPr>
        <w:t>Presentation goals: 1) establish a baseline of information, and 2) understand the landscape of in-service trainings offered to DOR employees.</w:t>
      </w:r>
    </w:p>
    <w:p w14:paraId="65B71FF3" w14:textId="77777777" w:rsidR="00AE0334" w:rsidRPr="00996AC9" w:rsidRDefault="00AE0334" w:rsidP="008265B2">
      <w:pPr>
        <w:pStyle w:val="ListParagraph"/>
        <w:numPr>
          <w:ilvl w:val="0"/>
          <w:numId w:val="32"/>
        </w:numPr>
        <w:rPr>
          <w:rFonts w:cs="Arial"/>
          <w:szCs w:val="28"/>
        </w:rPr>
      </w:pPr>
      <w:r w:rsidRPr="00996AC9">
        <w:rPr>
          <w:rFonts w:cs="Arial"/>
          <w:szCs w:val="28"/>
        </w:rPr>
        <w:t>DOR’s Staff Development Unit will provide information on training needs, development, modalities, and current offerings.</w:t>
      </w:r>
    </w:p>
    <w:p w14:paraId="3D519EDE" w14:textId="77777777" w:rsidR="00AE0334" w:rsidRPr="00996AC9" w:rsidRDefault="00AE0334" w:rsidP="008265B2">
      <w:pPr>
        <w:pStyle w:val="ListParagraph"/>
        <w:numPr>
          <w:ilvl w:val="0"/>
          <w:numId w:val="32"/>
        </w:numPr>
        <w:rPr>
          <w:rFonts w:cs="Arial"/>
          <w:szCs w:val="28"/>
        </w:rPr>
      </w:pPr>
      <w:r w:rsidRPr="00996AC9">
        <w:rPr>
          <w:rFonts w:cs="Arial"/>
          <w:szCs w:val="28"/>
        </w:rPr>
        <w:t>DOR VR Employment Division and the VR Policy and Resources Division representatives will highlight additional trainings of interest.</w:t>
      </w:r>
    </w:p>
    <w:p w14:paraId="7F489292" w14:textId="77777777" w:rsidR="00AE0334" w:rsidRPr="00996AC9" w:rsidRDefault="00AE0334" w:rsidP="008265B2">
      <w:pPr>
        <w:pStyle w:val="ListParagraph"/>
        <w:numPr>
          <w:ilvl w:val="0"/>
          <w:numId w:val="32"/>
        </w:numPr>
        <w:rPr>
          <w:rFonts w:cs="Arial"/>
          <w:szCs w:val="28"/>
        </w:rPr>
      </w:pPr>
      <w:r w:rsidRPr="00996AC9">
        <w:rPr>
          <w:rFonts w:cs="Arial"/>
          <w:szCs w:val="28"/>
        </w:rPr>
        <w:t>Opportunity for questions and discussion at the end of the presentation.</w:t>
      </w:r>
    </w:p>
    <w:p w14:paraId="1E2BE8C5" w14:textId="77777777" w:rsidR="00AE0334" w:rsidRDefault="00AE0334" w:rsidP="00AE0334">
      <w:pPr>
        <w:rPr>
          <w:rFonts w:cs="Arial"/>
          <w:szCs w:val="28"/>
        </w:rPr>
      </w:pPr>
    </w:p>
    <w:p w14:paraId="158D9F9E" w14:textId="77777777" w:rsidR="00AE0334" w:rsidRDefault="00AE0334" w:rsidP="00AE0334">
      <w:pPr>
        <w:pStyle w:val="Heading2"/>
      </w:pPr>
      <w:r>
        <w:t>Slide 3: Staff Development Unit</w:t>
      </w:r>
    </w:p>
    <w:p w14:paraId="75311FE6" w14:textId="77777777" w:rsidR="00AE0334" w:rsidRPr="00996AC9" w:rsidRDefault="00AE0334" w:rsidP="008265B2">
      <w:pPr>
        <w:pStyle w:val="ListParagraph"/>
        <w:numPr>
          <w:ilvl w:val="0"/>
          <w:numId w:val="33"/>
        </w:numPr>
        <w:rPr>
          <w:rFonts w:cs="Arial"/>
          <w:szCs w:val="28"/>
        </w:rPr>
      </w:pPr>
      <w:r w:rsidRPr="00996AC9">
        <w:rPr>
          <w:rFonts w:cs="Arial"/>
          <w:szCs w:val="28"/>
        </w:rPr>
        <w:t>Role of the Staff Development Unit (SDU)</w:t>
      </w:r>
    </w:p>
    <w:p w14:paraId="78A1C0E6" w14:textId="77777777" w:rsidR="00AE0334" w:rsidRPr="00996AC9" w:rsidRDefault="00AE0334" w:rsidP="008265B2">
      <w:pPr>
        <w:pStyle w:val="ListParagraph"/>
        <w:numPr>
          <w:ilvl w:val="0"/>
          <w:numId w:val="33"/>
        </w:numPr>
        <w:rPr>
          <w:rFonts w:cs="Arial"/>
          <w:szCs w:val="28"/>
        </w:rPr>
      </w:pPr>
      <w:r w:rsidRPr="00996AC9">
        <w:rPr>
          <w:rFonts w:cs="Arial"/>
          <w:szCs w:val="28"/>
        </w:rPr>
        <w:t>How are training needs identified?</w:t>
      </w:r>
    </w:p>
    <w:p w14:paraId="70722B9E" w14:textId="77777777" w:rsidR="00AE0334" w:rsidRPr="00996AC9" w:rsidRDefault="00AE0334" w:rsidP="008265B2">
      <w:pPr>
        <w:pStyle w:val="ListParagraph"/>
        <w:numPr>
          <w:ilvl w:val="1"/>
          <w:numId w:val="33"/>
        </w:numPr>
        <w:rPr>
          <w:rFonts w:cs="Arial"/>
          <w:szCs w:val="28"/>
        </w:rPr>
      </w:pPr>
      <w:r w:rsidRPr="00996AC9">
        <w:rPr>
          <w:rFonts w:cs="Arial"/>
          <w:szCs w:val="28"/>
        </w:rPr>
        <w:t>Formal - biennial training needs assessment provided in the State Plan</w:t>
      </w:r>
    </w:p>
    <w:p w14:paraId="6700342C" w14:textId="77777777" w:rsidR="00AE0334" w:rsidRPr="00996AC9" w:rsidRDefault="00AE0334" w:rsidP="008265B2">
      <w:pPr>
        <w:pStyle w:val="ListParagraph"/>
        <w:numPr>
          <w:ilvl w:val="1"/>
          <w:numId w:val="33"/>
        </w:numPr>
        <w:rPr>
          <w:rFonts w:cs="Arial"/>
          <w:szCs w:val="28"/>
        </w:rPr>
      </w:pPr>
      <w:r w:rsidRPr="00996AC9">
        <w:rPr>
          <w:rFonts w:cs="Arial"/>
          <w:szCs w:val="28"/>
        </w:rPr>
        <w:t>Responsive and flexible- ongoing identification of training needs and topics in real time</w:t>
      </w:r>
    </w:p>
    <w:p w14:paraId="0DDE6BDB" w14:textId="77777777" w:rsidR="00AE0334" w:rsidRPr="00996AC9" w:rsidRDefault="00AE0334" w:rsidP="008265B2">
      <w:pPr>
        <w:pStyle w:val="ListParagraph"/>
        <w:numPr>
          <w:ilvl w:val="0"/>
          <w:numId w:val="33"/>
        </w:numPr>
        <w:rPr>
          <w:rFonts w:cs="Arial"/>
          <w:szCs w:val="28"/>
        </w:rPr>
      </w:pPr>
      <w:r w:rsidRPr="00996AC9">
        <w:rPr>
          <w:rFonts w:cs="Arial"/>
          <w:szCs w:val="28"/>
        </w:rPr>
        <w:t>How are trainings developed?</w:t>
      </w:r>
    </w:p>
    <w:p w14:paraId="28DC6B4E" w14:textId="77777777" w:rsidR="00AE0334" w:rsidRPr="00996AC9" w:rsidRDefault="00AE0334" w:rsidP="008265B2">
      <w:pPr>
        <w:pStyle w:val="ListParagraph"/>
        <w:numPr>
          <w:ilvl w:val="1"/>
          <w:numId w:val="33"/>
        </w:numPr>
        <w:rPr>
          <w:rFonts w:cs="Arial"/>
          <w:szCs w:val="28"/>
        </w:rPr>
      </w:pPr>
      <w:r w:rsidRPr="00996AC9">
        <w:rPr>
          <w:rFonts w:cs="Arial"/>
          <w:szCs w:val="28"/>
        </w:rPr>
        <w:t>Partnership between SDU, DOR divisions, and subject matter experts</w:t>
      </w:r>
    </w:p>
    <w:p w14:paraId="2B0D5266" w14:textId="77777777" w:rsidR="00AE0334" w:rsidRPr="00996AC9" w:rsidRDefault="00AE0334" w:rsidP="008265B2">
      <w:pPr>
        <w:pStyle w:val="ListParagraph"/>
        <w:numPr>
          <w:ilvl w:val="1"/>
          <w:numId w:val="33"/>
        </w:numPr>
        <w:rPr>
          <w:rFonts w:cs="Arial"/>
          <w:szCs w:val="28"/>
        </w:rPr>
      </w:pPr>
      <w:r w:rsidRPr="00996AC9">
        <w:rPr>
          <w:rFonts w:cs="Arial"/>
          <w:szCs w:val="28"/>
        </w:rPr>
        <w:t>Accessible trainings with consideration to Reasonable Accommodations</w:t>
      </w:r>
    </w:p>
    <w:p w14:paraId="391EDC56" w14:textId="77777777" w:rsidR="00AE0334" w:rsidRPr="00996AC9" w:rsidRDefault="00AE0334" w:rsidP="008265B2">
      <w:pPr>
        <w:pStyle w:val="ListParagraph"/>
        <w:numPr>
          <w:ilvl w:val="0"/>
          <w:numId w:val="33"/>
        </w:numPr>
        <w:rPr>
          <w:rFonts w:cs="Arial"/>
          <w:szCs w:val="28"/>
        </w:rPr>
      </w:pPr>
      <w:r w:rsidRPr="00996AC9">
        <w:rPr>
          <w:rFonts w:cs="Arial"/>
          <w:szCs w:val="28"/>
        </w:rPr>
        <w:t xml:space="preserve">Training modalities  </w:t>
      </w:r>
    </w:p>
    <w:p w14:paraId="6FF79B71" w14:textId="77777777" w:rsidR="00AE0334" w:rsidRPr="00996AC9" w:rsidRDefault="00AE0334" w:rsidP="008265B2">
      <w:pPr>
        <w:pStyle w:val="ListParagraph"/>
        <w:numPr>
          <w:ilvl w:val="1"/>
          <w:numId w:val="33"/>
        </w:numPr>
        <w:rPr>
          <w:rFonts w:cs="Arial"/>
          <w:szCs w:val="28"/>
        </w:rPr>
      </w:pPr>
      <w:r w:rsidRPr="00996AC9">
        <w:rPr>
          <w:rFonts w:cs="Arial"/>
          <w:szCs w:val="28"/>
        </w:rPr>
        <w:t>In-person and virtual live trainings</w:t>
      </w:r>
    </w:p>
    <w:p w14:paraId="091333D7" w14:textId="77777777" w:rsidR="00AE0334" w:rsidRPr="00F0116B" w:rsidRDefault="00AE0334" w:rsidP="008265B2">
      <w:pPr>
        <w:pStyle w:val="ListParagraph"/>
        <w:numPr>
          <w:ilvl w:val="1"/>
          <w:numId w:val="33"/>
        </w:numPr>
        <w:rPr>
          <w:rFonts w:cs="Arial"/>
          <w:szCs w:val="28"/>
        </w:rPr>
      </w:pPr>
      <w:r w:rsidRPr="00996AC9">
        <w:rPr>
          <w:rFonts w:cs="Arial"/>
          <w:szCs w:val="28"/>
        </w:rPr>
        <w:t>On-demand trainings offered through a Learning Management System (LMS)</w:t>
      </w:r>
    </w:p>
    <w:p w14:paraId="40B88743" w14:textId="77777777" w:rsidR="00AE0334" w:rsidRDefault="00AE0334" w:rsidP="00AE0334">
      <w:pPr>
        <w:rPr>
          <w:rFonts w:cs="Arial"/>
          <w:szCs w:val="28"/>
        </w:rPr>
      </w:pPr>
    </w:p>
    <w:p w14:paraId="0229EC1C" w14:textId="77777777" w:rsidR="00AE0334" w:rsidRDefault="00AE0334" w:rsidP="00AE0334">
      <w:pPr>
        <w:pStyle w:val="Heading2"/>
      </w:pPr>
      <w:r>
        <w:t>Slide 4: Staff Development Unit (continued)</w:t>
      </w:r>
    </w:p>
    <w:p w14:paraId="1D53AEB0" w14:textId="77777777" w:rsidR="00AE0334" w:rsidRPr="00271257" w:rsidRDefault="00AE0334" w:rsidP="008265B2">
      <w:pPr>
        <w:pStyle w:val="ListParagraph"/>
        <w:numPr>
          <w:ilvl w:val="0"/>
          <w:numId w:val="35"/>
        </w:numPr>
        <w:rPr>
          <w:rFonts w:cs="Arial"/>
          <w:szCs w:val="28"/>
        </w:rPr>
      </w:pPr>
      <w:r w:rsidRPr="00271257">
        <w:rPr>
          <w:rFonts w:cs="Arial"/>
          <w:szCs w:val="28"/>
        </w:rPr>
        <w:t>Current training offerings:</w:t>
      </w:r>
    </w:p>
    <w:p w14:paraId="2E61587A" w14:textId="77777777" w:rsidR="00AE0334" w:rsidRPr="00271257" w:rsidRDefault="00AE0334" w:rsidP="008265B2">
      <w:pPr>
        <w:pStyle w:val="ListParagraph"/>
        <w:numPr>
          <w:ilvl w:val="1"/>
          <w:numId w:val="35"/>
        </w:numPr>
        <w:rPr>
          <w:rFonts w:cs="Arial"/>
          <w:szCs w:val="28"/>
        </w:rPr>
      </w:pPr>
      <w:r w:rsidRPr="00271257">
        <w:rPr>
          <w:rFonts w:cs="Arial"/>
          <w:szCs w:val="28"/>
        </w:rPr>
        <w:t>CalHR required trainings</w:t>
      </w:r>
    </w:p>
    <w:p w14:paraId="678C1630" w14:textId="77777777" w:rsidR="00AE0334" w:rsidRPr="00271257" w:rsidRDefault="00AE0334" w:rsidP="008265B2">
      <w:pPr>
        <w:pStyle w:val="ListParagraph"/>
        <w:numPr>
          <w:ilvl w:val="1"/>
          <w:numId w:val="35"/>
        </w:numPr>
        <w:rPr>
          <w:rFonts w:cs="Arial"/>
          <w:szCs w:val="28"/>
        </w:rPr>
      </w:pPr>
      <w:r w:rsidRPr="00271257">
        <w:rPr>
          <w:rFonts w:cs="Arial"/>
          <w:szCs w:val="28"/>
        </w:rPr>
        <w:t>Trainings required by specific bargaining units</w:t>
      </w:r>
    </w:p>
    <w:p w14:paraId="043C0F6D" w14:textId="77777777" w:rsidR="00AE0334" w:rsidRPr="00271257" w:rsidRDefault="00AE0334" w:rsidP="008265B2">
      <w:pPr>
        <w:pStyle w:val="ListParagraph"/>
        <w:numPr>
          <w:ilvl w:val="1"/>
          <w:numId w:val="35"/>
        </w:numPr>
        <w:rPr>
          <w:rFonts w:cs="Arial"/>
          <w:szCs w:val="28"/>
        </w:rPr>
      </w:pPr>
      <w:r w:rsidRPr="00271257">
        <w:rPr>
          <w:rFonts w:cs="Arial"/>
          <w:szCs w:val="28"/>
        </w:rPr>
        <w:t>Certified Rehabilitation Counselor (CRC) credit courses</w:t>
      </w:r>
    </w:p>
    <w:p w14:paraId="0F286FDD" w14:textId="77777777" w:rsidR="00AE0334" w:rsidRPr="00271257" w:rsidRDefault="00AE0334" w:rsidP="008265B2">
      <w:pPr>
        <w:pStyle w:val="ListParagraph"/>
        <w:numPr>
          <w:ilvl w:val="1"/>
          <w:numId w:val="35"/>
        </w:numPr>
        <w:rPr>
          <w:rFonts w:cs="Arial"/>
          <w:szCs w:val="28"/>
        </w:rPr>
      </w:pPr>
      <w:r w:rsidRPr="00271257">
        <w:rPr>
          <w:rFonts w:cs="Arial"/>
          <w:szCs w:val="28"/>
        </w:rPr>
        <w:t>Onboarding course for new DOR employees</w:t>
      </w:r>
    </w:p>
    <w:p w14:paraId="1D582BA8" w14:textId="77777777" w:rsidR="00AE0334" w:rsidRPr="00271257" w:rsidRDefault="00AE0334" w:rsidP="008265B2">
      <w:pPr>
        <w:pStyle w:val="ListParagraph"/>
        <w:numPr>
          <w:ilvl w:val="1"/>
          <w:numId w:val="35"/>
        </w:numPr>
        <w:rPr>
          <w:rFonts w:cs="Arial"/>
          <w:szCs w:val="28"/>
        </w:rPr>
      </w:pPr>
      <w:r w:rsidRPr="00271257">
        <w:rPr>
          <w:rFonts w:cs="Arial"/>
          <w:szCs w:val="28"/>
        </w:rPr>
        <w:lastRenderedPageBreak/>
        <w:t xml:space="preserve">Training academies for new VR Counselors, Service Coordinators, Business Specialists, and Office Technicians </w:t>
      </w:r>
    </w:p>
    <w:p w14:paraId="5A8F929D" w14:textId="77777777" w:rsidR="00AE0334" w:rsidRPr="00271257" w:rsidRDefault="00AE0334" w:rsidP="008265B2">
      <w:pPr>
        <w:pStyle w:val="ListParagraph"/>
        <w:numPr>
          <w:ilvl w:val="1"/>
          <w:numId w:val="35"/>
        </w:numPr>
        <w:rPr>
          <w:rFonts w:cs="Arial"/>
          <w:szCs w:val="28"/>
        </w:rPr>
      </w:pPr>
      <w:r w:rsidRPr="00271257">
        <w:rPr>
          <w:rFonts w:cs="Arial"/>
          <w:szCs w:val="28"/>
        </w:rPr>
        <w:t>Examples of on-demand courses available in the Learning Management System</w:t>
      </w:r>
    </w:p>
    <w:p w14:paraId="50F86EEB" w14:textId="77777777" w:rsidR="00AE0334" w:rsidRDefault="00AE0334" w:rsidP="008265B2">
      <w:pPr>
        <w:pStyle w:val="ListParagraph"/>
        <w:numPr>
          <w:ilvl w:val="0"/>
          <w:numId w:val="35"/>
        </w:numPr>
        <w:rPr>
          <w:rFonts w:cs="Arial"/>
          <w:szCs w:val="28"/>
        </w:rPr>
      </w:pPr>
      <w:r w:rsidRPr="00996AC9">
        <w:rPr>
          <w:rFonts w:cs="Arial"/>
          <w:szCs w:val="28"/>
        </w:rPr>
        <w:t>Emphasis throughout all trainings: customer service, equity, and person-centered approaches.</w:t>
      </w:r>
    </w:p>
    <w:p w14:paraId="65C41E10" w14:textId="77777777" w:rsidR="00AE0334" w:rsidRDefault="00AE0334" w:rsidP="00AE0334">
      <w:pPr>
        <w:rPr>
          <w:rFonts w:cs="Arial"/>
          <w:szCs w:val="28"/>
        </w:rPr>
      </w:pPr>
    </w:p>
    <w:p w14:paraId="2FC22CD9" w14:textId="77777777" w:rsidR="00AE0334" w:rsidRDefault="00AE0334" w:rsidP="00AE0334">
      <w:pPr>
        <w:pStyle w:val="Heading2"/>
      </w:pPr>
      <w:r>
        <w:t>Slide 5: Additional Training Highlights</w:t>
      </w:r>
    </w:p>
    <w:p w14:paraId="473F3CED" w14:textId="77777777" w:rsidR="00AE0334" w:rsidRPr="00271257" w:rsidRDefault="00AE0334" w:rsidP="008265B2">
      <w:pPr>
        <w:pStyle w:val="ListParagraph"/>
        <w:numPr>
          <w:ilvl w:val="0"/>
          <w:numId w:val="36"/>
        </w:numPr>
        <w:rPr>
          <w:rFonts w:cs="Arial"/>
          <w:szCs w:val="28"/>
        </w:rPr>
      </w:pPr>
      <w:r w:rsidRPr="00271257">
        <w:rPr>
          <w:rFonts w:cs="Arial"/>
          <w:szCs w:val="28"/>
        </w:rPr>
        <w:t>Trainings for DOR Work Incentives Planners</w:t>
      </w:r>
    </w:p>
    <w:p w14:paraId="60111D7F" w14:textId="77777777" w:rsidR="00AE0334" w:rsidRPr="00271257" w:rsidRDefault="00AE0334" w:rsidP="008265B2">
      <w:pPr>
        <w:pStyle w:val="ListParagraph"/>
        <w:numPr>
          <w:ilvl w:val="0"/>
          <w:numId w:val="36"/>
        </w:numPr>
        <w:rPr>
          <w:rFonts w:cs="Arial"/>
          <w:szCs w:val="28"/>
        </w:rPr>
      </w:pPr>
      <w:r w:rsidRPr="00271257">
        <w:rPr>
          <w:rFonts w:cs="Arial"/>
          <w:szCs w:val="28"/>
        </w:rPr>
        <w:t>Trainings offered by the DOR Cooperative Programs Section</w:t>
      </w:r>
    </w:p>
    <w:p w14:paraId="0BA58355" w14:textId="77777777" w:rsidR="00AE0334" w:rsidRPr="00271257" w:rsidRDefault="00AE0334" w:rsidP="008265B2">
      <w:pPr>
        <w:pStyle w:val="ListParagraph"/>
        <w:numPr>
          <w:ilvl w:val="0"/>
          <w:numId w:val="36"/>
        </w:numPr>
        <w:rPr>
          <w:rFonts w:cs="Arial"/>
          <w:szCs w:val="28"/>
        </w:rPr>
      </w:pPr>
      <w:r w:rsidRPr="00271257">
        <w:rPr>
          <w:rFonts w:cs="Arial"/>
          <w:szCs w:val="28"/>
        </w:rPr>
        <w:t>DOR Student Services trainings and monthly meetings</w:t>
      </w:r>
    </w:p>
    <w:p w14:paraId="67AC0076" w14:textId="77777777" w:rsidR="00AE0334" w:rsidRPr="00271257" w:rsidRDefault="00AE0334" w:rsidP="008265B2">
      <w:pPr>
        <w:pStyle w:val="ListParagraph"/>
        <w:numPr>
          <w:ilvl w:val="0"/>
          <w:numId w:val="36"/>
        </w:numPr>
        <w:rPr>
          <w:rFonts w:cs="Arial"/>
          <w:szCs w:val="28"/>
        </w:rPr>
      </w:pPr>
      <w:r w:rsidRPr="00271257">
        <w:rPr>
          <w:rFonts w:cs="Arial"/>
          <w:szCs w:val="28"/>
        </w:rPr>
        <w:t>Trainings developed and offered by DOR affinity groups</w:t>
      </w:r>
    </w:p>
    <w:p w14:paraId="4C9A8BA1" w14:textId="77777777" w:rsidR="00AE0334" w:rsidRPr="00271257" w:rsidRDefault="00AE0334" w:rsidP="008265B2">
      <w:pPr>
        <w:pStyle w:val="ListParagraph"/>
        <w:numPr>
          <w:ilvl w:val="0"/>
          <w:numId w:val="36"/>
        </w:numPr>
        <w:rPr>
          <w:rFonts w:cs="Arial"/>
          <w:szCs w:val="28"/>
        </w:rPr>
      </w:pPr>
      <w:r w:rsidRPr="00271257">
        <w:rPr>
          <w:rFonts w:cs="Arial"/>
          <w:szCs w:val="28"/>
        </w:rPr>
        <w:t xml:space="preserve">Trainings on customer service and de-escalation </w:t>
      </w:r>
    </w:p>
    <w:p w14:paraId="5FEB7461" w14:textId="77777777" w:rsidR="00AE0334" w:rsidRPr="00271257" w:rsidRDefault="00AE0334" w:rsidP="008265B2">
      <w:pPr>
        <w:pStyle w:val="ListParagraph"/>
        <w:numPr>
          <w:ilvl w:val="0"/>
          <w:numId w:val="36"/>
        </w:numPr>
        <w:rPr>
          <w:rFonts w:cs="Arial"/>
          <w:szCs w:val="28"/>
        </w:rPr>
      </w:pPr>
      <w:r w:rsidRPr="00271257">
        <w:rPr>
          <w:rFonts w:cs="Arial"/>
          <w:szCs w:val="28"/>
        </w:rPr>
        <w:t>Trainings developed by the DOR Regional Director workgroups:</w:t>
      </w:r>
    </w:p>
    <w:p w14:paraId="66DCA5B9" w14:textId="77777777" w:rsidR="00AE0334" w:rsidRPr="00271257" w:rsidRDefault="00AE0334" w:rsidP="008265B2">
      <w:pPr>
        <w:pStyle w:val="ListParagraph"/>
        <w:numPr>
          <w:ilvl w:val="0"/>
          <w:numId w:val="36"/>
        </w:numPr>
        <w:rPr>
          <w:rFonts w:cs="Arial"/>
          <w:szCs w:val="28"/>
        </w:rPr>
      </w:pPr>
      <w:r w:rsidRPr="00271257">
        <w:rPr>
          <w:rFonts w:cs="Arial"/>
          <w:szCs w:val="28"/>
        </w:rPr>
        <w:t>Motivational Interviewing</w:t>
      </w:r>
    </w:p>
    <w:p w14:paraId="39CE870B" w14:textId="77777777" w:rsidR="00AE0334" w:rsidRPr="00271257" w:rsidRDefault="00AE0334" w:rsidP="008265B2">
      <w:pPr>
        <w:pStyle w:val="ListParagraph"/>
        <w:numPr>
          <w:ilvl w:val="0"/>
          <w:numId w:val="36"/>
        </w:numPr>
        <w:rPr>
          <w:rFonts w:cs="Arial"/>
          <w:szCs w:val="28"/>
        </w:rPr>
      </w:pPr>
      <w:r w:rsidRPr="00271257">
        <w:rPr>
          <w:rFonts w:cs="Arial"/>
          <w:szCs w:val="28"/>
        </w:rPr>
        <w:t>Electronic record of service</w:t>
      </w:r>
    </w:p>
    <w:p w14:paraId="431F8CDC" w14:textId="77777777" w:rsidR="00AE0334" w:rsidRDefault="00AE0334" w:rsidP="008265B2">
      <w:pPr>
        <w:pStyle w:val="ListParagraph"/>
        <w:numPr>
          <w:ilvl w:val="0"/>
          <w:numId w:val="36"/>
        </w:numPr>
        <w:rPr>
          <w:rFonts w:cs="Arial"/>
          <w:szCs w:val="28"/>
        </w:rPr>
      </w:pPr>
      <w:r w:rsidRPr="00271257">
        <w:rPr>
          <w:rFonts w:cs="Arial"/>
          <w:szCs w:val="28"/>
        </w:rPr>
        <w:t>Common performance measures</w:t>
      </w:r>
    </w:p>
    <w:p w14:paraId="2C6BA1EC" w14:textId="77777777" w:rsidR="00AE0334" w:rsidRDefault="00AE0334" w:rsidP="00AE0334">
      <w:pPr>
        <w:rPr>
          <w:rFonts w:cs="Arial"/>
          <w:szCs w:val="28"/>
        </w:rPr>
      </w:pPr>
    </w:p>
    <w:p w14:paraId="382FB7F2" w14:textId="77777777" w:rsidR="00AE0334" w:rsidRDefault="00AE0334" w:rsidP="00AE0334">
      <w:pPr>
        <w:pStyle w:val="Heading2"/>
      </w:pPr>
      <w:r>
        <w:t>Slide 6: Questions and Discussion</w:t>
      </w:r>
    </w:p>
    <w:p w14:paraId="19B09742" w14:textId="77777777" w:rsidR="00AE0334" w:rsidRPr="00271257" w:rsidRDefault="00AE0334" w:rsidP="008265B2">
      <w:pPr>
        <w:pStyle w:val="ListParagraph"/>
        <w:numPr>
          <w:ilvl w:val="0"/>
          <w:numId w:val="37"/>
        </w:numPr>
        <w:rPr>
          <w:rFonts w:cs="Arial"/>
          <w:szCs w:val="28"/>
        </w:rPr>
      </w:pPr>
      <w:r w:rsidRPr="00271257">
        <w:rPr>
          <w:rFonts w:eastAsiaTheme="majorEastAsia" w:cs="Arial"/>
          <w:szCs w:val="28"/>
        </w:rPr>
        <w:t>Reminder: SRC members are welcome to ask their assigned DOR Regional Director about in-service trainings during the quarterly “Adopt-a-Region Discussions”</w:t>
      </w:r>
    </w:p>
    <w:p w14:paraId="26A77860" w14:textId="77777777" w:rsidR="00AE0334" w:rsidRPr="00271257" w:rsidRDefault="00AE0334" w:rsidP="008265B2">
      <w:pPr>
        <w:pStyle w:val="ListParagraph"/>
        <w:numPr>
          <w:ilvl w:val="0"/>
          <w:numId w:val="37"/>
        </w:numPr>
        <w:rPr>
          <w:rFonts w:cs="Arial"/>
          <w:szCs w:val="28"/>
        </w:rPr>
      </w:pPr>
      <w:r w:rsidRPr="00271257">
        <w:rPr>
          <w:rFonts w:cs="Arial"/>
          <w:szCs w:val="28"/>
        </w:rPr>
        <w:t>DOR logo</w:t>
      </w:r>
    </w:p>
    <w:p w14:paraId="01C1B39A" w14:textId="77777777" w:rsidR="00AE0334" w:rsidRDefault="00AE0334" w:rsidP="008265B2">
      <w:pPr>
        <w:pStyle w:val="ListParagraph"/>
        <w:numPr>
          <w:ilvl w:val="0"/>
          <w:numId w:val="37"/>
        </w:numPr>
        <w:rPr>
          <w:rFonts w:cs="Arial"/>
          <w:szCs w:val="28"/>
        </w:rPr>
      </w:pPr>
      <w:r w:rsidRPr="00271257">
        <w:rPr>
          <w:rFonts w:cs="Arial"/>
          <w:szCs w:val="28"/>
        </w:rPr>
        <w:t xml:space="preserve">Clip art image of hands holding up a pencil, notebook, certificate, and tablet. </w:t>
      </w:r>
    </w:p>
    <w:p w14:paraId="7F13BB50" w14:textId="77777777" w:rsidR="00AE0334" w:rsidRPr="00271257" w:rsidRDefault="00AE0334" w:rsidP="00AE0334">
      <w:pPr>
        <w:rPr>
          <w:rFonts w:cs="Arial"/>
          <w:szCs w:val="28"/>
        </w:rPr>
      </w:pPr>
    </w:p>
    <w:p w14:paraId="37BCAC10" w14:textId="3305D7E3" w:rsidR="00AE0334" w:rsidRDefault="00AE0334">
      <w:pPr>
        <w:rPr>
          <w:rFonts w:cstheme="minorBidi"/>
        </w:rPr>
      </w:pPr>
    </w:p>
    <w:p w14:paraId="03376DF8" w14:textId="77777777" w:rsidR="00CE6E6B" w:rsidRDefault="00CE6E6B">
      <w:pPr>
        <w:rPr>
          <w:rFonts w:eastAsiaTheme="majorEastAsia" w:cstheme="minorBidi"/>
          <w:b/>
          <w:bCs/>
          <w:szCs w:val="28"/>
        </w:rPr>
      </w:pPr>
    </w:p>
    <w:p w14:paraId="357CDEB1" w14:textId="77777777" w:rsidR="00410D09" w:rsidRDefault="00410D09">
      <w:pPr>
        <w:rPr>
          <w:rFonts w:eastAsiaTheme="majorEastAsia" w:cstheme="majorBidi"/>
          <w:b/>
          <w:bCs/>
          <w:szCs w:val="28"/>
        </w:rPr>
      </w:pPr>
      <w:bookmarkStart w:id="17" w:name="_Appendix_C:_Unified"/>
      <w:bookmarkEnd w:id="17"/>
      <w:r>
        <w:br w:type="page"/>
      </w:r>
    </w:p>
    <w:p w14:paraId="43AEB83C" w14:textId="478431F2" w:rsidR="00046863" w:rsidRDefault="00046863" w:rsidP="000D2EB9">
      <w:pPr>
        <w:pStyle w:val="Heading1"/>
      </w:pPr>
      <w:r>
        <w:lastRenderedPageBreak/>
        <w:t xml:space="preserve">Appendix </w:t>
      </w:r>
      <w:r w:rsidR="000D2EB9">
        <w:t>C</w:t>
      </w:r>
      <w:r>
        <w:t>: Unified State Plan Committee Presentation</w:t>
      </w:r>
    </w:p>
    <w:p w14:paraId="4A4DCD1B" w14:textId="77777777" w:rsidR="00046863" w:rsidRPr="00046863" w:rsidRDefault="00046863" w:rsidP="00046863"/>
    <w:p w14:paraId="5B29D954" w14:textId="0B6F72AE" w:rsidR="00730707" w:rsidRPr="00046863" w:rsidRDefault="00046863" w:rsidP="00046863">
      <w:pPr>
        <w:pStyle w:val="Heading2"/>
      </w:pPr>
      <w:r>
        <w:t xml:space="preserve">Slide 1: </w:t>
      </w:r>
      <w:r w:rsidR="00730707" w:rsidRPr="00046863">
        <w:t xml:space="preserve">Comprehensive Statewide Needs Assessment </w:t>
      </w:r>
    </w:p>
    <w:p w14:paraId="6F8347E6" w14:textId="77777777" w:rsidR="00730707" w:rsidRPr="00046863" w:rsidRDefault="00730707" w:rsidP="00046863">
      <w:r w:rsidRPr="00046863">
        <w:t>Status and Qualitative Data Collection</w:t>
      </w:r>
    </w:p>
    <w:p w14:paraId="1A6A4156" w14:textId="77777777" w:rsidR="00730707" w:rsidRPr="00046863" w:rsidRDefault="00730707" w:rsidP="00046863">
      <w:pPr>
        <w:rPr>
          <w:rFonts w:cs="Arial"/>
          <w:szCs w:val="28"/>
        </w:rPr>
      </w:pPr>
      <w:r w:rsidRPr="00046863">
        <w:rPr>
          <w:rFonts w:cs="Arial"/>
          <w:szCs w:val="28"/>
        </w:rPr>
        <w:t>June 8, 2023</w:t>
      </w:r>
    </w:p>
    <w:p w14:paraId="7959409A" w14:textId="77777777" w:rsidR="00730707" w:rsidRDefault="00730707" w:rsidP="00046863">
      <w:pPr>
        <w:rPr>
          <w:rFonts w:cs="Arial"/>
          <w:szCs w:val="28"/>
        </w:rPr>
      </w:pPr>
      <w:r w:rsidRPr="00046863">
        <w:rPr>
          <w:rFonts w:cs="Arial"/>
          <w:szCs w:val="28"/>
        </w:rPr>
        <w:t>Presented by: Planning Unit</w:t>
      </w:r>
    </w:p>
    <w:p w14:paraId="0C64FDEB" w14:textId="77777777" w:rsidR="00046863" w:rsidRPr="00046863" w:rsidRDefault="00046863" w:rsidP="00046863">
      <w:pPr>
        <w:rPr>
          <w:rFonts w:cs="Arial"/>
          <w:szCs w:val="28"/>
        </w:rPr>
      </w:pPr>
    </w:p>
    <w:p w14:paraId="70105545" w14:textId="77777777" w:rsidR="00730707" w:rsidRPr="00046863" w:rsidRDefault="00730707" w:rsidP="00046863">
      <w:pPr>
        <w:pStyle w:val="Heading2"/>
      </w:pPr>
      <w:r w:rsidRPr="00046863">
        <w:t>Slide 2: What is the Comprehensive Statewide Assessment (CSA)?</w:t>
      </w:r>
    </w:p>
    <w:p w14:paraId="3DA425B0" w14:textId="77777777" w:rsidR="00730707" w:rsidRPr="00046863" w:rsidRDefault="00730707" w:rsidP="00455103">
      <w:pPr>
        <w:pStyle w:val="NormalWeb"/>
        <w:numPr>
          <w:ilvl w:val="0"/>
          <w:numId w:val="6"/>
        </w:numPr>
        <w:spacing w:before="0" w:beforeAutospacing="0" w:after="0" w:afterAutospacing="0"/>
        <w:rPr>
          <w:rFonts w:ascii="Arial" w:hAnsi="Arial" w:cs="Arial"/>
          <w:sz w:val="28"/>
          <w:szCs w:val="28"/>
        </w:rPr>
      </w:pPr>
      <w:r w:rsidRPr="00046863">
        <w:rPr>
          <w:rFonts w:ascii="Arial" w:eastAsiaTheme="minorEastAsia" w:hAnsi="Arial" w:cs="Arial"/>
          <w:color w:val="000000" w:themeColor="text1"/>
          <w:kern w:val="24"/>
          <w:sz w:val="28"/>
          <w:szCs w:val="28"/>
        </w:rPr>
        <w:t>Required by the federal Rehabilitation Act of 1973, as amended by the WIOA.</w:t>
      </w:r>
    </w:p>
    <w:p w14:paraId="5D46A0E2" w14:textId="77777777" w:rsidR="00730707" w:rsidRPr="00046863" w:rsidRDefault="00730707" w:rsidP="00455103">
      <w:pPr>
        <w:pStyle w:val="NormalWeb"/>
        <w:numPr>
          <w:ilvl w:val="0"/>
          <w:numId w:val="6"/>
        </w:numPr>
        <w:spacing w:before="0" w:beforeAutospacing="0" w:after="0" w:afterAutospacing="0"/>
        <w:rPr>
          <w:rFonts w:ascii="Arial" w:hAnsi="Arial" w:cs="Arial"/>
          <w:sz w:val="28"/>
          <w:szCs w:val="28"/>
        </w:rPr>
      </w:pPr>
      <w:r w:rsidRPr="00046863">
        <w:rPr>
          <w:rFonts w:ascii="Arial" w:eastAsiaTheme="minorEastAsia" w:hAnsi="Arial" w:cs="Arial"/>
          <w:color w:val="000000" w:themeColor="text1"/>
          <w:kern w:val="24"/>
          <w:sz w:val="28"/>
          <w:szCs w:val="28"/>
        </w:rPr>
        <w:t>A triennial study to determine the vocational rehabilitation needs of individuals with disabilities in California.</w:t>
      </w:r>
    </w:p>
    <w:p w14:paraId="7996F708" w14:textId="77777777" w:rsidR="00730707" w:rsidRPr="00046863" w:rsidRDefault="00730707" w:rsidP="00455103">
      <w:pPr>
        <w:pStyle w:val="NormalWeb"/>
        <w:numPr>
          <w:ilvl w:val="0"/>
          <w:numId w:val="6"/>
        </w:numPr>
        <w:spacing w:before="0" w:beforeAutospacing="0" w:after="0" w:afterAutospacing="0"/>
        <w:rPr>
          <w:rFonts w:ascii="Arial" w:hAnsi="Arial" w:cs="Arial"/>
          <w:sz w:val="28"/>
          <w:szCs w:val="28"/>
        </w:rPr>
      </w:pPr>
      <w:r w:rsidRPr="00046863">
        <w:rPr>
          <w:rFonts w:ascii="Arial" w:eastAsiaTheme="minorEastAsia" w:hAnsi="Arial" w:cs="Arial"/>
          <w:color w:val="000000" w:themeColor="text1"/>
          <w:kern w:val="24"/>
          <w:sz w:val="28"/>
          <w:szCs w:val="28"/>
        </w:rPr>
        <w:t>Developed by the DOR in partnership with the State Rehabilitation Council (SRC).</w:t>
      </w:r>
    </w:p>
    <w:p w14:paraId="2F8FF48E" w14:textId="77777777" w:rsidR="00730707" w:rsidRPr="00046863" w:rsidRDefault="00730707" w:rsidP="00455103">
      <w:pPr>
        <w:pStyle w:val="NormalWeb"/>
        <w:numPr>
          <w:ilvl w:val="0"/>
          <w:numId w:val="6"/>
        </w:numPr>
        <w:spacing w:before="0" w:beforeAutospacing="0" w:after="0" w:afterAutospacing="0"/>
        <w:rPr>
          <w:rFonts w:ascii="Arial" w:hAnsi="Arial" w:cs="Arial"/>
          <w:sz w:val="28"/>
          <w:szCs w:val="28"/>
        </w:rPr>
      </w:pPr>
      <w:r w:rsidRPr="00046863">
        <w:rPr>
          <w:rFonts w:ascii="Arial" w:eastAsiaTheme="minorEastAsia" w:hAnsi="Arial" w:cs="Arial"/>
          <w:color w:val="000000" w:themeColor="text1"/>
          <w:kern w:val="24"/>
          <w:sz w:val="28"/>
          <w:szCs w:val="28"/>
        </w:rPr>
        <w:t>Research that informs DOR’s understanding of individuals with disabilities and their service needs and contributes to the goals and priorities of DOR’s State Plan.</w:t>
      </w:r>
    </w:p>
    <w:p w14:paraId="27592701" w14:textId="77777777" w:rsidR="00046863" w:rsidRPr="00046863" w:rsidRDefault="00046863" w:rsidP="00046863">
      <w:pPr>
        <w:pStyle w:val="NormalWeb"/>
        <w:spacing w:before="0" w:beforeAutospacing="0" w:after="0" w:afterAutospacing="0"/>
        <w:ind w:left="720"/>
        <w:rPr>
          <w:rFonts w:ascii="Arial" w:hAnsi="Arial" w:cs="Arial"/>
          <w:sz w:val="28"/>
          <w:szCs w:val="28"/>
        </w:rPr>
      </w:pPr>
    </w:p>
    <w:p w14:paraId="40A5AECC" w14:textId="77777777" w:rsidR="00730707" w:rsidRPr="00046863" w:rsidRDefault="00730707" w:rsidP="00046863">
      <w:pPr>
        <w:pStyle w:val="Heading2"/>
      </w:pPr>
      <w:r w:rsidRPr="00046863">
        <w:t>Slide 3: CSA Reporting Requirements</w:t>
      </w:r>
    </w:p>
    <w:p w14:paraId="2F2F9F54" w14:textId="77777777" w:rsidR="00730707" w:rsidRPr="00046863" w:rsidRDefault="00730707" w:rsidP="00046863">
      <w:pPr>
        <w:rPr>
          <w:rFonts w:eastAsia="Times New Roman"/>
        </w:rPr>
      </w:pPr>
      <w:r w:rsidRPr="00046863">
        <w:t>Assess Vocational Rehabilitation Needs</w:t>
      </w:r>
    </w:p>
    <w:p w14:paraId="51001D7A" w14:textId="77777777" w:rsidR="00730707" w:rsidRPr="00046863" w:rsidRDefault="00730707" w:rsidP="00455103">
      <w:pPr>
        <w:numPr>
          <w:ilvl w:val="0"/>
          <w:numId w:val="7"/>
        </w:numPr>
        <w:rPr>
          <w:rFonts w:eastAsia="Times New Roman" w:cs="Arial"/>
          <w:szCs w:val="28"/>
        </w:rPr>
      </w:pPr>
      <w:r w:rsidRPr="00046863">
        <w:rPr>
          <w:rFonts w:eastAsiaTheme="minorEastAsia" w:cs="Arial"/>
          <w:color w:val="000000" w:themeColor="text1"/>
          <w:kern w:val="24"/>
          <w:szCs w:val="28"/>
        </w:rPr>
        <w:t>Individuals with Most Significant Disabilities</w:t>
      </w:r>
    </w:p>
    <w:p w14:paraId="0C77A17F" w14:textId="77777777" w:rsidR="00730707" w:rsidRPr="00046863" w:rsidRDefault="00730707" w:rsidP="00455103">
      <w:pPr>
        <w:numPr>
          <w:ilvl w:val="0"/>
          <w:numId w:val="7"/>
        </w:numPr>
        <w:rPr>
          <w:rFonts w:eastAsia="Times New Roman" w:cs="Arial"/>
          <w:szCs w:val="28"/>
        </w:rPr>
      </w:pPr>
      <w:r w:rsidRPr="00046863">
        <w:rPr>
          <w:rFonts w:eastAsiaTheme="minorEastAsia" w:cs="Arial"/>
          <w:color w:val="000000" w:themeColor="text1"/>
          <w:kern w:val="24"/>
          <w:szCs w:val="28"/>
        </w:rPr>
        <w:t>Individuals with Disabilities who are Minorities, Unserved, or Underserved by VR</w:t>
      </w:r>
    </w:p>
    <w:p w14:paraId="647B463F" w14:textId="77777777" w:rsidR="00730707" w:rsidRPr="00046863" w:rsidRDefault="00730707" w:rsidP="00455103">
      <w:pPr>
        <w:numPr>
          <w:ilvl w:val="0"/>
          <w:numId w:val="7"/>
        </w:numPr>
        <w:rPr>
          <w:rFonts w:eastAsia="Times New Roman" w:cs="Arial"/>
          <w:szCs w:val="28"/>
        </w:rPr>
      </w:pPr>
      <w:r w:rsidRPr="00046863">
        <w:rPr>
          <w:rFonts w:eastAsiaTheme="minorEastAsia" w:cs="Arial"/>
          <w:color w:val="000000" w:themeColor="text1"/>
          <w:kern w:val="24"/>
          <w:szCs w:val="28"/>
        </w:rPr>
        <w:t>Individuals with Disabilities who are served through the Workforce Development System</w:t>
      </w:r>
    </w:p>
    <w:p w14:paraId="6842D92B" w14:textId="77777777" w:rsidR="00730707" w:rsidRPr="00046863" w:rsidRDefault="00730707" w:rsidP="00455103">
      <w:pPr>
        <w:numPr>
          <w:ilvl w:val="0"/>
          <w:numId w:val="7"/>
        </w:numPr>
        <w:rPr>
          <w:rFonts w:eastAsia="Times New Roman" w:cs="Arial"/>
          <w:szCs w:val="28"/>
        </w:rPr>
      </w:pPr>
      <w:r w:rsidRPr="00046863">
        <w:rPr>
          <w:rFonts w:eastAsiaTheme="minorEastAsia" w:cs="Arial"/>
          <w:color w:val="000000" w:themeColor="text1"/>
          <w:kern w:val="24"/>
          <w:szCs w:val="28"/>
        </w:rPr>
        <w:t>Youth and Students with Disabilities</w:t>
      </w:r>
    </w:p>
    <w:p w14:paraId="6792313E" w14:textId="77777777" w:rsidR="00730707" w:rsidRPr="00046863" w:rsidRDefault="00730707" w:rsidP="00046863">
      <w:pPr>
        <w:rPr>
          <w:rFonts w:eastAsia="Times New Roman"/>
        </w:rPr>
      </w:pPr>
      <w:r w:rsidRPr="00046863">
        <w:t>Identify the Need to Establish, Develop, and Improve</w:t>
      </w:r>
    </w:p>
    <w:p w14:paraId="6E780391" w14:textId="77777777" w:rsidR="00730707" w:rsidRPr="00046863" w:rsidRDefault="00730707" w:rsidP="00455103">
      <w:pPr>
        <w:pStyle w:val="ListParagraph"/>
        <w:numPr>
          <w:ilvl w:val="0"/>
          <w:numId w:val="8"/>
        </w:numPr>
        <w:rPr>
          <w:rFonts w:cs="Arial"/>
          <w:szCs w:val="28"/>
        </w:rPr>
      </w:pPr>
      <w:r w:rsidRPr="00046863">
        <w:rPr>
          <w:rFonts w:eastAsiaTheme="minorEastAsia" w:cs="Arial"/>
          <w:color w:val="000000" w:themeColor="text1"/>
          <w:kern w:val="24"/>
          <w:szCs w:val="28"/>
        </w:rPr>
        <w:t>Community Rehabilitation Programs (CRPs)</w:t>
      </w:r>
    </w:p>
    <w:p w14:paraId="288D6A1F" w14:textId="77777777" w:rsidR="00046863" w:rsidRPr="00046863" w:rsidRDefault="00046863" w:rsidP="00046863">
      <w:pPr>
        <w:pStyle w:val="ListParagraph"/>
        <w:rPr>
          <w:rFonts w:cs="Arial"/>
          <w:szCs w:val="28"/>
        </w:rPr>
      </w:pPr>
    </w:p>
    <w:p w14:paraId="0D2DCF09" w14:textId="77777777" w:rsidR="00730707" w:rsidRPr="00046863" w:rsidRDefault="00730707" w:rsidP="00046863">
      <w:pPr>
        <w:pStyle w:val="Heading2"/>
      </w:pPr>
      <w:r w:rsidRPr="00046863">
        <w:t>Slide 4: Research for the CSA Utilizes a Variety of Data Sources</w:t>
      </w:r>
    </w:p>
    <w:p w14:paraId="202F9B90" w14:textId="1E12A886" w:rsidR="00730707" w:rsidRPr="00046863" w:rsidRDefault="00730707" w:rsidP="00046863">
      <w:pPr>
        <w:rPr>
          <w:rFonts w:eastAsia="Times New Roman"/>
        </w:rPr>
      </w:pPr>
      <w:r w:rsidRPr="00046863">
        <w:t>Quantitative data sources may include:</w:t>
      </w:r>
      <w:r w:rsidR="00046863">
        <w:rPr>
          <w:rFonts w:eastAsia="Times New Roman"/>
        </w:rPr>
        <w:t xml:space="preserve"> </w:t>
      </w:r>
      <w:r w:rsidRPr="00046863">
        <w:rPr>
          <w:rFonts w:eastAsiaTheme="minorEastAsia" w:cs="Arial"/>
          <w:color w:val="000000" w:themeColor="text1"/>
          <w:kern w:val="24"/>
          <w:szCs w:val="28"/>
        </w:rPr>
        <w:t>DOR caseload data, American Community Survey, Bureau of Labor Statistics, Employment Development Department (EDD) Labor Market Information, California Department of Education (CDE) Special Education Enrollment Data, California Department of Corrections and Rehabilitation (CDCR), Homeless Data Integrity System.</w:t>
      </w:r>
    </w:p>
    <w:p w14:paraId="5B9BEA9E" w14:textId="77777777" w:rsidR="00046863" w:rsidRPr="00046863" w:rsidRDefault="00046863" w:rsidP="00046863">
      <w:pPr>
        <w:spacing w:line="216" w:lineRule="auto"/>
        <w:ind w:left="360"/>
        <w:rPr>
          <w:rFonts w:eastAsia="Times New Roman" w:cs="Arial"/>
          <w:szCs w:val="28"/>
        </w:rPr>
      </w:pPr>
    </w:p>
    <w:p w14:paraId="44FD26E3" w14:textId="77777777" w:rsidR="00046863" w:rsidRDefault="00730707" w:rsidP="00046863">
      <w:r w:rsidRPr="00046863">
        <w:t>Qualitative data sources may include:</w:t>
      </w:r>
    </w:p>
    <w:p w14:paraId="1E3A8693" w14:textId="29CD5330" w:rsidR="00730707" w:rsidRPr="00046863" w:rsidRDefault="00730707" w:rsidP="00455103">
      <w:pPr>
        <w:pStyle w:val="ListParagraph"/>
        <w:numPr>
          <w:ilvl w:val="0"/>
          <w:numId w:val="8"/>
        </w:numPr>
        <w:rPr>
          <w:rFonts w:eastAsia="Times New Roman"/>
        </w:rPr>
      </w:pPr>
      <w:r w:rsidRPr="00046863">
        <w:t>Consumer Satisfaction Survey</w:t>
      </w:r>
    </w:p>
    <w:p w14:paraId="4649673B" w14:textId="77777777" w:rsidR="00730707" w:rsidRPr="00046863" w:rsidRDefault="00730707" w:rsidP="00455103">
      <w:pPr>
        <w:pStyle w:val="ListParagraph"/>
        <w:numPr>
          <w:ilvl w:val="0"/>
          <w:numId w:val="8"/>
        </w:numPr>
        <w:rPr>
          <w:b/>
        </w:rPr>
      </w:pPr>
      <w:r w:rsidRPr="00046863">
        <w:t>Business Satisfaction Survey</w:t>
      </w:r>
    </w:p>
    <w:p w14:paraId="090A1442" w14:textId="77777777" w:rsidR="00730707" w:rsidRPr="00046863" w:rsidRDefault="00730707" w:rsidP="00455103">
      <w:pPr>
        <w:pStyle w:val="ListParagraph"/>
        <w:numPr>
          <w:ilvl w:val="0"/>
          <w:numId w:val="8"/>
        </w:numPr>
        <w:rPr>
          <w:b/>
        </w:rPr>
      </w:pPr>
      <w:r w:rsidRPr="00046863">
        <w:t>Counselor Survey</w:t>
      </w:r>
    </w:p>
    <w:p w14:paraId="62B7E8F0" w14:textId="77777777" w:rsidR="00730707" w:rsidRPr="00046863" w:rsidRDefault="00730707" w:rsidP="00455103">
      <w:pPr>
        <w:pStyle w:val="ListParagraph"/>
        <w:numPr>
          <w:ilvl w:val="0"/>
          <w:numId w:val="8"/>
        </w:numPr>
        <w:rPr>
          <w:b/>
        </w:rPr>
      </w:pPr>
      <w:r w:rsidRPr="00046863">
        <w:t>Consumer Survey (VR, PE, SE, P1)</w:t>
      </w:r>
    </w:p>
    <w:p w14:paraId="44702B89" w14:textId="0843E4F1" w:rsidR="00730707" w:rsidRPr="00046863" w:rsidRDefault="00730707" w:rsidP="00455103">
      <w:pPr>
        <w:pStyle w:val="ListParagraph"/>
        <w:numPr>
          <w:ilvl w:val="0"/>
          <w:numId w:val="8"/>
        </w:numPr>
      </w:pPr>
      <w:r w:rsidRPr="00046863">
        <w:t>Key informant interviews</w:t>
      </w:r>
    </w:p>
    <w:p w14:paraId="1E42F346" w14:textId="77777777" w:rsidR="00730707" w:rsidRPr="00046863" w:rsidRDefault="00730707" w:rsidP="00046863">
      <w:pPr>
        <w:pStyle w:val="Heading2"/>
      </w:pPr>
      <w:r w:rsidRPr="00046863">
        <w:lastRenderedPageBreak/>
        <w:t>Slide 5: Results from the CSA are used to develop recommendations and strategies</w:t>
      </w:r>
    </w:p>
    <w:p w14:paraId="4B7A5A8E" w14:textId="30C6BF1F" w:rsidR="00730707" w:rsidRDefault="00730707" w:rsidP="00046863">
      <w:r w:rsidRPr="00046863">
        <w:t>One of the deliverables of the CSA is to develop a range of potential strategies for each major area of need that has been identified in the results.</w:t>
      </w:r>
      <w:r w:rsidR="00046863">
        <w:t xml:space="preserve"> </w:t>
      </w:r>
      <w:r w:rsidRPr="00046863">
        <w:rPr>
          <w:rFonts w:cs="Arial"/>
          <w:szCs w:val="28"/>
        </w:rPr>
        <w:t>Sources of strategies may include recommendations from key informants, stakeholders, the SRC, literature on evidenced-based practices, and VR counselors, managers, and leadership.</w:t>
      </w:r>
      <w:r w:rsidR="00046863">
        <w:t xml:space="preserve"> </w:t>
      </w:r>
      <w:r w:rsidRPr="00046863">
        <w:t>The CSA results and strategies are used in DOR's State Plan to inform the priorities, goals, and objectives. They can also be used to inform policy decisions and potential outreach needed to identified communities.</w:t>
      </w:r>
    </w:p>
    <w:p w14:paraId="40D6AD3D" w14:textId="77777777" w:rsidR="00046863" w:rsidRPr="00046863" w:rsidRDefault="00046863" w:rsidP="00046863"/>
    <w:p w14:paraId="2FF0D261" w14:textId="77777777" w:rsidR="00730707" w:rsidRPr="00046863" w:rsidRDefault="00730707" w:rsidP="00046863">
      <w:pPr>
        <w:pStyle w:val="Heading2"/>
      </w:pPr>
      <w:r w:rsidRPr="00046863">
        <w:t>Slide 6: CSA Timelines</w:t>
      </w:r>
    </w:p>
    <w:p w14:paraId="44C39015" w14:textId="77777777" w:rsidR="00730707" w:rsidRPr="00046863" w:rsidRDefault="00730707" w:rsidP="00455103">
      <w:pPr>
        <w:pStyle w:val="ListParagraph"/>
        <w:numPr>
          <w:ilvl w:val="0"/>
          <w:numId w:val="9"/>
        </w:numPr>
        <w:spacing w:line="259" w:lineRule="auto"/>
        <w:rPr>
          <w:rFonts w:cs="Arial"/>
          <w:szCs w:val="28"/>
        </w:rPr>
      </w:pPr>
      <w:r w:rsidRPr="00046863">
        <w:rPr>
          <w:rFonts w:cs="Arial"/>
          <w:szCs w:val="28"/>
        </w:rPr>
        <w:t>Brainstorm and Develop Research Plan</w:t>
      </w:r>
    </w:p>
    <w:p w14:paraId="1D7B3BFD" w14:textId="5424C119" w:rsidR="00730707" w:rsidRPr="00046863" w:rsidRDefault="00730707" w:rsidP="00455103">
      <w:pPr>
        <w:pStyle w:val="ListParagraph"/>
        <w:numPr>
          <w:ilvl w:val="0"/>
          <w:numId w:val="9"/>
        </w:numPr>
        <w:spacing w:line="259" w:lineRule="auto"/>
        <w:rPr>
          <w:rFonts w:cs="Arial"/>
          <w:szCs w:val="28"/>
        </w:rPr>
      </w:pPr>
      <w:r w:rsidRPr="00046863">
        <w:rPr>
          <w:rFonts w:cs="Arial"/>
          <w:szCs w:val="28"/>
        </w:rPr>
        <w:t>Conduct quantitative data collection and analysis</w:t>
      </w:r>
      <w:r w:rsidR="00046863">
        <w:rPr>
          <w:rFonts w:cs="Arial"/>
          <w:szCs w:val="28"/>
        </w:rPr>
        <w:t>.</w:t>
      </w:r>
    </w:p>
    <w:p w14:paraId="1BB921E5" w14:textId="2110C522" w:rsidR="00730707" w:rsidRPr="00046863" w:rsidRDefault="00730707" w:rsidP="00455103">
      <w:pPr>
        <w:pStyle w:val="ListParagraph"/>
        <w:numPr>
          <w:ilvl w:val="0"/>
          <w:numId w:val="9"/>
        </w:numPr>
        <w:spacing w:line="259" w:lineRule="auto"/>
        <w:rPr>
          <w:rFonts w:cs="Arial"/>
          <w:szCs w:val="28"/>
        </w:rPr>
      </w:pPr>
      <w:r w:rsidRPr="00046863">
        <w:rPr>
          <w:rFonts w:cs="Arial"/>
          <w:szCs w:val="28"/>
        </w:rPr>
        <w:t>Conduct qualitative data collection and analysis</w:t>
      </w:r>
      <w:r w:rsidR="00046863">
        <w:rPr>
          <w:rFonts w:cs="Arial"/>
          <w:szCs w:val="28"/>
        </w:rPr>
        <w:t>.</w:t>
      </w:r>
    </w:p>
    <w:p w14:paraId="2855FE86" w14:textId="1B677628" w:rsidR="00730707" w:rsidRPr="00046863" w:rsidRDefault="00730707" w:rsidP="00455103">
      <w:pPr>
        <w:pStyle w:val="ListParagraph"/>
        <w:numPr>
          <w:ilvl w:val="0"/>
          <w:numId w:val="9"/>
        </w:numPr>
        <w:spacing w:line="259" w:lineRule="auto"/>
        <w:rPr>
          <w:rFonts w:cs="Arial"/>
          <w:szCs w:val="28"/>
        </w:rPr>
      </w:pPr>
      <w:r w:rsidRPr="00046863">
        <w:rPr>
          <w:rFonts w:cs="Arial"/>
          <w:szCs w:val="28"/>
        </w:rPr>
        <w:t>Develop results based on data analysis</w:t>
      </w:r>
      <w:r w:rsidR="00046863">
        <w:rPr>
          <w:rFonts w:cs="Arial"/>
          <w:szCs w:val="28"/>
        </w:rPr>
        <w:t>.</w:t>
      </w:r>
    </w:p>
    <w:p w14:paraId="0612143A" w14:textId="6B2C96F9" w:rsidR="00730707" w:rsidRPr="00046863" w:rsidRDefault="00730707" w:rsidP="00455103">
      <w:pPr>
        <w:pStyle w:val="ListParagraph"/>
        <w:numPr>
          <w:ilvl w:val="0"/>
          <w:numId w:val="9"/>
        </w:numPr>
        <w:spacing w:line="259" w:lineRule="auto"/>
        <w:rPr>
          <w:rFonts w:cs="Arial"/>
          <w:szCs w:val="28"/>
        </w:rPr>
      </w:pPr>
      <w:r w:rsidRPr="00046863">
        <w:rPr>
          <w:rFonts w:cs="Arial"/>
          <w:szCs w:val="28"/>
        </w:rPr>
        <w:t>Use results to facilitate development of recommendations with stakeholders</w:t>
      </w:r>
      <w:r w:rsidR="00046863">
        <w:rPr>
          <w:rFonts w:cs="Arial"/>
          <w:szCs w:val="28"/>
        </w:rPr>
        <w:t>.</w:t>
      </w:r>
    </w:p>
    <w:p w14:paraId="7E9EBBB9" w14:textId="77777777" w:rsidR="00730707" w:rsidRPr="00046863" w:rsidRDefault="00730707" w:rsidP="00455103">
      <w:pPr>
        <w:pStyle w:val="ListParagraph"/>
        <w:numPr>
          <w:ilvl w:val="0"/>
          <w:numId w:val="9"/>
        </w:numPr>
        <w:spacing w:line="259" w:lineRule="auto"/>
        <w:rPr>
          <w:rFonts w:cs="Arial"/>
          <w:szCs w:val="28"/>
        </w:rPr>
      </w:pPr>
      <w:r w:rsidRPr="00046863">
        <w:rPr>
          <w:rFonts w:cs="Arial"/>
          <w:szCs w:val="28"/>
        </w:rPr>
        <w:t xml:space="preserve">Share strategies with Tri-Deputies and SRC </w:t>
      </w:r>
      <w:r w:rsidRPr="00046863">
        <w:rPr>
          <w:rFonts w:cs="Arial"/>
          <w:i/>
          <w:iCs/>
          <w:szCs w:val="28"/>
        </w:rPr>
        <w:t>(Summer 2023)</w:t>
      </w:r>
    </w:p>
    <w:p w14:paraId="2A94B36D" w14:textId="77777777" w:rsidR="00730707" w:rsidRPr="00046863" w:rsidRDefault="00730707" w:rsidP="00455103">
      <w:pPr>
        <w:pStyle w:val="ListParagraph"/>
        <w:numPr>
          <w:ilvl w:val="0"/>
          <w:numId w:val="9"/>
        </w:numPr>
        <w:spacing w:line="259" w:lineRule="auto"/>
        <w:rPr>
          <w:rFonts w:cs="Arial"/>
          <w:i/>
          <w:iCs/>
          <w:szCs w:val="28"/>
        </w:rPr>
      </w:pPr>
      <w:r w:rsidRPr="00046863">
        <w:rPr>
          <w:rFonts w:cs="Arial"/>
          <w:szCs w:val="28"/>
        </w:rPr>
        <w:t xml:space="preserve">Complete final report and submit it to RSA </w:t>
      </w:r>
      <w:r w:rsidRPr="00046863">
        <w:rPr>
          <w:rFonts w:cs="Arial"/>
          <w:i/>
          <w:iCs/>
          <w:szCs w:val="28"/>
        </w:rPr>
        <w:t>(Dec 2023)</w:t>
      </w:r>
    </w:p>
    <w:p w14:paraId="0281EB01" w14:textId="77777777" w:rsidR="00046863" w:rsidRPr="00046863" w:rsidRDefault="00046863" w:rsidP="00046863">
      <w:pPr>
        <w:spacing w:line="259" w:lineRule="auto"/>
        <w:rPr>
          <w:rFonts w:cs="Arial"/>
          <w:szCs w:val="28"/>
        </w:rPr>
      </w:pPr>
    </w:p>
    <w:p w14:paraId="25B422F5" w14:textId="77777777" w:rsidR="00730707" w:rsidRPr="00046863" w:rsidRDefault="00730707" w:rsidP="00046863">
      <w:pPr>
        <w:pStyle w:val="Heading2"/>
      </w:pPr>
      <w:r w:rsidRPr="00046863">
        <w:t>Slide 7: CSA Progress to Date</w:t>
      </w:r>
    </w:p>
    <w:p w14:paraId="0AADD9FD" w14:textId="77777777" w:rsidR="00730707" w:rsidRPr="00046863" w:rsidRDefault="00730707" w:rsidP="00046863">
      <w:r w:rsidRPr="00046863">
        <w:t>General Research</w:t>
      </w:r>
    </w:p>
    <w:p w14:paraId="4A906F3D"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Consumer Satisfaction Survey</w:t>
      </w:r>
    </w:p>
    <w:p w14:paraId="22085712"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Business Satisfaction Survey</w:t>
      </w:r>
    </w:p>
    <w:p w14:paraId="35011433"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Counselor Survey</w:t>
      </w:r>
    </w:p>
    <w:p w14:paraId="0570A705"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Consumer Survey (VR, PE, SE, P1)</w:t>
      </w:r>
    </w:p>
    <w:p w14:paraId="4DC43106"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KI Interviews</w:t>
      </w:r>
    </w:p>
    <w:p w14:paraId="7A999495"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DOR VR population data</w:t>
      </w:r>
    </w:p>
    <w:p w14:paraId="70E61D6C" w14:textId="77777777"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Comparative data (ACS, Homeless, CDCR, etc.)</w:t>
      </w:r>
    </w:p>
    <w:p w14:paraId="4703BDD5" w14:textId="7B8D42BA" w:rsidR="00730707" w:rsidRPr="00046863" w:rsidRDefault="00730707" w:rsidP="00455103">
      <w:pPr>
        <w:pStyle w:val="ListParagraph"/>
        <w:numPr>
          <w:ilvl w:val="0"/>
          <w:numId w:val="10"/>
        </w:numPr>
        <w:spacing w:line="259" w:lineRule="auto"/>
        <w:rPr>
          <w:rFonts w:cs="Arial"/>
          <w:szCs w:val="28"/>
        </w:rPr>
      </w:pPr>
      <w:r w:rsidRPr="00046863">
        <w:rPr>
          <w:rFonts w:cs="Arial"/>
          <w:szCs w:val="28"/>
        </w:rPr>
        <w:t>All sections have been drafted</w:t>
      </w:r>
      <w:r w:rsidR="00046863">
        <w:rPr>
          <w:rFonts w:cs="Arial"/>
          <w:szCs w:val="28"/>
        </w:rPr>
        <w:t>.</w:t>
      </w:r>
    </w:p>
    <w:p w14:paraId="48A3EF6B" w14:textId="77777777" w:rsidR="00046863" w:rsidRPr="00046863" w:rsidRDefault="00046863" w:rsidP="00046863">
      <w:pPr>
        <w:spacing w:line="259" w:lineRule="auto"/>
        <w:rPr>
          <w:rFonts w:cs="Arial"/>
          <w:szCs w:val="28"/>
        </w:rPr>
      </w:pPr>
    </w:p>
    <w:p w14:paraId="0D344C9F" w14:textId="7B170332" w:rsidR="00046863" w:rsidRPr="00046863" w:rsidRDefault="00730707" w:rsidP="00046863">
      <w:pPr>
        <w:pStyle w:val="Heading2"/>
      </w:pPr>
      <w:r w:rsidRPr="00046863">
        <w:t>Slide 8: Qualitative Data Collection: Surveys</w:t>
      </w:r>
    </w:p>
    <w:p w14:paraId="264BB4D0" w14:textId="5C6AEDDE" w:rsidR="00730707" w:rsidRPr="00046863" w:rsidRDefault="00730707" w:rsidP="00046863">
      <w:r w:rsidRPr="00046863">
        <w:t>CONSUMER SURVEY</w:t>
      </w:r>
    </w:p>
    <w:p w14:paraId="41644E6D" w14:textId="77777777" w:rsidR="00730707" w:rsidRPr="00046863" w:rsidRDefault="00730707" w:rsidP="00046863">
      <w:r w:rsidRPr="00046863">
        <w:t>The survey gathered data to help determine needs of individuals with disabilities, such as:</w:t>
      </w:r>
    </w:p>
    <w:p w14:paraId="402194A6" w14:textId="095A3562" w:rsidR="00730707" w:rsidRPr="00046863" w:rsidRDefault="00730707" w:rsidP="00455103">
      <w:pPr>
        <w:pStyle w:val="ListParagraph"/>
        <w:numPr>
          <w:ilvl w:val="0"/>
          <w:numId w:val="11"/>
        </w:numPr>
        <w:spacing w:line="259" w:lineRule="auto"/>
        <w:rPr>
          <w:rFonts w:cs="Arial"/>
          <w:szCs w:val="28"/>
        </w:rPr>
      </w:pPr>
      <w:r w:rsidRPr="00046863">
        <w:rPr>
          <w:rFonts w:cs="Arial"/>
          <w:szCs w:val="28"/>
        </w:rPr>
        <w:t xml:space="preserve">Importance of and </w:t>
      </w:r>
      <w:r w:rsidR="00046863">
        <w:rPr>
          <w:rFonts w:cs="Arial"/>
          <w:szCs w:val="28"/>
        </w:rPr>
        <w:t>s</w:t>
      </w:r>
      <w:r w:rsidRPr="00046863">
        <w:rPr>
          <w:rFonts w:cs="Arial"/>
          <w:szCs w:val="28"/>
        </w:rPr>
        <w:t>atisfaction with Student Services</w:t>
      </w:r>
    </w:p>
    <w:p w14:paraId="6350711B" w14:textId="77777777" w:rsidR="00730707" w:rsidRPr="00046863" w:rsidRDefault="00730707" w:rsidP="00455103">
      <w:pPr>
        <w:pStyle w:val="ListParagraph"/>
        <w:numPr>
          <w:ilvl w:val="0"/>
          <w:numId w:val="11"/>
        </w:numPr>
        <w:spacing w:line="259" w:lineRule="auto"/>
        <w:rPr>
          <w:rFonts w:cs="Arial"/>
          <w:szCs w:val="28"/>
        </w:rPr>
      </w:pPr>
      <w:r w:rsidRPr="00046863">
        <w:rPr>
          <w:rFonts w:cs="Arial"/>
          <w:szCs w:val="28"/>
        </w:rPr>
        <w:t>Technology access and use </w:t>
      </w:r>
    </w:p>
    <w:p w14:paraId="200FF99E" w14:textId="77777777" w:rsidR="00730707" w:rsidRPr="00046863" w:rsidRDefault="00730707" w:rsidP="00455103">
      <w:pPr>
        <w:pStyle w:val="ListParagraph"/>
        <w:numPr>
          <w:ilvl w:val="0"/>
          <w:numId w:val="11"/>
        </w:numPr>
        <w:spacing w:line="259" w:lineRule="auto"/>
        <w:rPr>
          <w:rFonts w:cs="Arial"/>
          <w:szCs w:val="28"/>
        </w:rPr>
      </w:pPr>
      <w:r w:rsidRPr="00046863">
        <w:rPr>
          <w:rFonts w:cs="Arial"/>
          <w:szCs w:val="28"/>
        </w:rPr>
        <w:t>Impacts of the pandemic on services and employment</w:t>
      </w:r>
    </w:p>
    <w:p w14:paraId="1FE7EFF4" w14:textId="77777777" w:rsidR="00730707" w:rsidRPr="00046863" w:rsidRDefault="00730707" w:rsidP="00455103">
      <w:pPr>
        <w:pStyle w:val="ListParagraph"/>
        <w:numPr>
          <w:ilvl w:val="0"/>
          <w:numId w:val="11"/>
        </w:numPr>
        <w:spacing w:line="259" w:lineRule="auto"/>
        <w:rPr>
          <w:rFonts w:cs="Arial"/>
          <w:szCs w:val="28"/>
        </w:rPr>
      </w:pPr>
      <w:r w:rsidRPr="00046863">
        <w:rPr>
          <w:rFonts w:cs="Arial"/>
          <w:szCs w:val="28"/>
        </w:rPr>
        <w:t>Workforce development system involvement</w:t>
      </w:r>
    </w:p>
    <w:p w14:paraId="70D14D94" w14:textId="77777777" w:rsidR="009431BF" w:rsidRDefault="00730707" w:rsidP="00455103">
      <w:pPr>
        <w:pStyle w:val="ListParagraph"/>
        <w:numPr>
          <w:ilvl w:val="0"/>
          <w:numId w:val="11"/>
        </w:numPr>
        <w:spacing w:line="259" w:lineRule="auto"/>
        <w:rPr>
          <w:rFonts w:cs="Arial"/>
          <w:szCs w:val="28"/>
        </w:rPr>
      </w:pPr>
      <w:r w:rsidRPr="00046863">
        <w:rPr>
          <w:rFonts w:cs="Arial"/>
          <w:szCs w:val="28"/>
        </w:rPr>
        <w:t>Transportation Issues</w:t>
      </w:r>
    </w:p>
    <w:p w14:paraId="6599CBB3" w14:textId="6ED808AA" w:rsidR="00730707" w:rsidRPr="009431BF" w:rsidRDefault="00730707" w:rsidP="00455103">
      <w:pPr>
        <w:pStyle w:val="ListParagraph"/>
        <w:numPr>
          <w:ilvl w:val="0"/>
          <w:numId w:val="11"/>
        </w:numPr>
        <w:spacing w:line="259" w:lineRule="auto"/>
        <w:rPr>
          <w:rFonts w:cs="Arial"/>
          <w:szCs w:val="28"/>
        </w:rPr>
      </w:pPr>
      <w:r w:rsidRPr="009431BF">
        <w:rPr>
          <w:rFonts w:cs="Arial"/>
          <w:szCs w:val="28"/>
        </w:rPr>
        <w:t>Desirable trainings and services</w:t>
      </w:r>
    </w:p>
    <w:p w14:paraId="58286F89" w14:textId="77777777" w:rsidR="00730707" w:rsidRPr="00046863" w:rsidRDefault="00730707" w:rsidP="009431BF">
      <w:r w:rsidRPr="00046863">
        <w:lastRenderedPageBreak/>
        <w:t>COUNSELOR SURVEY</w:t>
      </w:r>
    </w:p>
    <w:p w14:paraId="224BCEFC" w14:textId="77777777" w:rsidR="00730707" w:rsidRPr="00046863" w:rsidRDefault="00730707" w:rsidP="009431BF">
      <w:r w:rsidRPr="00046863">
        <w:t>The survey gathered data to help determine counselors’ experiences with:</w:t>
      </w:r>
    </w:p>
    <w:p w14:paraId="515068D2" w14:textId="77777777" w:rsidR="00730707" w:rsidRPr="009431BF" w:rsidRDefault="00730707" w:rsidP="00455103">
      <w:pPr>
        <w:pStyle w:val="ListParagraph"/>
        <w:numPr>
          <w:ilvl w:val="0"/>
          <w:numId w:val="12"/>
        </w:numPr>
        <w:rPr>
          <w:rFonts w:cs="Arial"/>
          <w:szCs w:val="28"/>
        </w:rPr>
      </w:pPr>
      <w:r w:rsidRPr="009431BF">
        <w:rPr>
          <w:rFonts w:eastAsiaTheme="minorEastAsia" w:cs="Arial"/>
          <w:szCs w:val="28"/>
        </w:rPr>
        <w:t>Consumer geographic areas and referral sources</w:t>
      </w:r>
    </w:p>
    <w:p w14:paraId="14D220E0" w14:textId="77777777" w:rsidR="00730707" w:rsidRPr="009431BF" w:rsidRDefault="00730707" w:rsidP="00455103">
      <w:pPr>
        <w:pStyle w:val="ListParagraph"/>
        <w:numPr>
          <w:ilvl w:val="0"/>
          <w:numId w:val="12"/>
        </w:numPr>
        <w:rPr>
          <w:rFonts w:cs="Arial"/>
          <w:szCs w:val="28"/>
        </w:rPr>
      </w:pPr>
      <w:r w:rsidRPr="009431BF">
        <w:rPr>
          <w:rFonts w:eastAsiaTheme="minorEastAsia" w:cs="Arial"/>
          <w:szCs w:val="28"/>
        </w:rPr>
        <w:t>Consumer technology access and use</w:t>
      </w:r>
    </w:p>
    <w:p w14:paraId="5C43EA05" w14:textId="77777777" w:rsidR="00730707" w:rsidRPr="009431BF" w:rsidRDefault="00730707" w:rsidP="00455103">
      <w:pPr>
        <w:pStyle w:val="ListParagraph"/>
        <w:numPr>
          <w:ilvl w:val="0"/>
          <w:numId w:val="12"/>
        </w:numPr>
        <w:rPr>
          <w:rFonts w:cs="Arial"/>
          <w:szCs w:val="28"/>
        </w:rPr>
      </w:pPr>
      <w:r w:rsidRPr="009431BF">
        <w:rPr>
          <w:rFonts w:eastAsiaTheme="minorEastAsia" w:cs="Arial"/>
          <w:szCs w:val="28"/>
        </w:rPr>
        <w:t>Un/underserved populations and barriers to employment</w:t>
      </w:r>
    </w:p>
    <w:p w14:paraId="3475A7F2" w14:textId="77777777" w:rsidR="00730707" w:rsidRPr="009431BF" w:rsidRDefault="00730707" w:rsidP="00455103">
      <w:pPr>
        <w:pStyle w:val="ListParagraph"/>
        <w:numPr>
          <w:ilvl w:val="0"/>
          <w:numId w:val="12"/>
        </w:numPr>
        <w:rPr>
          <w:rFonts w:cs="Arial"/>
          <w:szCs w:val="28"/>
        </w:rPr>
      </w:pPr>
      <w:r w:rsidRPr="009431BF">
        <w:rPr>
          <w:rFonts w:eastAsiaTheme="minorEastAsia" w:cs="Arial"/>
          <w:szCs w:val="28"/>
        </w:rPr>
        <w:t>Community Rehabilitation Partners (CRPs)</w:t>
      </w:r>
    </w:p>
    <w:p w14:paraId="3A72512C" w14:textId="77777777" w:rsidR="009431BF" w:rsidRDefault="009431BF" w:rsidP="009431BF"/>
    <w:p w14:paraId="20B8B87F" w14:textId="3263D1BF" w:rsidR="00730707" w:rsidRPr="00046863" w:rsidRDefault="00730707" w:rsidP="009431BF">
      <w:pPr>
        <w:pStyle w:val="Heading2"/>
      </w:pPr>
      <w:r w:rsidRPr="00046863">
        <w:t xml:space="preserve">Slide 9: </w:t>
      </w:r>
      <w:r w:rsidRPr="009431BF">
        <w:t>Qualitative</w:t>
      </w:r>
      <w:r w:rsidRPr="00046863">
        <w:t xml:space="preserve"> Data Collection: Key Informant Interviews</w:t>
      </w:r>
    </w:p>
    <w:p w14:paraId="698AA1D9" w14:textId="77777777" w:rsidR="00730707" w:rsidRPr="00046863" w:rsidRDefault="00730707" w:rsidP="009431BF">
      <w:r w:rsidRPr="00046863">
        <w:t>KEY INFORMANT INTERVIEWS</w:t>
      </w:r>
    </w:p>
    <w:p w14:paraId="066FE724" w14:textId="77777777" w:rsidR="00730707" w:rsidRPr="00046863" w:rsidRDefault="00730707" w:rsidP="00046863">
      <w:pPr>
        <w:rPr>
          <w:rFonts w:cs="Arial"/>
          <w:szCs w:val="28"/>
        </w:rPr>
      </w:pPr>
      <w:r w:rsidRPr="00046863">
        <w:rPr>
          <w:rFonts w:cs="Arial"/>
          <w:szCs w:val="28"/>
        </w:rPr>
        <w:t>Obtained non-profit organization recommendations from the SRC and DOR advisory bodies (CCEPD, DHHAC, BAC).</w:t>
      </w:r>
    </w:p>
    <w:p w14:paraId="0E02F35F" w14:textId="77777777" w:rsidR="00730707" w:rsidRPr="009431BF" w:rsidRDefault="00730707" w:rsidP="00455103">
      <w:pPr>
        <w:pStyle w:val="ListParagraph"/>
        <w:numPr>
          <w:ilvl w:val="0"/>
          <w:numId w:val="13"/>
        </w:numPr>
        <w:rPr>
          <w:rFonts w:cs="Arial"/>
          <w:szCs w:val="28"/>
        </w:rPr>
      </w:pPr>
      <w:r w:rsidRPr="009431BF">
        <w:rPr>
          <w:rFonts w:cs="Arial"/>
          <w:szCs w:val="28"/>
        </w:rPr>
        <w:t>Interview participants included: </w:t>
      </w:r>
    </w:p>
    <w:p w14:paraId="223F4C32"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California Family Life Center (foster youth)</w:t>
      </w:r>
    </w:p>
    <w:p w14:paraId="715AD4FB"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Life Moves (homelessness)</w:t>
      </w:r>
    </w:p>
    <w:p w14:paraId="44A99193"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State Rehabilitation Council (SRC)</w:t>
      </w:r>
    </w:p>
    <w:p w14:paraId="38429FED"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San Luis Obispo County Office of Probation</w:t>
      </w:r>
    </w:p>
    <w:p w14:paraId="6EFE13AC"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DOR Regional Directors, Managers, etc.</w:t>
      </w:r>
    </w:p>
    <w:p w14:paraId="24459FC1" w14:textId="77777777" w:rsidR="00730707" w:rsidRPr="009431BF" w:rsidRDefault="00730707" w:rsidP="00455103">
      <w:pPr>
        <w:pStyle w:val="ListParagraph"/>
        <w:numPr>
          <w:ilvl w:val="0"/>
          <w:numId w:val="13"/>
        </w:numPr>
        <w:spacing w:line="259" w:lineRule="auto"/>
        <w:rPr>
          <w:rFonts w:cs="Arial"/>
          <w:szCs w:val="28"/>
        </w:rPr>
      </w:pPr>
      <w:r w:rsidRPr="009431BF">
        <w:rPr>
          <w:rFonts w:cs="Arial"/>
          <w:szCs w:val="28"/>
        </w:rPr>
        <w:t>Workforce Development Department</w:t>
      </w:r>
    </w:p>
    <w:p w14:paraId="1E0E62BE" w14:textId="77777777" w:rsidR="00730707" w:rsidRPr="00046863" w:rsidRDefault="00730707" w:rsidP="009431BF">
      <w:pPr>
        <w:spacing w:line="259" w:lineRule="auto"/>
        <w:rPr>
          <w:rFonts w:cs="Arial"/>
          <w:szCs w:val="28"/>
        </w:rPr>
      </w:pPr>
      <w:r w:rsidRPr="00046863">
        <w:rPr>
          <w:rFonts w:cs="Arial"/>
          <w:szCs w:val="28"/>
        </w:rPr>
        <w:t>Questions were focused on unserved and underserved individuals with disabilities. </w:t>
      </w:r>
    </w:p>
    <w:p w14:paraId="28EECC45" w14:textId="77777777" w:rsidR="00730707" w:rsidRPr="00046863" w:rsidRDefault="00730707" w:rsidP="00046863">
      <w:pPr>
        <w:rPr>
          <w:rFonts w:cs="Arial"/>
          <w:b/>
          <w:bCs/>
          <w:szCs w:val="28"/>
        </w:rPr>
      </w:pPr>
    </w:p>
    <w:p w14:paraId="6C1F4436" w14:textId="0F8172AE" w:rsidR="00730707" w:rsidRPr="00046863" w:rsidRDefault="00730707" w:rsidP="009431BF">
      <w:pPr>
        <w:pStyle w:val="Heading2"/>
      </w:pPr>
      <w:r w:rsidRPr="00046863">
        <w:t>Slide 1</w:t>
      </w:r>
      <w:r w:rsidR="009431BF">
        <w:t>0</w:t>
      </w:r>
      <w:r w:rsidRPr="00046863">
        <w:t>: Next Steps</w:t>
      </w:r>
    </w:p>
    <w:p w14:paraId="0688C0F5" w14:textId="77777777" w:rsidR="00730707" w:rsidRPr="009431BF" w:rsidRDefault="00730707" w:rsidP="00455103">
      <w:pPr>
        <w:pStyle w:val="ListParagraph"/>
        <w:numPr>
          <w:ilvl w:val="0"/>
          <w:numId w:val="14"/>
        </w:numPr>
        <w:rPr>
          <w:rFonts w:cs="Arial"/>
          <w:szCs w:val="28"/>
        </w:rPr>
      </w:pPr>
      <w:r w:rsidRPr="009431BF">
        <w:rPr>
          <w:rFonts w:cs="Arial"/>
          <w:szCs w:val="28"/>
        </w:rPr>
        <w:t>CSA is one source that informs the Unified State Plan, due July 2024. </w:t>
      </w:r>
    </w:p>
    <w:p w14:paraId="475F3BDD" w14:textId="77777777" w:rsidR="00730707" w:rsidRPr="009431BF" w:rsidRDefault="00730707" w:rsidP="00455103">
      <w:pPr>
        <w:pStyle w:val="ListParagraph"/>
        <w:numPr>
          <w:ilvl w:val="0"/>
          <w:numId w:val="14"/>
        </w:numPr>
        <w:rPr>
          <w:rFonts w:cs="Arial"/>
          <w:szCs w:val="28"/>
        </w:rPr>
      </w:pPr>
      <w:r w:rsidRPr="009431BF">
        <w:rPr>
          <w:rFonts w:cs="Arial"/>
          <w:szCs w:val="28"/>
        </w:rPr>
        <w:t>Develop recommendations.</w:t>
      </w:r>
    </w:p>
    <w:p w14:paraId="2B88645A" w14:textId="77777777" w:rsidR="00730707" w:rsidRPr="009431BF" w:rsidRDefault="00730707" w:rsidP="00455103">
      <w:pPr>
        <w:pStyle w:val="ListParagraph"/>
        <w:numPr>
          <w:ilvl w:val="0"/>
          <w:numId w:val="14"/>
        </w:numPr>
        <w:rPr>
          <w:rFonts w:cs="Arial"/>
          <w:szCs w:val="28"/>
        </w:rPr>
      </w:pPr>
      <w:r w:rsidRPr="009431BF">
        <w:rPr>
          <w:rFonts w:cs="Arial"/>
          <w:szCs w:val="28"/>
        </w:rPr>
        <w:t>Tie in other reports, such as Consumer Satisfaction Survey</w:t>
      </w:r>
    </w:p>
    <w:p w14:paraId="2A7EAD15" w14:textId="77777777" w:rsidR="00730707" w:rsidRPr="009431BF" w:rsidRDefault="00730707" w:rsidP="00455103">
      <w:pPr>
        <w:pStyle w:val="ListParagraph"/>
        <w:numPr>
          <w:ilvl w:val="0"/>
          <w:numId w:val="14"/>
        </w:numPr>
        <w:rPr>
          <w:rFonts w:cs="Arial"/>
          <w:szCs w:val="28"/>
        </w:rPr>
      </w:pPr>
      <w:r w:rsidRPr="009431BF">
        <w:rPr>
          <w:rFonts w:cs="Arial"/>
          <w:szCs w:val="28"/>
        </w:rPr>
        <w:t>Work with SRC State Plan Committee</w:t>
      </w:r>
    </w:p>
    <w:p w14:paraId="4B49DFE8" w14:textId="77777777" w:rsidR="009431BF" w:rsidRPr="00046863" w:rsidRDefault="009431BF" w:rsidP="009431BF">
      <w:pPr>
        <w:rPr>
          <w:rFonts w:cs="Arial"/>
          <w:szCs w:val="28"/>
        </w:rPr>
      </w:pPr>
    </w:p>
    <w:p w14:paraId="220940A5" w14:textId="3773661B" w:rsidR="009431BF" w:rsidRDefault="009431BF" w:rsidP="00046863">
      <w:pPr>
        <w:rPr>
          <w:rFonts w:cs="Arial"/>
          <w:b/>
          <w:bCs/>
          <w:szCs w:val="28"/>
        </w:rPr>
      </w:pPr>
      <w:r>
        <w:rPr>
          <w:rFonts w:cs="Arial"/>
          <w:b/>
          <w:bCs/>
          <w:szCs w:val="28"/>
        </w:rPr>
        <w:t>Slide 11: Questions</w:t>
      </w:r>
    </w:p>
    <w:p w14:paraId="2455A771" w14:textId="70986EC2" w:rsidR="009431BF" w:rsidRDefault="009431BF" w:rsidP="009431BF">
      <w:r>
        <w:t>Any questions, comments, or concerns?</w:t>
      </w:r>
    </w:p>
    <w:p w14:paraId="798B3046" w14:textId="77777777" w:rsidR="009431BF" w:rsidRDefault="009431BF" w:rsidP="00046863">
      <w:pPr>
        <w:rPr>
          <w:rFonts w:cs="Arial"/>
          <w:b/>
          <w:bCs/>
          <w:szCs w:val="28"/>
        </w:rPr>
      </w:pPr>
    </w:p>
    <w:p w14:paraId="534F4410" w14:textId="592FC8AD" w:rsidR="009431BF" w:rsidRPr="009431BF" w:rsidRDefault="009431BF" w:rsidP="009431BF">
      <w:pPr>
        <w:pStyle w:val="Heading2"/>
      </w:pPr>
      <w:r>
        <w:t xml:space="preserve">Slide 12: </w:t>
      </w:r>
      <w:r w:rsidR="00730707" w:rsidRPr="00046863">
        <w:t>DOR’s Planning Unit Contact Information</w:t>
      </w:r>
    </w:p>
    <w:p w14:paraId="1031B14E" w14:textId="6C1DA4C4" w:rsidR="009431BF" w:rsidRPr="009431BF" w:rsidRDefault="00730707" w:rsidP="00455103">
      <w:pPr>
        <w:pStyle w:val="ListParagraph"/>
        <w:numPr>
          <w:ilvl w:val="0"/>
          <w:numId w:val="15"/>
        </w:numPr>
      </w:pPr>
      <w:r w:rsidRPr="009431BF">
        <w:t>Peter Frangel</w:t>
      </w:r>
      <w:r w:rsidR="009431BF" w:rsidRPr="009431BF">
        <w:t xml:space="preserve">, </w:t>
      </w:r>
      <w:r w:rsidRPr="009431BF">
        <w:t>Executive Advisor</w:t>
      </w:r>
      <w:r w:rsidR="009431BF" w:rsidRPr="009431BF">
        <w:t xml:space="preserve">, </w:t>
      </w:r>
      <w:r w:rsidR="009431BF" w:rsidRPr="009431BF">
        <w:rPr>
          <w:rFonts w:cs="Arial"/>
          <w:szCs w:val="28"/>
        </w:rPr>
        <w:t>Peter.Frangel@dor.ca.gov</w:t>
      </w:r>
      <w:r w:rsidRPr="009431BF">
        <w:t xml:space="preserve"> </w:t>
      </w:r>
    </w:p>
    <w:p w14:paraId="1A896908" w14:textId="63CF7BB8" w:rsidR="00730707" w:rsidRPr="009431BF" w:rsidRDefault="00730707" w:rsidP="00455103">
      <w:pPr>
        <w:pStyle w:val="ListParagraph"/>
        <w:numPr>
          <w:ilvl w:val="0"/>
          <w:numId w:val="15"/>
        </w:numPr>
      </w:pPr>
      <w:r w:rsidRPr="009431BF">
        <w:t>Marla Harper</w:t>
      </w:r>
      <w:r w:rsidR="009431BF" w:rsidRPr="009431BF">
        <w:t xml:space="preserve">, </w:t>
      </w:r>
      <w:r w:rsidRPr="009431BF">
        <w:t>Research Data Analyst II</w:t>
      </w:r>
      <w:r w:rsidR="009431BF" w:rsidRPr="009431BF">
        <w:t xml:space="preserve">, </w:t>
      </w:r>
      <w:r w:rsidR="009431BF" w:rsidRPr="009431BF">
        <w:rPr>
          <w:rFonts w:cs="Arial"/>
          <w:szCs w:val="28"/>
          <w:lang w:val="es-MX"/>
        </w:rPr>
        <w:t>Marla.Harper@dor.ca.gov</w:t>
      </w:r>
      <w:r w:rsidRPr="009431BF">
        <w:rPr>
          <w:lang w:val="es-MX"/>
        </w:rPr>
        <w:t xml:space="preserve"> </w:t>
      </w:r>
    </w:p>
    <w:p w14:paraId="6BA11A3C" w14:textId="4A4FB1D7" w:rsidR="00730707" w:rsidRPr="009431BF" w:rsidRDefault="00730707" w:rsidP="00455103">
      <w:pPr>
        <w:pStyle w:val="ListParagraph"/>
        <w:numPr>
          <w:ilvl w:val="0"/>
          <w:numId w:val="15"/>
        </w:numPr>
        <w:rPr>
          <w:lang w:val="es-MX"/>
        </w:rPr>
      </w:pPr>
      <w:r w:rsidRPr="009431BF">
        <w:rPr>
          <w:lang w:val="es-MX"/>
        </w:rPr>
        <w:t xml:space="preserve">Judy </w:t>
      </w:r>
      <w:proofErr w:type="spellStart"/>
      <w:r w:rsidRPr="009431BF">
        <w:rPr>
          <w:lang w:val="es-MX"/>
        </w:rPr>
        <w:t>Gonzalez</w:t>
      </w:r>
      <w:proofErr w:type="spellEnd"/>
      <w:r w:rsidR="009431BF" w:rsidRPr="009431BF">
        <w:rPr>
          <w:lang w:val="es-MX"/>
        </w:rPr>
        <w:t xml:space="preserve">, </w:t>
      </w:r>
      <w:r w:rsidRPr="009431BF">
        <w:t>Research Data Analyst II</w:t>
      </w:r>
      <w:r w:rsidR="009431BF" w:rsidRPr="009431BF">
        <w:rPr>
          <w:lang w:val="es-MX"/>
        </w:rPr>
        <w:t xml:space="preserve">, </w:t>
      </w:r>
      <w:r w:rsidR="009431BF" w:rsidRPr="009431BF">
        <w:rPr>
          <w:rFonts w:cs="Arial"/>
          <w:szCs w:val="28"/>
        </w:rPr>
        <w:t>Judy.Gonzalez@dor.ca.gov</w:t>
      </w:r>
      <w:r w:rsidRPr="009431BF">
        <w:t xml:space="preserve"> </w:t>
      </w:r>
    </w:p>
    <w:p w14:paraId="27D11898" w14:textId="685DDB32" w:rsidR="00730707" w:rsidRPr="009431BF" w:rsidRDefault="00730707" w:rsidP="00455103">
      <w:pPr>
        <w:pStyle w:val="ListParagraph"/>
        <w:numPr>
          <w:ilvl w:val="0"/>
          <w:numId w:val="15"/>
        </w:numPr>
      </w:pPr>
      <w:r w:rsidRPr="009431BF">
        <w:t xml:space="preserve">Antoinette </w:t>
      </w:r>
      <w:proofErr w:type="spellStart"/>
      <w:r w:rsidRPr="009431BF">
        <w:t>Deboisblanc</w:t>
      </w:r>
      <w:proofErr w:type="spellEnd"/>
      <w:r w:rsidR="009431BF" w:rsidRPr="009431BF">
        <w:t xml:space="preserve">, </w:t>
      </w:r>
      <w:r w:rsidRPr="009431BF">
        <w:t>Associate Governmental Program Analyst</w:t>
      </w:r>
      <w:r w:rsidR="009431BF" w:rsidRPr="009431BF">
        <w:t xml:space="preserve">, </w:t>
      </w:r>
      <w:r w:rsidR="009431BF" w:rsidRPr="009431BF">
        <w:rPr>
          <w:rFonts w:cs="Arial"/>
          <w:szCs w:val="28"/>
        </w:rPr>
        <w:t>Antoinette.Deboisblanc@dor.ca.gov</w:t>
      </w:r>
      <w:r w:rsidRPr="009431BF">
        <w:t xml:space="preserve"> </w:t>
      </w:r>
    </w:p>
    <w:bookmarkEnd w:id="0"/>
    <w:bookmarkEnd w:id="14"/>
    <w:bookmarkEnd w:id="1"/>
    <w:p w14:paraId="7FC73A46" w14:textId="49E19376" w:rsidR="000D2EB9" w:rsidRDefault="000D2EB9">
      <w:r>
        <w:br w:type="page"/>
      </w:r>
    </w:p>
    <w:p w14:paraId="6DE3007D" w14:textId="10783285" w:rsidR="00730707" w:rsidRDefault="000D2EB9" w:rsidP="000D2EB9">
      <w:pPr>
        <w:pStyle w:val="Heading1"/>
      </w:pPr>
      <w:bookmarkStart w:id="18" w:name="_Appendix_D:_Monitoring"/>
      <w:bookmarkEnd w:id="18"/>
      <w:r>
        <w:lastRenderedPageBreak/>
        <w:t>Appendix D: Monitoring and Evaluation Committee Presentation</w:t>
      </w:r>
    </w:p>
    <w:p w14:paraId="0C7F6569" w14:textId="77777777" w:rsidR="000D2EB9" w:rsidRDefault="000D2EB9" w:rsidP="000D2EB9">
      <w:r>
        <w:t>Word document version of the PowerPoint presentation of the SFY 2021-22 Consumer Satisfaction Survey (CSS) Results and Dashboard prepared by the Planning Unit at the Department of Rehabilitation (DOR).</w:t>
      </w:r>
    </w:p>
    <w:p w14:paraId="2585393F" w14:textId="77777777" w:rsidR="000D2EB9" w:rsidRDefault="000D2EB9" w:rsidP="000D2EB9"/>
    <w:p w14:paraId="0E6236CD" w14:textId="77777777" w:rsidR="000D2EB9" w:rsidRPr="00DC182C" w:rsidRDefault="000D2EB9" w:rsidP="000D2EB9">
      <w:pPr>
        <w:pStyle w:val="Heading2"/>
      </w:pPr>
      <w:r w:rsidRPr="00DC182C">
        <w:t xml:space="preserve">SLIDE 1: Exploring Consumer Satisfaction </w:t>
      </w:r>
    </w:p>
    <w:p w14:paraId="0600FC5B" w14:textId="470EC329" w:rsidR="000D2EB9" w:rsidRDefault="000D2EB9" w:rsidP="000D2EB9">
      <w:r w:rsidRPr="00DC182C">
        <w:t>Presentation</w:t>
      </w:r>
      <w:r>
        <w:t xml:space="preserve"> June 8, 2023</w:t>
      </w:r>
    </w:p>
    <w:p w14:paraId="134F14E8" w14:textId="5BE1D695" w:rsidR="000D2EB9" w:rsidRDefault="000D2EB9" w:rsidP="000D2EB9">
      <w:r>
        <w:t>State Rehabilitation Council: Monitoring and Evaluation Committee Presentation</w:t>
      </w:r>
    </w:p>
    <w:p w14:paraId="4485755D" w14:textId="5A94A76E" w:rsidR="000D2EB9" w:rsidRDefault="000D2EB9" w:rsidP="000D2EB9">
      <w:r w:rsidRPr="00DC182C">
        <w:t>Prepared By</w:t>
      </w:r>
      <w:r>
        <w:t>: Planning Unit, Department of Rehabilitation</w:t>
      </w:r>
    </w:p>
    <w:p w14:paraId="2F868C79" w14:textId="77777777" w:rsidR="000D2EB9" w:rsidRDefault="000D2EB9" w:rsidP="000D2EB9"/>
    <w:p w14:paraId="0C4A3486" w14:textId="29E47359" w:rsidR="000D2EB9" w:rsidRPr="00DC182C" w:rsidRDefault="000D2EB9" w:rsidP="000D2EB9">
      <w:pPr>
        <w:pStyle w:val="Heading2"/>
      </w:pPr>
      <w:r w:rsidRPr="00DC182C">
        <w:t>SLIDE 2</w:t>
      </w:r>
      <w:r>
        <w:t xml:space="preserve">: </w:t>
      </w:r>
      <w:r w:rsidRPr="00DC182C">
        <w:t>Consumer Satisfaction Survey</w:t>
      </w:r>
    </w:p>
    <w:p w14:paraId="15CDC230" w14:textId="77777777" w:rsidR="000D2EB9" w:rsidRPr="00A70F50" w:rsidRDefault="000D2EB9" w:rsidP="008265B2">
      <w:pPr>
        <w:pStyle w:val="ListParagraph"/>
        <w:numPr>
          <w:ilvl w:val="0"/>
          <w:numId w:val="52"/>
        </w:numPr>
        <w:spacing w:after="160" w:line="259" w:lineRule="auto"/>
      </w:pPr>
      <w:r w:rsidRPr="00A70F50">
        <w:t>DOR is responsible for providing high-quality, effective services to its consumers that lead to successful employment outcomes through its Vocational Rehabilitation programs.</w:t>
      </w:r>
    </w:p>
    <w:p w14:paraId="119F662F" w14:textId="77777777" w:rsidR="000D2EB9" w:rsidRPr="00A70F50" w:rsidRDefault="000D2EB9" w:rsidP="008265B2">
      <w:pPr>
        <w:pStyle w:val="ListParagraph"/>
        <w:numPr>
          <w:ilvl w:val="0"/>
          <w:numId w:val="52"/>
        </w:numPr>
        <w:spacing w:after="160" w:line="259" w:lineRule="auto"/>
      </w:pPr>
      <w:r w:rsidRPr="00A70F50">
        <w:t>DOR conducts the Consumer Satisfaction Survey annually (in collaboration with the State Rehabilitation Council).</w:t>
      </w:r>
    </w:p>
    <w:p w14:paraId="2B1FDC23" w14:textId="77777777" w:rsidR="000D2EB9" w:rsidRPr="00A70F50" w:rsidRDefault="000D2EB9" w:rsidP="008265B2">
      <w:pPr>
        <w:pStyle w:val="ListParagraph"/>
        <w:numPr>
          <w:ilvl w:val="0"/>
          <w:numId w:val="52"/>
        </w:numPr>
        <w:spacing w:after="160" w:line="259" w:lineRule="auto"/>
      </w:pPr>
      <w:r w:rsidRPr="00A70F50">
        <w:t>This anonymous survey allows consumers to report their satisfaction with services provided by DOR in the previous state fiscal year.</w:t>
      </w:r>
    </w:p>
    <w:p w14:paraId="004CF400" w14:textId="77777777" w:rsidR="000D2EB9" w:rsidRDefault="000D2EB9" w:rsidP="008265B2">
      <w:pPr>
        <w:pStyle w:val="ListParagraph"/>
        <w:numPr>
          <w:ilvl w:val="0"/>
          <w:numId w:val="52"/>
        </w:numPr>
        <w:spacing w:after="160" w:line="259" w:lineRule="auto"/>
      </w:pPr>
      <w:r w:rsidRPr="00A70F50">
        <w:t>Results from the survey are shared publicly and used as a tool to help improve DOR’s service delivery process.</w:t>
      </w:r>
    </w:p>
    <w:p w14:paraId="233949D7" w14:textId="77777777" w:rsidR="000D2EB9" w:rsidRDefault="000D2EB9" w:rsidP="008265B2">
      <w:pPr>
        <w:pStyle w:val="ListParagraph"/>
        <w:numPr>
          <w:ilvl w:val="0"/>
          <w:numId w:val="52"/>
        </w:numPr>
        <w:spacing w:after="160" w:line="259" w:lineRule="auto"/>
      </w:pPr>
      <w:r>
        <w:t>Separate survey results for Vocational Rehabilitation (VR) consumers and Potentially Eligible (PE) participants.</w:t>
      </w:r>
    </w:p>
    <w:p w14:paraId="136613F4" w14:textId="03639388" w:rsidR="000D2EB9" w:rsidRPr="00DC182C" w:rsidRDefault="000D2EB9" w:rsidP="000D2EB9">
      <w:pPr>
        <w:pStyle w:val="Heading2"/>
      </w:pPr>
      <w:r w:rsidRPr="00DC182C">
        <w:t>SLIDE 3</w:t>
      </w:r>
      <w:r>
        <w:t xml:space="preserve">: </w:t>
      </w:r>
      <w:r w:rsidRPr="00DC182C">
        <w:t>Survey Delivery and Consumer Engagement</w:t>
      </w:r>
    </w:p>
    <w:p w14:paraId="4E182340" w14:textId="77777777" w:rsidR="000D2EB9" w:rsidRPr="00EF62F4" w:rsidRDefault="000D2EB9" w:rsidP="008265B2">
      <w:pPr>
        <w:pStyle w:val="ListParagraph"/>
        <w:numPr>
          <w:ilvl w:val="0"/>
          <w:numId w:val="53"/>
        </w:numPr>
        <w:spacing w:after="160" w:line="259" w:lineRule="auto"/>
      </w:pPr>
      <w:r w:rsidRPr="00EF62F4">
        <w:t>7,365 consumers were invited to complete the survey (7.2% of DOR’s total consumer population in SFY 2021/22)</w:t>
      </w:r>
      <w:r>
        <w:t>.</w:t>
      </w:r>
    </w:p>
    <w:p w14:paraId="0F0D1D27" w14:textId="77777777" w:rsidR="000D2EB9" w:rsidRDefault="000D2EB9" w:rsidP="008265B2">
      <w:pPr>
        <w:pStyle w:val="ListParagraph"/>
        <w:numPr>
          <w:ilvl w:val="0"/>
          <w:numId w:val="53"/>
        </w:numPr>
        <w:spacing w:after="160" w:line="259" w:lineRule="auto"/>
      </w:pPr>
      <w:r w:rsidRPr="00EF62F4">
        <w:t>Surveys were sent using electronic or surface mail and available in five translated languages.</w:t>
      </w:r>
    </w:p>
    <w:p w14:paraId="05241EEA" w14:textId="77777777" w:rsidR="000D2EB9" w:rsidRPr="00EF62F4" w:rsidRDefault="000D2EB9" w:rsidP="008265B2">
      <w:pPr>
        <w:pStyle w:val="ListParagraph"/>
        <w:numPr>
          <w:ilvl w:val="0"/>
          <w:numId w:val="53"/>
        </w:numPr>
        <w:spacing w:after="160" w:line="259" w:lineRule="auto"/>
      </w:pPr>
      <w:r w:rsidRPr="00EF62F4">
        <w:t>944 responses (825 VR and 119 PE) were received (13.7% response rate)</w:t>
      </w:r>
      <w:r>
        <w:t>.</w:t>
      </w:r>
    </w:p>
    <w:p w14:paraId="26303E73" w14:textId="3F493D3E" w:rsidR="000D2EB9" w:rsidRPr="00DC182C" w:rsidRDefault="000D2EB9" w:rsidP="000D2EB9">
      <w:pPr>
        <w:pStyle w:val="Heading2"/>
      </w:pPr>
      <w:r w:rsidRPr="00DC182C">
        <w:t>SLIDE 4</w:t>
      </w:r>
      <w:r>
        <w:t xml:space="preserve">: </w:t>
      </w:r>
      <w:r w:rsidRPr="00DC182C">
        <w:t>Measuring Consumer Satisfaction</w:t>
      </w:r>
    </w:p>
    <w:p w14:paraId="23D8769B" w14:textId="77777777" w:rsidR="000D2EB9" w:rsidRPr="00DC182C" w:rsidRDefault="000D2EB9" w:rsidP="000D2EB9">
      <w:pPr>
        <w:rPr>
          <w:u w:val="single"/>
        </w:rPr>
      </w:pPr>
      <w:r w:rsidRPr="00DC182C">
        <w:rPr>
          <w:u w:val="single"/>
        </w:rPr>
        <w:t>Survey Questions</w:t>
      </w:r>
    </w:p>
    <w:tbl>
      <w:tblPr>
        <w:tblStyle w:val="TableGrid"/>
        <w:tblW w:w="0" w:type="auto"/>
        <w:tblInd w:w="720" w:type="dxa"/>
        <w:tblLook w:val="04A0" w:firstRow="1" w:lastRow="0" w:firstColumn="1" w:lastColumn="0" w:noHBand="0" w:noVBand="1"/>
      </w:tblPr>
      <w:tblGrid>
        <w:gridCol w:w="4675"/>
        <w:gridCol w:w="1710"/>
      </w:tblGrid>
      <w:tr w:rsidR="000D2EB9" w14:paraId="10F2F186" w14:textId="77777777" w:rsidTr="008265B2">
        <w:tc>
          <w:tcPr>
            <w:tcW w:w="4675" w:type="dxa"/>
          </w:tcPr>
          <w:p w14:paraId="424ACDF5" w14:textId="77777777" w:rsidR="000D2EB9" w:rsidRPr="00DC182C" w:rsidRDefault="000D2EB9" w:rsidP="00230DFA">
            <w:pPr>
              <w:rPr>
                <w:b/>
                <w:bCs/>
              </w:rPr>
            </w:pPr>
            <w:r w:rsidRPr="00DC182C">
              <w:rPr>
                <w:b/>
                <w:bCs/>
              </w:rPr>
              <w:t>Category</w:t>
            </w:r>
          </w:p>
        </w:tc>
        <w:tc>
          <w:tcPr>
            <w:tcW w:w="1710" w:type="dxa"/>
          </w:tcPr>
          <w:p w14:paraId="4ACC0BF1" w14:textId="77777777" w:rsidR="000D2EB9" w:rsidRPr="00DC182C" w:rsidRDefault="000D2EB9" w:rsidP="00230DFA">
            <w:pPr>
              <w:jc w:val="center"/>
              <w:rPr>
                <w:b/>
                <w:bCs/>
              </w:rPr>
            </w:pPr>
            <w:r w:rsidRPr="00DC182C">
              <w:rPr>
                <w:b/>
                <w:bCs/>
              </w:rPr>
              <w:t>Count</w:t>
            </w:r>
          </w:p>
        </w:tc>
      </w:tr>
      <w:tr w:rsidR="000D2EB9" w14:paraId="6975CE5F" w14:textId="77777777" w:rsidTr="008265B2">
        <w:tc>
          <w:tcPr>
            <w:tcW w:w="4675" w:type="dxa"/>
          </w:tcPr>
          <w:p w14:paraId="53285468" w14:textId="77777777" w:rsidR="000D2EB9" w:rsidRDefault="000D2EB9" w:rsidP="00230DFA">
            <w:r w:rsidRPr="004A0578">
              <w:rPr>
                <w:color w:val="000000" w:themeColor="text1"/>
              </w:rPr>
              <w:t>DOR Experience</w:t>
            </w:r>
          </w:p>
        </w:tc>
        <w:tc>
          <w:tcPr>
            <w:tcW w:w="1710" w:type="dxa"/>
            <w:vAlign w:val="center"/>
          </w:tcPr>
          <w:p w14:paraId="4D3AF27F" w14:textId="77777777" w:rsidR="000D2EB9" w:rsidRDefault="000D2EB9" w:rsidP="00230DFA">
            <w:pPr>
              <w:jc w:val="right"/>
            </w:pPr>
            <w:r w:rsidRPr="00EF62F4">
              <w:rPr>
                <w:color w:val="000000" w:themeColor="text1"/>
              </w:rPr>
              <w:t>1</w:t>
            </w:r>
          </w:p>
        </w:tc>
      </w:tr>
      <w:tr w:rsidR="000D2EB9" w14:paraId="2D6D8DF9" w14:textId="77777777" w:rsidTr="008265B2">
        <w:tc>
          <w:tcPr>
            <w:tcW w:w="4675" w:type="dxa"/>
          </w:tcPr>
          <w:p w14:paraId="677B035A" w14:textId="77777777" w:rsidR="000D2EB9" w:rsidRDefault="000D2EB9" w:rsidP="00230DFA">
            <w:r w:rsidRPr="004A0578">
              <w:rPr>
                <w:color w:val="000000" w:themeColor="text1"/>
              </w:rPr>
              <w:t>DOR Counselors</w:t>
            </w:r>
          </w:p>
        </w:tc>
        <w:tc>
          <w:tcPr>
            <w:tcW w:w="1710" w:type="dxa"/>
            <w:vAlign w:val="center"/>
          </w:tcPr>
          <w:p w14:paraId="753C82A9" w14:textId="77777777" w:rsidR="000D2EB9" w:rsidRDefault="000D2EB9" w:rsidP="00230DFA">
            <w:pPr>
              <w:jc w:val="right"/>
            </w:pPr>
            <w:r w:rsidRPr="00EF62F4">
              <w:rPr>
                <w:color w:val="000000" w:themeColor="text1"/>
              </w:rPr>
              <w:t>5</w:t>
            </w:r>
          </w:p>
        </w:tc>
      </w:tr>
      <w:tr w:rsidR="000D2EB9" w14:paraId="4189189A" w14:textId="77777777" w:rsidTr="008265B2">
        <w:tc>
          <w:tcPr>
            <w:tcW w:w="4675" w:type="dxa"/>
          </w:tcPr>
          <w:p w14:paraId="5EEC579B" w14:textId="77777777" w:rsidR="000D2EB9" w:rsidRDefault="000D2EB9" w:rsidP="00230DFA">
            <w:r w:rsidRPr="004A0578">
              <w:rPr>
                <w:color w:val="000000" w:themeColor="text1"/>
              </w:rPr>
              <w:t>Service Providers</w:t>
            </w:r>
          </w:p>
        </w:tc>
        <w:tc>
          <w:tcPr>
            <w:tcW w:w="1710" w:type="dxa"/>
            <w:vAlign w:val="center"/>
          </w:tcPr>
          <w:p w14:paraId="2BE9C075" w14:textId="77777777" w:rsidR="000D2EB9" w:rsidRDefault="000D2EB9" w:rsidP="00230DFA">
            <w:pPr>
              <w:jc w:val="right"/>
            </w:pPr>
            <w:r w:rsidRPr="00EF62F4">
              <w:rPr>
                <w:color w:val="000000" w:themeColor="text1"/>
              </w:rPr>
              <w:t>4</w:t>
            </w:r>
          </w:p>
        </w:tc>
      </w:tr>
      <w:tr w:rsidR="000D2EB9" w14:paraId="0276ECF7" w14:textId="77777777" w:rsidTr="008265B2">
        <w:tc>
          <w:tcPr>
            <w:tcW w:w="4675" w:type="dxa"/>
          </w:tcPr>
          <w:p w14:paraId="4381AC74" w14:textId="77777777" w:rsidR="000D2EB9" w:rsidRDefault="000D2EB9" w:rsidP="00230DFA">
            <w:r w:rsidRPr="004A0578">
              <w:rPr>
                <w:color w:val="000000" w:themeColor="text1"/>
              </w:rPr>
              <w:t>Employment Services</w:t>
            </w:r>
          </w:p>
        </w:tc>
        <w:tc>
          <w:tcPr>
            <w:tcW w:w="1710" w:type="dxa"/>
            <w:vAlign w:val="center"/>
          </w:tcPr>
          <w:p w14:paraId="60C1B62E" w14:textId="77777777" w:rsidR="000D2EB9" w:rsidRDefault="000D2EB9" w:rsidP="00230DFA">
            <w:pPr>
              <w:jc w:val="right"/>
            </w:pPr>
            <w:r w:rsidRPr="00EF62F4">
              <w:rPr>
                <w:color w:val="000000" w:themeColor="text1"/>
              </w:rPr>
              <w:t>4</w:t>
            </w:r>
          </w:p>
        </w:tc>
      </w:tr>
      <w:tr w:rsidR="000D2EB9" w14:paraId="754D65C3" w14:textId="77777777" w:rsidTr="008265B2">
        <w:tc>
          <w:tcPr>
            <w:tcW w:w="4675" w:type="dxa"/>
          </w:tcPr>
          <w:p w14:paraId="276D6293" w14:textId="77777777" w:rsidR="000D2EB9" w:rsidRDefault="000D2EB9" w:rsidP="00230DFA">
            <w:r w:rsidRPr="004A0578">
              <w:rPr>
                <w:color w:val="000000" w:themeColor="text1"/>
              </w:rPr>
              <w:t>Current Employment</w:t>
            </w:r>
          </w:p>
        </w:tc>
        <w:tc>
          <w:tcPr>
            <w:tcW w:w="1710" w:type="dxa"/>
            <w:vAlign w:val="center"/>
          </w:tcPr>
          <w:p w14:paraId="2A6B66A4" w14:textId="77777777" w:rsidR="000D2EB9" w:rsidRDefault="000D2EB9" w:rsidP="00230DFA">
            <w:pPr>
              <w:jc w:val="right"/>
            </w:pPr>
            <w:r w:rsidRPr="00EF62F4">
              <w:rPr>
                <w:color w:val="000000" w:themeColor="text1"/>
              </w:rPr>
              <w:t>4</w:t>
            </w:r>
          </w:p>
        </w:tc>
      </w:tr>
      <w:tr w:rsidR="000D2EB9" w14:paraId="2D2991F6" w14:textId="77777777" w:rsidTr="008265B2">
        <w:tc>
          <w:tcPr>
            <w:tcW w:w="4675" w:type="dxa"/>
          </w:tcPr>
          <w:p w14:paraId="3545CEEB" w14:textId="77777777" w:rsidR="000D2EB9" w:rsidRDefault="000D2EB9" w:rsidP="00230DFA">
            <w:r w:rsidRPr="004A0578">
              <w:rPr>
                <w:color w:val="000000" w:themeColor="text1"/>
              </w:rPr>
              <w:t>Employment Opportunities</w:t>
            </w:r>
          </w:p>
        </w:tc>
        <w:tc>
          <w:tcPr>
            <w:tcW w:w="1710" w:type="dxa"/>
            <w:vAlign w:val="center"/>
          </w:tcPr>
          <w:p w14:paraId="521FE88F" w14:textId="77777777" w:rsidR="000D2EB9" w:rsidRDefault="000D2EB9" w:rsidP="00230DFA">
            <w:pPr>
              <w:jc w:val="right"/>
            </w:pPr>
            <w:r w:rsidRPr="00EF62F4">
              <w:rPr>
                <w:color w:val="000000" w:themeColor="text1"/>
              </w:rPr>
              <w:t>1</w:t>
            </w:r>
          </w:p>
        </w:tc>
      </w:tr>
      <w:tr w:rsidR="000D2EB9" w14:paraId="0B75F06E" w14:textId="77777777" w:rsidTr="008265B2">
        <w:tc>
          <w:tcPr>
            <w:tcW w:w="4675" w:type="dxa"/>
          </w:tcPr>
          <w:p w14:paraId="2ED1664E" w14:textId="77777777" w:rsidR="000D2EB9" w:rsidRPr="00DC182C" w:rsidRDefault="000D2EB9" w:rsidP="00230DFA">
            <w:pPr>
              <w:rPr>
                <w:b/>
                <w:bCs/>
                <w:color w:val="000000" w:themeColor="text1"/>
              </w:rPr>
            </w:pPr>
            <w:r w:rsidRPr="00DC182C">
              <w:rPr>
                <w:b/>
                <w:bCs/>
                <w:i/>
                <w:iCs/>
                <w:color w:val="000000" w:themeColor="text1"/>
              </w:rPr>
              <w:t>Total</w:t>
            </w:r>
          </w:p>
        </w:tc>
        <w:tc>
          <w:tcPr>
            <w:tcW w:w="1710" w:type="dxa"/>
            <w:vAlign w:val="center"/>
          </w:tcPr>
          <w:p w14:paraId="324E934E" w14:textId="77777777" w:rsidR="000D2EB9" w:rsidRPr="00DC182C" w:rsidRDefault="000D2EB9" w:rsidP="00230DFA">
            <w:pPr>
              <w:jc w:val="right"/>
              <w:rPr>
                <w:b/>
                <w:bCs/>
              </w:rPr>
            </w:pPr>
            <w:r w:rsidRPr="00DC182C">
              <w:rPr>
                <w:b/>
                <w:bCs/>
                <w:i/>
                <w:iCs/>
                <w:color w:val="000000" w:themeColor="text1"/>
              </w:rPr>
              <w:t>19</w:t>
            </w:r>
          </w:p>
        </w:tc>
      </w:tr>
    </w:tbl>
    <w:p w14:paraId="46955E50" w14:textId="77777777" w:rsidR="000D2EB9" w:rsidRDefault="000D2EB9" w:rsidP="000D2EB9">
      <w:pPr>
        <w:rPr>
          <w:b/>
          <w:bCs/>
        </w:rPr>
      </w:pPr>
    </w:p>
    <w:p w14:paraId="66F852D7" w14:textId="77777777" w:rsidR="008265B2" w:rsidRDefault="008265B2" w:rsidP="000D2EB9">
      <w:pPr>
        <w:rPr>
          <w:b/>
          <w:bCs/>
        </w:rPr>
      </w:pPr>
    </w:p>
    <w:p w14:paraId="6B4FFF4C" w14:textId="77777777" w:rsidR="000D2EB9" w:rsidRPr="00DC182C" w:rsidRDefault="000D2EB9" w:rsidP="000D2EB9">
      <w:pPr>
        <w:rPr>
          <w:u w:val="single"/>
        </w:rPr>
      </w:pPr>
      <w:r w:rsidRPr="00DC182C">
        <w:rPr>
          <w:u w:val="single"/>
        </w:rPr>
        <w:lastRenderedPageBreak/>
        <w:t>Rating Scale</w:t>
      </w:r>
    </w:p>
    <w:tbl>
      <w:tblPr>
        <w:tblStyle w:val="TableGrid"/>
        <w:tblW w:w="0" w:type="auto"/>
        <w:tblInd w:w="720" w:type="dxa"/>
        <w:tblLook w:val="04A0" w:firstRow="1" w:lastRow="0" w:firstColumn="1" w:lastColumn="0" w:noHBand="0" w:noVBand="1"/>
      </w:tblPr>
      <w:tblGrid>
        <w:gridCol w:w="1345"/>
        <w:gridCol w:w="3330"/>
        <w:gridCol w:w="2610"/>
      </w:tblGrid>
      <w:tr w:rsidR="000D2EB9" w14:paraId="546D57BF" w14:textId="77777777" w:rsidTr="008265B2">
        <w:tc>
          <w:tcPr>
            <w:tcW w:w="1345" w:type="dxa"/>
          </w:tcPr>
          <w:p w14:paraId="7701F773" w14:textId="77777777" w:rsidR="000D2EB9" w:rsidRPr="004A0578" w:rsidRDefault="000D2EB9" w:rsidP="00230DFA">
            <w:pPr>
              <w:rPr>
                <w:b/>
                <w:bCs/>
              </w:rPr>
            </w:pPr>
            <w:r w:rsidRPr="004A0578">
              <w:rPr>
                <w:b/>
                <w:bCs/>
              </w:rPr>
              <w:t>Rating</w:t>
            </w:r>
          </w:p>
        </w:tc>
        <w:tc>
          <w:tcPr>
            <w:tcW w:w="3330" w:type="dxa"/>
          </w:tcPr>
          <w:p w14:paraId="217EE5E6" w14:textId="77777777" w:rsidR="000D2EB9" w:rsidRPr="004A0578" w:rsidRDefault="000D2EB9" w:rsidP="00230DFA">
            <w:pPr>
              <w:jc w:val="center"/>
              <w:rPr>
                <w:b/>
                <w:bCs/>
              </w:rPr>
            </w:pPr>
            <w:r w:rsidRPr="004A0578">
              <w:rPr>
                <w:b/>
                <w:bCs/>
              </w:rPr>
              <w:t>Satisfaction Level</w:t>
            </w:r>
          </w:p>
        </w:tc>
        <w:tc>
          <w:tcPr>
            <w:tcW w:w="2610" w:type="dxa"/>
          </w:tcPr>
          <w:p w14:paraId="1C466A6B" w14:textId="77777777" w:rsidR="000D2EB9" w:rsidRPr="004A0578" w:rsidRDefault="000D2EB9" w:rsidP="00230DFA">
            <w:pPr>
              <w:jc w:val="center"/>
              <w:rPr>
                <w:b/>
                <w:bCs/>
              </w:rPr>
            </w:pPr>
            <w:r w:rsidRPr="004A0578">
              <w:rPr>
                <w:b/>
                <w:bCs/>
              </w:rPr>
              <w:t>Score</w:t>
            </w:r>
          </w:p>
        </w:tc>
      </w:tr>
      <w:tr w:rsidR="000D2EB9" w14:paraId="18374D74" w14:textId="77777777" w:rsidTr="008265B2">
        <w:tc>
          <w:tcPr>
            <w:tcW w:w="1345" w:type="dxa"/>
            <w:vAlign w:val="center"/>
          </w:tcPr>
          <w:p w14:paraId="01CC222B" w14:textId="77777777" w:rsidR="000D2EB9" w:rsidRDefault="000D2EB9" w:rsidP="00230DFA">
            <w:pPr>
              <w:jc w:val="right"/>
            </w:pPr>
            <w:r w:rsidRPr="005069E3">
              <w:t>1</w:t>
            </w:r>
          </w:p>
        </w:tc>
        <w:tc>
          <w:tcPr>
            <w:tcW w:w="3330" w:type="dxa"/>
            <w:vAlign w:val="center"/>
          </w:tcPr>
          <w:p w14:paraId="0F476EB1" w14:textId="77777777" w:rsidR="000D2EB9" w:rsidRDefault="000D2EB9" w:rsidP="00230DFA">
            <w:r w:rsidRPr="005069E3">
              <w:t>Not at all Satisfied</w:t>
            </w:r>
          </w:p>
        </w:tc>
        <w:tc>
          <w:tcPr>
            <w:tcW w:w="2610" w:type="dxa"/>
            <w:vAlign w:val="center"/>
          </w:tcPr>
          <w:p w14:paraId="426E3014" w14:textId="77777777" w:rsidR="000D2EB9" w:rsidRDefault="000D2EB9" w:rsidP="00230DFA">
            <w:pPr>
              <w:jc w:val="right"/>
            </w:pPr>
            <w:r w:rsidRPr="005069E3">
              <w:t>(0.0% - 14.3%)</w:t>
            </w:r>
          </w:p>
        </w:tc>
      </w:tr>
      <w:tr w:rsidR="000D2EB9" w14:paraId="5D31A624" w14:textId="77777777" w:rsidTr="008265B2">
        <w:tc>
          <w:tcPr>
            <w:tcW w:w="1345" w:type="dxa"/>
            <w:vAlign w:val="center"/>
          </w:tcPr>
          <w:p w14:paraId="1CA31AFB" w14:textId="77777777" w:rsidR="000D2EB9" w:rsidRDefault="000D2EB9" w:rsidP="00230DFA">
            <w:pPr>
              <w:jc w:val="right"/>
            </w:pPr>
            <w:r w:rsidRPr="005069E3">
              <w:t>2</w:t>
            </w:r>
          </w:p>
        </w:tc>
        <w:tc>
          <w:tcPr>
            <w:tcW w:w="3330" w:type="dxa"/>
            <w:vAlign w:val="center"/>
          </w:tcPr>
          <w:p w14:paraId="384EDFBB" w14:textId="77777777" w:rsidR="000D2EB9" w:rsidRDefault="000D2EB9" w:rsidP="00230DFA">
            <w:r w:rsidRPr="005069E3">
              <w:t>Dissatisfied</w:t>
            </w:r>
          </w:p>
        </w:tc>
        <w:tc>
          <w:tcPr>
            <w:tcW w:w="2610" w:type="dxa"/>
            <w:vAlign w:val="center"/>
          </w:tcPr>
          <w:p w14:paraId="44E9ECE3" w14:textId="77777777" w:rsidR="000D2EB9" w:rsidRDefault="000D2EB9" w:rsidP="00230DFA">
            <w:pPr>
              <w:jc w:val="right"/>
            </w:pPr>
            <w:r w:rsidRPr="005069E3">
              <w:t>(14.4% - 28.6%)</w:t>
            </w:r>
          </w:p>
        </w:tc>
      </w:tr>
      <w:tr w:rsidR="000D2EB9" w14:paraId="02ED96AF" w14:textId="77777777" w:rsidTr="008265B2">
        <w:tc>
          <w:tcPr>
            <w:tcW w:w="1345" w:type="dxa"/>
            <w:vAlign w:val="center"/>
          </w:tcPr>
          <w:p w14:paraId="54BF9F93" w14:textId="77777777" w:rsidR="000D2EB9" w:rsidRDefault="000D2EB9" w:rsidP="00230DFA">
            <w:pPr>
              <w:jc w:val="right"/>
            </w:pPr>
            <w:r w:rsidRPr="005069E3">
              <w:t>3</w:t>
            </w:r>
          </w:p>
        </w:tc>
        <w:tc>
          <w:tcPr>
            <w:tcW w:w="3330" w:type="dxa"/>
            <w:vAlign w:val="center"/>
          </w:tcPr>
          <w:p w14:paraId="5659A4D7" w14:textId="77777777" w:rsidR="000D2EB9" w:rsidRDefault="000D2EB9" w:rsidP="00230DFA">
            <w:r w:rsidRPr="005069E3">
              <w:t>Some Dissatisfied</w:t>
            </w:r>
          </w:p>
        </w:tc>
        <w:tc>
          <w:tcPr>
            <w:tcW w:w="2610" w:type="dxa"/>
            <w:vAlign w:val="center"/>
          </w:tcPr>
          <w:p w14:paraId="4815AF29" w14:textId="77777777" w:rsidR="000D2EB9" w:rsidRDefault="000D2EB9" w:rsidP="00230DFA">
            <w:pPr>
              <w:jc w:val="right"/>
            </w:pPr>
            <w:r w:rsidRPr="005069E3">
              <w:t>(28.7% - 42.9%)</w:t>
            </w:r>
          </w:p>
        </w:tc>
      </w:tr>
      <w:tr w:rsidR="000D2EB9" w14:paraId="0854EBD6" w14:textId="77777777" w:rsidTr="008265B2">
        <w:tc>
          <w:tcPr>
            <w:tcW w:w="1345" w:type="dxa"/>
            <w:vAlign w:val="center"/>
          </w:tcPr>
          <w:p w14:paraId="6FBA626E" w14:textId="77777777" w:rsidR="000D2EB9" w:rsidRDefault="000D2EB9" w:rsidP="00230DFA">
            <w:pPr>
              <w:jc w:val="right"/>
            </w:pPr>
            <w:r w:rsidRPr="005069E3">
              <w:t>4</w:t>
            </w:r>
          </w:p>
        </w:tc>
        <w:tc>
          <w:tcPr>
            <w:tcW w:w="3330" w:type="dxa"/>
            <w:vAlign w:val="center"/>
          </w:tcPr>
          <w:p w14:paraId="5C5F1245" w14:textId="77777777" w:rsidR="000D2EB9" w:rsidRDefault="000D2EB9" w:rsidP="00230DFA">
            <w:r w:rsidRPr="005069E3">
              <w:t>Neutral</w:t>
            </w:r>
          </w:p>
        </w:tc>
        <w:tc>
          <w:tcPr>
            <w:tcW w:w="2610" w:type="dxa"/>
            <w:vAlign w:val="center"/>
          </w:tcPr>
          <w:p w14:paraId="464CB8A8" w14:textId="77777777" w:rsidR="000D2EB9" w:rsidRDefault="000D2EB9" w:rsidP="00230DFA">
            <w:pPr>
              <w:jc w:val="right"/>
            </w:pPr>
            <w:r w:rsidRPr="005069E3">
              <w:t>(43.0% - 57.1%)</w:t>
            </w:r>
          </w:p>
        </w:tc>
      </w:tr>
      <w:tr w:rsidR="000D2EB9" w14:paraId="415B8698" w14:textId="77777777" w:rsidTr="008265B2">
        <w:tc>
          <w:tcPr>
            <w:tcW w:w="1345" w:type="dxa"/>
            <w:vAlign w:val="center"/>
          </w:tcPr>
          <w:p w14:paraId="3CE82C50" w14:textId="77777777" w:rsidR="000D2EB9" w:rsidRDefault="000D2EB9" w:rsidP="00230DFA">
            <w:pPr>
              <w:jc w:val="right"/>
            </w:pPr>
            <w:r w:rsidRPr="005069E3">
              <w:t>5</w:t>
            </w:r>
          </w:p>
        </w:tc>
        <w:tc>
          <w:tcPr>
            <w:tcW w:w="3330" w:type="dxa"/>
            <w:vAlign w:val="center"/>
          </w:tcPr>
          <w:p w14:paraId="31F8BC0D" w14:textId="77777777" w:rsidR="000D2EB9" w:rsidRDefault="000D2EB9" w:rsidP="00230DFA">
            <w:r w:rsidRPr="005069E3">
              <w:t>Somewhat Satisfied</w:t>
            </w:r>
          </w:p>
        </w:tc>
        <w:tc>
          <w:tcPr>
            <w:tcW w:w="2610" w:type="dxa"/>
            <w:vAlign w:val="center"/>
          </w:tcPr>
          <w:p w14:paraId="2E530109" w14:textId="77777777" w:rsidR="000D2EB9" w:rsidRDefault="000D2EB9" w:rsidP="00230DFA">
            <w:pPr>
              <w:jc w:val="right"/>
            </w:pPr>
            <w:r w:rsidRPr="005069E3">
              <w:t>(57.2% - 71.4%)</w:t>
            </w:r>
          </w:p>
        </w:tc>
      </w:tr>
      <w:tr w:rsidR="000D2EB9" w14:paraId="3ACB2170" w14:textId="77777777" w:rsidTr="008265B2">
        <w:tc>
          <w:tcPr>
            <w:tcW w:w="1345" w:type="dxa"/>
            <w:vAlign w:val="center"/>
          </w:tcPr>
          <w:p w14:paraId="6F474444" w14:textId="77777777" w:rsidR="000D2EB9" w:rsidRDefault="000D2EB9" w:rsidP="00230DFA">
            <w:pPr>
              <w:jc w:val="right"/>
            </w:pPr>
            <w:r w:rsidRPr="005069E3">
              <w:t>6</w:t>
            </w:r>
          </w:p>
        </w:tc>
        <w:tc>
          <w:tcPr>
            <w:tcW w:w="3330" w:type="dxa"/>
            <w:vAlign w:val="center"/>
          </w:tcPr>
          <w:p w14:paraId="1C12D6BF" w14:textId="77777777" w:rsidR="000D2EB9" w:rsidRDefault="000D2EB9" w:rsidP="00230DFA">
            <w:r w:rsidRPr="005069E3">
              <w:t>Satisfied</w:t>
            </w:r>
          </w:p>
        </w:tc>
        <w:tc>
          <w:tcPr>
            <w:tcW w:w="2610" w:type="dxa"/>
            <w:vAlign w:val="center"/>
          </w:tcPr>
          <w:p w14:paraId="19C5228C" w14:textId="77777777" w:rsidR="000D2EB9" w:rsidRDefault="000D2EB9" w:rsidP="00230DFA">
            <w:pPr>
              <w:jc w:val="right"/>
            </w:pPr>
            <w:r w:rsidRPr="005069E3">
              <w:t>(71.5% - 85.7%)</w:t>
            </w:r>
          </w:p>
        </w:tc>
      </w:tr>
      <w:tr w:rsidR="000D2EB9" w14:paraId="42AA8B86" w14:textId="77777777" w:rsidTr="008265B2">
        <w:tc>
          <w:tcPr>
            <w:tcW w:w="1345" w:type="dxa"/>
            <w:vAlign w:val="center"/>
          </w:tcPr>
          <w:p w14:paraId="1DCE9198" w14:textId="77777777" w:rsidR="000D2EB9" w:rsidRDefault="000D2EB9" w:rsidP="00230DFA">
            <w:pPr>
              <w:jc w:val="right"/>
            </w:pPr>
            <w:r w:rsidRPr="005069E3">
              <w:t>7</w:t>
            </w:r>
          </w:p>
        </w:tc>
        <w:tc>
          <w:tcPr>
            <w:tcW w:w="3330" w:type="dxa"/>
            <w:vAlign w:val="center"/>
          </w:tcPr>
          <w:p w14:paraId="18B427C6" w14:textId="77777777" w:rsidR="000D2EB9" w:rsidRDefault="000D2EB9" w:rsidP="00230DFA">
            <w:r w:rsidRPr="005069E3">
              <w:t>Extremely Satisfied</w:t>
            </w:r>
          </w:p>
        </w:tc>
        <w:tc>
          <w:tcPr>
            <w:tcW w:w="2610" w:type="dxa"/>
            <w:vAlign w:val="center"/>
          </w:tcPr>
          <w:p w14:paraId="52668935" w14:textId="77777777" w:rsidR="000D2EB9" w:rsidRDefault="000D2EB9" w:rsidP="00230DFA">
            <w:pPr>
              <w:jc w:val="right"/>
            </w:pPr>
            <w:r w:rsidRPr="005069E3">
              <w:t>(85.8% - 100.0%)</w:t>
            </w:r>
          </w:p>
        </w:tc>
      </w:tr>
    </w:tbl>
    <w:p w14:paraId="06CCCB37" w14:textId="77777777" w:rsidR="008265B2" w:rsidRDefault="008265B2" w:rsidP="008265B2"/>
    <w:p w14:paraId="4D422C63" w14:textId="77A7DAE7" w:rsidR="000D2EB9" w:rsidRPr="00DC182C" w:rsidRDefault="000D2EB9" w:rsidP="008265B2">
      <w:pPr>
        <w:pStyle w:val="Heading2"/>
      </w:pPr>
      <w:r w:rsidRPr="00DC182C">
        <w:t xml:space="preserve">SLIDE </w:t>
      </w:r>
      <w:r w:rsidR="008265B2">
        <w:t xml:space="preserve">5: </w:t>
      </w:r>
      <w:r w:rsidRPr="00DC182C">
        <w:t>Overall VR Consumers were Satisfied with DOR</w:t>
      </w:r>
    </w:p>
    <w:tbl>
      <w:tblPr>
        <w:tblStyle w:val="TableGrid"/>
        <w:tblW w:w="0" w:type="auto"/>
        <w:tblInd w:w="720" w:type="dxa"/>
        <w:tblLook w:val="04A0" w:firstRow="1" w:lastRow="0" w:firstColumn="1" w:lastColumn="0" w:noHBand="0" w:noVBand="1"/>
      </w:tblPr>
      <w:tblGrid>
        <w:gridCol w:w="3071"/>
        <w:gridCol w:w="2118"/>
        <w:gridCol w:w="2119"/>
        <w:gridCol w:w="2042"/>
      </w:tblGrid>
      <w:tr w:rsidR="000D2EB9" w:rsidRPr="005069E3" w14:paraId="523606D9" w14:textId="77777777" w:rsidTr="008265B2">
        <w:tc>
          <w:tcPr>
            <w:tcW w:w="3071" w:type="dxa"/>
          </w:tcPr>
          <w:p w14:paraId="7EADAFB2" w14:textId="77777777" w:rsidR="000D2EB9" w:rsidRPr="005069E3" w:rsidRDefault="000D2EB9" w:rsidP="00230DFA">
            <w:pPr>
              <w:rPr>
                <w:szCs w:val="28"/>
              </w:rPr>
            </w:pPr>
          </w:p>
        </w:tc>
        <w:tc>
          <w:tcPr>
            <w:tcW w:w="2118" w:type="dxa"/>
          </w:tcPr>
          <w:p w14:paraId="683A48C8" w14:textId="77777777" w:rsidR="000D2EB9" w:rsidRPr="005069E3" w:rsidRDefault="000D2EB9" w:rsidP="00230DFA">
            <w:pPr>
              <w:jc w:val="center"/>
              <w:rPr>
                <w:b/>
                <w:bCs/>
                <w:szCs w:val="28"/>
              </w:rPr>
            </w:pPr>
            <w:r w:rsidRPr="005069E3">
              <w:rPr>
                <w:b/>
                <w:bCs/>
                <w:szCs w:val="28"/>
              </w:rPr>
              <w:t>SFY 2020/21</w:t>
            </w:r>
          </w:p>
        </w:tc>
        <w:tc>
          <w:tcPr>
            <w:tcW w:w="2119" w:type="dxa"/>
          </w:tcPr>
          <w:p w14:paraId="1F070A15" w14:textId="77777777" w:rsidR="000D2EB9" w:rsidRPr="005069E3" w:rsidRDefault="000D2EB9" w:rsidP="00230DFA">
            <w:pPr>
              <w:jc w:val="center"/>
              <w:rPr>
                <w:b/>
                <w:bCs/>
                <w:szCs w:val="28"/>
              </w:rPr>
            </w:pPr>
            <w:r w:rsidRPr="005069E3">
              <w:rPr>
                <w:b/>
                <w:bCs/>
                <w:szCs w:val="28"/>
              </w:rPr>
              <w:t>SFY 2021/22</w:t>
            </w:r>
          </w:p>
        </w:tc>
        <w:tc>
          <w:tcPr>
            <w:tcW w:w="2042" w:type="dxa"/>
          </w:tcPr>
          <w:p w14:paraId="6C1A90E8" w14:textId="77777777" w:rsidR="000D2EB9" w:rsidRPr="005069E3" w:rsidRDefault="000D2EB9" w:rsidP="00230DFA">
            <w:pPr>
              <w:jc w:val="center"/>
              <w:rPr>
                <w:b/>
                <w:bCs/>
                <w:szCs w:val="28"/>
              </w:rPr>
            </w:pPr>
            <w:r w:rsidRPr="005069E3">
              <w:rPr>
                <w:b/>
                <w:bCs/>
                <w:szCs w:val="28"/>
              </w:rPr>
              <w:t>Difference</w:t>
            </w:r>
          </w:p>
        </w:tc>
      </w:tr>
      <w:tr w:rsidR="000D2EB9" w:rsidRPr="005069E3" w14:paraId="26AD425A" w14:textId="77777777" w:rsidTr="008265B2">
        <w:tc>
          <w:tcPr>
            <w:tcW w:w="3071" w:type="dxa"/>
            <w:shd w:val="clear" w:color="auto" w:fill="auto"/>
            <w:vAlign w:val="center"/>
          </w:tcPr>
          <w:p w14:paraId="7DB18254" w14:textId="77777777" w:rsidR="000D2EB9" w:rsidRPr="005069E3" w:rsidRDefault="000D2EB9" w:rsidP="00230DFA">
            <w:pPr>
              <w:rPr>
                <w:color w:val="000000" w:themeColor="text1"/>
                <w:szCs w:val="28"/>
              </w:rPr>
            </w:pPr>
            <w:r w:rsidRPr="005069E3">
              <w:rPr>
                <w:rFonts w:cs="Arial"/>
                <w:color w:val="000000" w:themeColor="text1"/>
                <w:kern w:val="24"/>
                <w:szCs w:val="28"/>
              </w:rPr>
              <w:t>DOR Experience</w:t>
            </w:r>
          </w:p>
        </w:tc>
        <w:tc>
          <w:tcPr>
            <w:tcW w:w="2118" w:type="dxa"/>
            <w:shd w:val="clear" w:color="auto" w:fill="auto"/>
            <w:vAlign w:val="center"/>
          </w:tcPr>
          <w:p w14:paraId="1DE1C601" w14:textId="77777777" w:rsidR="000D2EB9" w:rsidRPr="005069E3" w:rsidRDefault="000D2EB9" w:rsidP="00230DFA">
            <w:pPr>
              <w:jc w:val="right"/>
              <w:rPr>
                <w:color w:val="000000" w:themeColor="text1"/>
                <w:szCs w:val="28"/>
              </w:rPr>
            </w:pPr>
            <w:r w:rsidRPr="005069E3">
              <w:rPr>
                <w:rFonts w:cs="Arial"/>
                <w:color w:val="000000" w:themeColor="text1"/>
                <w:kern w:val="24"/>
                <w:szCs w:val="28"/>
              </w:rPr>
              <w:t>79.4%</w:t>
            </w:r>
          </w:p>
        </w:tc>
        <w:tc>
          <w:tcPr>
            <w:tcW w:w="2119" w:type="dxa"/>
            <w:shd w:val="clear" w:color="auto" w:fill="auto"/>
            <w:vAlign w:val="center"/>
          </w:tcPr>
          <w:p w14:paraId="7975E702" w14:textId="77777777" w:rsidR="000D2EB9" w:rsidRPr="005069E3" w:rsidRDefault="000D2EB9" w:rsidP="00230DFA">
            <w:pPr>
              <w:jc w:val="right"/>
              <w:rPr>
                <w:color w:val="000000" w:themeColor="text1"/>
                <w:szCs w:val="28"/>
              </w:rPr>
            </w:pPr>
            <w:r w:rsidRPr="005069E3">
              <w:rPr>
                <w:rFonts w:cs="Arial"/>
                <w:color w:val="000000" w:themeColor="text1"/>
                <w:kern w:val="24"/>
                <w:szCs w:val="28"/>
              </w:rPr>
              <w:t>78.7%</w:t>
            </w:r>
          </w:p>
        </w:tc>
        <w:tc>
          <w:tcPr>
            <w:tcW w:w="2042" w:type="dxa"/>
            <w:shd w:val="clear" w:color="auto" w:fill="auto"/>
            <w:vAlign w:val="center"/>
          </w:tcPr>
          <w:p w14:paraId="3B2C1EFA" w14:textId="77777777" w:rsidR="000D2EB9" w:rsidRPr="005069E3" w:rsidRDefault="000D2EB9" w:rsidP="00230DFA">
            <w:pPr>
              <w:jc w:val="right"/>
              <w:rPr>
                <w:color w:val="000000" w:themeColor="text1"/>
                <w:szCs w:val="28"/>
              </w:rPr>
            </w:pPr>
            <w:r w:rsidRPr="005069E3">
              <w:rPr>
                <w:rFonts w:cs="Arial"/>
                <w:color w:val="000000" w:themeColor="text1"/>
                <w:kern w:val="24"/>
                <w:szCs w:val="28"/>
              </w:rPr>
              <w:t>-0.7%</w:t>
            </w:r>
          </w:p>
        </w:tc>
      </w:tr>
      <w:tr w:rsidR="000D2EB9" w:rsidRPr="005069E3" w14:paraId="0E0A70DF" w14:textId="77777777" w:rsidTr="008265B2">
        <w:tc>
          <w:tcPr>
            <w:tcW w:w="3071" w:type="dxa"/>
            <w:vAlign w:val="center"/>
          </w:tcPr>
          <w:p w14:paraId="5FD72EE4" w14:textId="77777777" w:rsidR="000D2EB9" w:rsidRPr="005069E3" w:rsidRDefault="000D2EB9" w:rsidP="00230DFA">
            <w:pPr>
              <w:rPr>
                <w:szCs w:val="28"/>
              </w:rPr>
            </w:pPr>
            <w:r w:rsidRPr="005069E3">
              <w:rPr>
                <w:rFonts w:cs="Arial"/>
                <w:color w:val="000000" w:themeColor="dark1"/>
                <w:kern w:val="24"/>
                <w:szCs w:val="28"/>
              </w:rPr>
              <w:t>DOR Counselors</w:t>
            </w:r>
          </w:p>
        </w:tc>
        <w:tc>
          <w:tcPr>
            <w:tcW w:w="2118" w:type="dxa"/>
            <w:vAlign w:val="center"/>
          </w:tcPr>
          <w:p w14:paraId="5D2EC382" w14:textId="77777777" w:rsidR="000D2EB9" w:rsidRPr="005069E3" w:rsidRDefault="000D2EB9" w:rsidP="00230DFA">
            <w:pPr>
              <w:jc w:val="right"/>
              <w:rPr>
                <w:szCs w:val="28"/>
              </w:rPr>
            </w:pPr>
            <w:r w:rsidRPr="005069E3">
              <w:rPr>
                <w:rFonts w:cs="Arial"/>
                <w:color w:val="000000" w:themeColor="dark1"/>
                <w:kern w:val="24"/>
                <w:szCs w:val="28"/>
              </w:rPr>
              <w:t>80.0%</w:t>
            </w:r>
          </w:p>
        </w:tc>
        <w:tc>
          <w:tcPr>
            <w:tcW w:w="2119" w:type="dxa"/>
            <w:vAlign w:val="center"/>
          </w:tcPr>
          <w:p w14:paraId="660F3488" w14:textId="77777777" w:rsidR="000D2EB9" w:rsidRPr="005069E3" w:rsidRDefault="000D2EB9" w:rsidP="00230DFA">
            <w:pPr>
              <w:jc w:val="right"/>
              <w:rPr>
                <w:szCs w:val="28"/>
              </w:rPr>
            </w:pPr>
            <w:r w:rsidRPr="005069E3">
              <w:rPr>
                <w:rFonts w:cs="Arial"/>
                <w:color w:val="000000" w:themeColor="dark1"/>
                <w:kern w:val="24"/>
                <w:szCs w:val="28"/>
              </w:rPr>
              <w:t>79.1%</w:t>
            </w:r>
          </w:p>
        </w:tc>
        <w:tc>
          <w:tcPr>
            <w:tcW w:w="2042" w:type="dxa"/>
            <w:vAlign w:val="center"/>
          </w:tcPr>
          <w:p w14:paraId="705F2B3B" w14:textId="77777777" w:rsidR="000D2EB9" w:rsidRPr="005069E3" w:rsidRDefault="000D2EB9" w:rsidP="00230DFA">
            <w:pPr>
              <w:jc w:val="right"/>
              <w:rPr>
                <w:szCs w:val="28"/>
              </w:rPr>
            </w:pPr>
            <w:r w:rsidRPr="005069E3">
              <w:rPr>
                <w:rFonts w:cs="Arial"/>
                <w:color w:val="000000" w:themeColor="dark1"/>
                <w:kern w:val="24"/>
                <w:szCs w:val="28"/>
              </w:rPr>
              <w:t>-0.9%</w:t>
            </w:r>
          </w:p>
        </w:tc>
      </w:tr>
      <w:tr w:rsidR="000D2EB9" w:rsidRPr="005069E3" w14:paraId="58750CD9" w14:textId="77777777" w:rsidTr="008265B2">
        <w:tc>
          <w:tcPr>
            <w:tcW w:w="3071" w:type="dxa"/>
            <w:vAlign w:val="center"/>
          </w:tcPr>
          <w:p w14:paraId="4198C6FF" w14:textId="77777777" w:rsidR="000D2EB9" w:rsidRPr="005069E3" w:rsidRDefault="000D2EB9" w:rsidP="00230DFA">
            <w:pPr>
              <w:rPr>
                <w:szCs w:val="28"/>
              </w:rPr>
            </w:pPr>
            <w:r w:rsidRPr="005069E3">
              <w:rPr>
                <w:rFonts w:cs="Arial"/>
                <w:color w:val="000000" w:themeColor="dark1"/>
                <w:kern w:val="24"/>
                <w:szCs w:val="28"/>
              </w:rPr>
              <w:t>Service Providers</w:t>
            </w:r>
          </w:p>
        </w:tc>
        <w:tc>
          <w:tcPr>
            <w:tcW w:w="2118" w:type="dxa"/>
            <w:vAlign w:val="center"/>
          </w:tcPr>
          <w:p w14:paraId="1D16F004" w14:textId="77777777" w:rsidR="000D2EB9" w:rsidRPr="005069E3" w:rsidRDefault="000D2EB9" w:rsidP="00230DFA">
            <w:pPr>
              <w:jc w:val="right"/>
              <w:rPr>
                <w:szCs w:val="28"/>
              </w:rPr>
            </w:pPr>
            <w:r w:rsidRPr="005069E3">
              <w:rPr>
                <w:rFonts w:cs="Arial"/>
                <w:color w:val="000000" w:themeColor="dark1"/>
                <w:kern w:val="24"/>
                <w:szCs w:val="28"/>
              </w:rPr>
              <w:t>80.3%</w:t>
            </w:r>
          </w:p>
        </w:tc>
        <w:tc>
          <w:tcPr>
            <w:tcW w:w="2119" w:type="dxa"/>
            <w:vAlign w:val="center"/>
          </w:tcPr>
          <w:p w14:paraId="140298F4" w14:textId="77777777" w:rsidR="000D2EB9" w:rsidRPr="005069E3" w:rsidRDefault="000D2EB9" w:rsidP="00230DFA">
            <w:pPr>
              <w:jc w:val="right"/>
              <w:rPr>
                <w:szCs w:val="28"/>
              </w:rPr>
            </w:pPr>
            <w:r w:rsidRPr="005069E3">
              <w:rPr>
                <w:rFonts w:cs="Arial"/>
                <w:color w:val="000000" w:themeColor="dark1"/>
                <w:kern w:val="24"/>
                <w:szCs w:val="28"/>
              </w:rPr>
              <w:t>81.4%</w:t>
            </w:r>
          </w:p>
        </w:tc>
        <w:tc>
          <w:tcPr>
            <w:tcW w:w="2042" w:type="dxa"/>
            <w:vAlign w:val="center"/>
          </w:tcPr>
          <w:p w14:paraId="42B297C4" w14:textId="77777777" w:rsidR="000D2EB9" w:rsidRPr="005069E3" w:rsidRDefault="000D2EB9" w:rsidP="00230DFA">
            <w:pPr>
              <w:jc w:val="right"/>
              <w:rPr>
                <w:szCs w:val="28"/>
              </w:rPr>
            </w:pPr>
            <w:r w:rsidRPr="005069E3">
              <w:rPr>
                <w:rFonts w:cs="Arial"/>
                <w:color w:val="000000" w:themeColor="dark1"/>
                <w:kern w:val="24"/>
                <w:szCs w:val="28"/>
              </w:rPr>
              <w:t>1.1%</w:t>
            </w:r>
          </w:p>
        </w:tc>
      </w:tr>
      <w:tr w:rsidR="000D2EB9" w:rsidRPr="005069E3" w14:paraId="0098802D" w14:textId="77777777" w:rsidTr="008265B2">
        <w:tc>
          <w:tcPr>
            <w:tcW w:w="3071" w:type="dxa"/>
            <w:vAlign w:val="center"/>
          </w:tcPr>
          <w:p w14:paraId="1D7AC816" w14:textId="77777777" w:rsidR="000D2EB9" w:rsidRPr="005069E3" w:rsidRDefault="000D2EB9" w:rsidP="00230DFA">
            <w:pPr>
              <w:rPr>
                <w:szCs w:val="28"/>
              </w:rPr>
            </w:pPr>
            <w:r w:rsidRPr="005069E3">
              <w:rPr>
                <w:rFonts w:cs="Arial"/>
                <w:color w:val="000000" w:themeColor="dark1"/>
                <w:kern w:val="24"/>
                <w:szCs w:val="28"/>
              </w:rPr>
              <w:t>Employment Services</w:t>
            </w:r>
          </w:p>
        </w:tc>
        <w:tc>
          <w:tcPr>
            <w:tcW w:w="2118" w:type="dxa"/>
            <w:vAlign w:val="center"/>
          </w:tcPr>
          <w:p w14:paraId="0A5AB303" w14:textId="77777777" w:rsidR="000D2EB9" w:rsidRPr="005069E3" w:rsidRDefault="000D2EB9" w:rsidP="00230DFA">
            <w:pPr>
              <w:jc w:val="right"/>
              <w:rPr>
                <w:szCs w:val="28"/>
              </w:rPr>
            </w:pPr>
            <w:r w:rsidRPr="005069E3">
              <w:rPr>
                <w:rFonts w:cs="Arial"/>
                <w:color w:val="000000" w:themeColor="dark1"/>
                <w:kern w:val="24"/>
                <w:szCs w:val="28"/>
              </w:rPr>
              <w:t>77.4%</w:t>
            </w:r>
          </w:p>
        </w:tc>
        <w:tc>
          <w:tcPr>
            <w:tcW w:w="2119" w:type="dxa"/>
            <w:vAlign w:val="center"/>
          </w:tcPr>
          <w:p w14:paraId="54922459" w14:textId="77777777" w:rsidR="000D2EB9" w:rsidRPr="005069E3" w:rsidRDefault="000D2EB9" w:rsidP="00230DFA">
            <w:pPr>
              <w:jc w:val="right"/>
              <w:rPr>
                <w:szCs w:val="28"/>
              </w:rPr>
            </w:pPr>
            <w:r w:rsidRPr="005069E3">
              <w:rPr>
                <w:rFonts w:cs="Arial"/>
                <w:color w:val="000000" w:themeColor="dark1"/>
                <w:kern w:val="24"/>
                <w:szCs w:val="28"/>
              </w:rPr>
              <w:t>77.2%</w:t>
            </w:r>
          </w:p>
        </w:tc>
        <w:tc>
          <w:tcPr>
            <w:tcW w:w="2042" w:type="dxa"/>
            <w:vAlign w:val="center"/>
          </w:tcPr>
          <w:p w14:paraId="05895542" w14:textId="77777777" w:rsidR="000D2EB9" w:rsidRPr="005069E3" w:rsidRDefault="000D2EB9" w:rsidP="00230DFA">
            <w:pPr>
              <w:jc w:val="right"/>
              <w:rPr>
                <w:szCs w:val="28"/>
              </w:rPr>
            </w:pPr>
            <w:r w:rsidRPr="005069E3">
              <w:rPr>
                <w:rFonts w:cs="Arial"/>
                <w:color w:val="000000" w:themeColor="dark1"/>
                <w:kern w:val="24"/>
                <w:szCs w:val="28"/>
              </w:rPr>
              <w:t>-0.2%</w:t>
            </w:r>
          </w:p>
        </w:tc>
      </w:tr>
      <w:tr w:rsidR="000D2EB9" w:rsidRPr="005069E3" w14:paraId="2D5146ED" w14:textId="77777777" w:rsidTr="008265B2">
        <w:tc>
          <w:tcPr>
            <w:tcW w:w="3071" w:type="dxa"/>
            <w:vAlign w:val="center"/>
          </w:tcPr>
          <w:p w14:paraId="7579DE7D" w14:textId="77777777" w:rsidR="000D2EB9" w:rsidRPr="005069E3" w:rsidRDefault="000D2EB9" w:rsidP="00230DFA">
            <w:pPr>
              <w:rPr>
                <w:szCs w:val="28"/>
              </w:rPr>
            </w:pPr>
            <w:r w:rsidRPr="005069E3">
              <w:rPr>
                <w:rFonts w:cs="Arial"/>
                <w:color w:val="000000" w:themeColor="dark1"/>
                <w:kern w:val="24"/>
                <w:szCs w:val="28"/>
              </w:rPr>
              <w:t>Current Employment</w:t>
            </w:r>
          </w:p>
        </w:tc>
        <w:tc>
          <w:tcPr>
            <w:tcW w:w="2118" w:type="dxa"/>
            <w:vAlign w:val="center"/>
          </w:tcPr>
          <w:p w14:paraId="5F595EB1" w14:textId="77777777" w:rsidR="000D2EB9" w:rsidRPr="005069E3" w:rsidRDefault="000D2EB9" w:rsidP="00230DFA">
            <w:pPr>
              <w:jc w:val="right"/>
              <w:rPr>
                <w:szCs w:val="28"/>
              </w:rPr>
            </w:pPr>
            <w:r w:rsidRPr="005069E3">
              <w:rPr>
                <w:rFonts w:cs="Arial"/>
                <w:color w:val="000000" w:themeColor="dark1"/>
                <w:kern w:val="24"/>
                <w:szCs w:val="28"/>
              </w:rPr>
              <w:t>75.7%</w:t>
            </w:r>
          </w:p>
        </w:tc>
        <w:tc>
          <w:tcPr>
            <w:tcW w:w="2119" w:type="dxa"/>
            <w:vAlign w:val="center"/>
          </w:tcPr>
          <w:p w14:paraId="0292864B" w14:textId="77777777" w:rsidR="000D2EB9" w:rsidRPr="005069E3" w:rsidRDefault="000D2EB9" w:rsidP="00230DFA">
            <w:pPr>
              <w:jc w:val="right"/>
              <w:rPr>
                <w:szCs w:val="28"/>
              </w:rPr>
            </w:pPr>
            <w:r w:rsidRPr="005069E3">
              <w:rPr>
                <w:rFonts w:cs="Arial"/>
                <w:color w:val="000000" w:themeColor="dark1"/>
                <w:kern w:val="24"/>
                <w:szCs w:val="28"/>
              </w:rPr>
              <w:t>82.8%</w:t>
            </w:r>
          </w:p>
        </w:tc>
        <w:tc>
          <w:tcPr>
            <w:tcW w:w="2042" w:type="dxa"/>
            <w:vAlign w:val="center"/>
          </w:tcPr>
          <w:p w14:paraId="4A36A47E" w14:textId="77777777" w:rsidR="000D2EB9" w:rsidRPr="005069E3" w:rsidRDefault="000D2EB9" w:rsidP="00230DFA">
            <w:pPr>
              <w:jc w:val="right"/>
              <w:rPr>
                <w:szCs w:val="28"/>
              </w:rPr>
            </w:pPr>
            <w:r w:rsidRPr="005069E3">
              <w:rPr>
                <w:rFonts w:cs="Arial"/>
                <w:color w:val="000000" w:themeColor="dark1"/>
                <w:kern w:val="24"/>
                <w:szCs w:val="28"/>
              </w:rPr>
              <w:t>7.1%</w:t>
            </w:r>
          </w:p>
        </w:tc>
      </w:tr>
      <w:tr w:rsidR="000D2EB9" w:rsidRPr="005069E3" w14:paraId="265ECA6F" w14:textId="77777777" w:rsidTr="008265B2">
        <w:tc>
          <w:tcPr>
            <w:tcW w:w="3071" w:type="dxa"/>
            <w:vAlign w:val="center"/>
          </w:tcPr>
          <w:p w14:paraId="221AB1B7" w14:textId="77777777" w:rsidR="000D2EB9" w:rsidRPr="005069E3" w:rsidRDefault="000D2EB9" w:rsidP="00230DFA">
            <w:pPr>
              <w:rPr>
                <w:szCs w:val="28"/>
              </w:rPr>
            </w:pPr>
            <w:r w:rsidRPr="005069E3">
              <w:rPr>
                <w:rFonts w:cs="Arial"/>
                <w:color w:val="000000" w:themeColor="dark1"/>
                <w:kern w:val="24"/>
                <w:szCs w:val="28"/>
              </w:rPr>
              <w:t>Employment Opportunities</w:t>
            </w:r>
          </w:p>
        </w:tc>
        <w:tc>
          <w:tcPr>
            <w:tcW w:w="2118" w:type="dxa"/>
            <w:vAlign w:val="center"/>
          </w:tcPr>
          <w:p w14:paraId="7520751F" w14:textId="77777777" w:rsidR="000D2EB9" w:rsidRPr="005069E3" w:rsidRDefault="000D2EB9" w:rsidP="00230DFA">
            <w:pPr>
              <w:jc w:val="right"/>
              <w:rPr>
                <w:szCs w:val="28"/>
              </w:rPr>
            </w:pPr>
            <w:r w:rsidRPr="005069E3">
              <w:rPr>
                <w:rFonts w:cs="Arial"/>
                <w:color w:val="000000" w:themeColor="dark1"/>
                <w:kern w:val="24"/>
                <w:szCs w:val="28"/>
              </w:rPr>
              <w:t>72.0%</w:t>
            </w:r>
          </w:p>
        </w:tc>
        <w:tc>
          <w:tcPr>
            <w:tcW w:w="2119" w:type="dxa"/>
            <w:vAlign w:val="center"/>
          </w:tcPr>
          <w:p w14:paraId="793A1693" w14:textId="77777777" w:rsidR="000D2EB9" w:rsidRPr="005069E3" w:rsidRDefault="000D2EB9" w:rsidP="00230DFA">
            <w:pPr>
              <w:jc w:val="right"/>
              <w:rPr>
                <w:szCs w:val="28"/>
              </w:rPr>
            </w:pPr>
            <w:r w:rsidRPr="005069E3">
              <w:rPr>
                <w:rFonts w:cs="Arial"/>
                <w:color w:val="000000" w:themeColor="dark1"/>
                <w:kern w:val="24"/>
                <w:szCs w:val="28"/>
              </w:rPr>
              <w:t>68.6%</w:t>
            </w:r>
          </w:p>
        </w:tc>
        <w:tc>
          <w:tcPr>
            <w:tcW w:w="2042" w:type="dxa"/>
            <w:vAlign w:val="center"/>
          </w:tcPr>
          <w:p w14:paraId="44811065" w14:textId="77777777" w:rsidR="000D2EB9" w:rsidRPr="005069E3" w:rsidRDefault="000D2EB9" w:rsidP="00230DFA">
            <w:pPr>
              <w:jc w:val="right"/>
              <w:rPr>
                <w:szCs w:val="28"/>
              </w:rPr>
            </w:pPr>
            <w:r w:rsidRPr="005069E3">
              <w:rPr>
                <w:rFonts w:cs="Arial"/>
                <w:color w:val="000000" w:themeColor="dark1"/>
                <w:kern w:val="24"/>
                <w:szCs w:val="28"/>
              </w:rPr>
              <w:t>-3.4%</w:t>
            </w:r>
          </w:p>
        </w:tc>
      </w:tr>
    </w:tbl>
    <w:p w14:paraId="6DA7D43D" w14:textId="77777777" w:rsidR="008265B2" w:rsidRDefault="008265B2" w:rsidP="008265B2"/>
    <w:p w14:paraId="2507F6B8" w14:textId="3BC77387" w:rsidR="000D2EB9" w:rsidRPr="00DC182C" w:rsidRDefault="000D2EB9" w:rsidP="008265B2">
      <w:pPr>
        <w:pStyle w:val="Heading2"/>
      </w:pPr>
      <w:r w:rsidRPr="00DC182C">
        <w:t>SLIDE 6</w:t>
      </w:r>
      <w:r w:rsidR="008265B2">
        <w:t xml:space="preserve">: </w:t>
      </w:r>
      <w:r w:rsidRPr="00DC182C">
        <w:t>PE Overall Satisfaction Scores</w:t>
      </w:r>
    </w:p>
    <w:p w14:paraId="3D90B494" w14:textId="77777777" w:rsidR="000D2EB9" w:rsidRPr="00A70F50" w:rsidRDefault="000D2EB9" w:rsidP="008265B2">
      <w:pPr>
        <w:pStyle w:val="ListParagraph"/>
        <w:numPr>
          <w:ilvl w:val="0"/>
          <w:numId w:val="54"/>
        </w:numPr>
        <w:spacing w:after="160" w:line="259" w:lineRule="auto"/>
      </w:pPr>
      <w:r w:rsidRPr="00A70F50">
        <w:t>DOR Experience – 73.1%</w:t>
      </w:r>
    </w:p>
    <w:p w14:paraId="736C7365" w14:textId="77777777" w:rsidR="000D2EB9" w:rsidRPr="00A70F50" w:rsidRDefault="000D2EB9" w:rsidP="008265B2">
      <w:pPr>
        <w:pStyle w:val="ListParagraph"/>
        <w:numPr>
          <w:ilvl w:val="0"/>
          <w:numId w:val="54"/>
        </w:numPr>
        <w:spacing w:after="160" w:line="259" w:lineRule="auto"/>
      </w:pPr>
      <w:r w:rsidRPr="00A70F50">
        <w:t>DOR Counselors – 77.0%</w:t>
      </w:r>
    </w:p>
    <w:p w14:paraId="2293DD88" w14:textId="77777777" w:rsidR="000D2EB9" w:rsidRDefault="000D2EB9" w:rsidP="008265B2">
      <w:pPr>
        <w:pStyle w:val="ListParagraph"/>
        <w:numPr>
          <w:ilvl w:val="0"/>
          <w:numId w:val="54"/>
        </w:numPr>
        <w:spacing w:after="160" w:line="259" w:lineRule="auto"/>
      </w:pPr>
      <w:r w:rsidRPr="00A70F50">
        <w:t>Service Providers – 77.9%</w:t>
      </w:r>
    </w:p>
    <w:p w14:paraId="1723C276" w14:textId="1A486B43" w:rsidR="000D2EB9" w:rsidRPr="00DC182C" w:rsidRDefault="000D2EB9" w:rsidP="008265B2">
      <w:pPr>
        <w:pStyle w:val="Heading2"/>
      </w:pPr>
      <w:r w:rsidRPr="00DC182C">
        <w:t>SLIDE 7</w:t>
      </w:r>
      <w:r w:rsidR="008265B2">
        <w:t xml:space="preserve">: </w:t>
      </w:r>
      <w:r w:rsidRPr="00DC182C">
        <w:t>Distribution of Survey Responses by VR Consumer Disability Type</w:t>
      </w:r>
    </w:p>
    <w:tbl>
      <w:tblPr>
        <w:tblStyle w:val="TableGrid"/>
        <w:tblW w:w="0" w:type="auto"/>
        <w:tblInd w:w="720" w:type="dxa"/>
        <w:tblLook w:val="04A0" w:firstRow="1" w:lastRow="0" w:firstColumn="1" w:lastColumn="0" w:noHBand="0" w:noVBand="1"/>
      </w:tblPr>
      <w:tblGrid>
        <w:gridCol w:w="3501"/>
        <w:gridCol w:w="2554"/>
        <w:gridCol w:w="2575"/>
      </w:tblGrid>
      <w:tr w:rsidR="000D2EB9" w:rsidRPr="00D9756B" w14:paraId="76B49BEF" w14:textId="77777777" w:rsidTr="008265B2">
        <w:tc>
          <w:tcPr>
            <w:tcW w:w="3501" w:type="dxa"/>
          </w:tcPr>
          <w:p w14:paraId="51E7D766" w14:textId="77777777" w:rsidR="000D2EB9" w:rsidRPr="00D9756B" w:rsidRDefault="000D2EB9" w:rsidP="00230DFA">
            <w:pPr>
              <w:rPr>
                <w:b/>
                <w:bCs/>
                <w:szCs w:val="28"/>
              </w:rPr>
            </w:pPr>
            <w:r w:rsidRPr="00D9756B">
              <w:rPr>
                <w:b/>
                <w:bCs/>
                <w:szCs w:val="28"/>
              </w:rPr>
              <w:t>Disability Types</w:t>
            </w:r>
          </w:p>
        </w:tc>
        <w:tc>
          <w:tcPr>
            <w:tcW w:w="2554" w:type="dxa"/>
          </w:tcPr>
          <w:p w14:paraId="463F362D" w14:textId="77777777" w:rsidR="000D2EB9" w:rsidRPr="00D9756B" w:rsidRDefault="000D2EB9" w:rsidP="00230DFA">
            <w:pPr>
              <w:jc w:val="center"/>
              <w:rPr>
                <w:b/>
                <w:bCs/>
                <w:szCs w:val="28"/>
              </w:rPr>
            </w:pPr>
            <w:r w:rsidRPr="00D9756B">
              <w:rPr>
                <w:b/>
                <w:bCs/>
                <w:szCs w:val="28"/>
              </w:rPr>
              <w:t xml:space="preserve">Population Size </w:t>
            </w:r>
            <w:r w:rsidRPr="00D9756B">
              <w:rPr>
                <w:szCs w:val="28"/>
              </w:rPr>
              <w:t>(Percent of Total)</w:t>
            </w:r>
          </w:p>
        </w:tc>
        <w:tc>
          <w:tcPr>
            <w:tcW w:w="2575" w:type="dxa"/>
          </w:tcPr>
          <w:p w14:paraId="020E3930" w14:textId="77777777" w:rsidR="000D2EB9" w:rsidRPr="00D9756B" w:rsidRDefault="000D2EB9" w:rsidP="00230DFA">
            <w:pPr>
              <w:jc w:val="center"/>
              <w:rPr>
                <w:b/>
                <w:bCs/>
                <w:szCs w:val="28"/>
              </w:rPr>
            </w:pPr>
            <w:r w:rsidRPr="00D9756B">
              <w:rPr>
                <w:b/>
                <w:bCs/>
                <w:szCs w:val="28"/>
              </w:rPr>
              <w:t xml:space="preserve">Responses Received </w:t>
            </w:r>
            <w:r w:rsidRPr="00D9756B">
              <w:rPr>
                <w:szCs w:val="28"/>
              </w:rPr>
              <w:t>(Percent of Total</w:t>
            </w:r>
            <w:r>
              <w:rPr>
                <w:szCs w:val="28"/>
              </w:rPr>
              <w:t>)</w:t>
            </w:r>
          </w:p>
        </w:tc>
      </w:tr>
      <w:tr w:rsidR="000D2EB9" w:rsidRPr="00D9756B" w14:paraId="475AD022" w14:textId="77777777" w:rsidTr="008265B2">
        <w:tc>
          <w:tcPr>
            <w:tcW w:w="3501" w:type="dxa"/>
            <w:vAlign w:val="center"/>
          </w:tcPr>
          <w:p w14:paraId="09CF1432" w14:textId="77777777" w:rsidR="000D2EB9" w:rsidRPr="00D9756B" w:rsidRDefault="000D2EB9" w:rsidP="00230DFA">
            <w:pPr>
              <w:rPr>
                <w:szCs w:val="28"/>
              </w:rPr>
            </w:pPr>
            <w:r w:rsidRPr="00D9756B">
              <w:rPr>
                <w:rFonts w:cs="Arial"/>
                <w:color w:val="000000" w:themeColor="text1"/>
                <w:kern w:val="24"/>
                <w:szCs w:val="28"/>
              </w:rPr>
              <w:t>Psychiatric Disability</w:t>
            </w:r>
          </w:p>
        </w:tc>
        <w:tc>
          <w:tcPr>
            <w:tcW w:w="2554" w:type="dxa"/>
            <w:vAlign w:val="bottom"/>
          </w:tcPr>
          <w:p w14:paraId="684669A6" w14:textId="77777777" w:rsidR="000D2EB9" w:rsidRPr="00D9756B" w:rsidRDefault="000D2EB9" w:rsidP="00230DFA">
            <w:pPr>
              <w:jc w:val="right"/>
              <w:rPr>
                <w:szCs w:val="28"/>
              </w:rPr>
            </w:pPr>
            <w:r w:rsidRPr="00D9756B">
              <w:rPr>
                <w:rFonts w:eastAsia="Arial" w:cs="Arial"/>
                <w:color w:val="000000"/>
                <w:kern w:val="24"/>
                <w:szCs w:val="28"/>
              </w:rPr>
              <w:t>31.4%</w:t>
            </w:r>
          </w:p>
        </w:tc>
        <w:tc>
          <w:tcPr>
            <w:tcW w:w="2575" w:type="dxa"/>
            <w:vAlign w:val="bottom"/>
          </w:tcPr>
          <w:p w14:paraId="704FFAF1" w14:textId="77777777" w:rsidR="000D2EB9" w:rsidRPr="00D9756B" w:rsidRDefault="000D2EB9" w:rsidP="00230DFA">
            <w:pPr>
              <w:jc w:val="right"/>
              <w:rPr>
                <w:szCs w:val="28"/>
              </w:rPr>
            </w:pPr>
            <w:r w:rsidRPr="00D9756B">
              <w:rPr>
                <w:rFonts w:eastAsia="Arial" w:cs="Arial"/>
                <w:color w:val="000000"/>
                <w:kern w:val="24"/>
                <w:szCs w:val="28"/>
              </w:rPr>
              <w:t>21.0%</w:t>
            </w:r>
          </w:p>
        </w:tc>
      </w:tr>
      <w:tr w:rsidR="000D2EB9" w:rsidRPr="00D9756B" w14:paraId="7ED213C0" w14:textId="77777777" w:rsidTr="008265B2">
        <w:tc>
          <w:tcPr>
            <w:tcW w:w="3501" w:type="dxa"/>
            <w:vAlign w:val="center"/>
          </w:tcPr>
          <w:p w14:paraId="01EF8771" w14:textId="77777777" w:rsidR="000D2EB9" w:rsidRPr="00D9756B" w:rsidRDefault="000D2EB9" w:rsidP="00230DFA">
            <w:pPr>
              <w:rPr>
                <w:szCs w:val="28"/>
              </w:rPr>
            </w:pPr>
            <w:r w:rsidRPr="00D9756B">
              <w:rPr>
                <w:rFonts w:cs="Arial"/>
                <w:color w:val="000000" w:themeColor="text1"/>
                <w:kern w:val="24"/>
                <w:szCs w:val="28"/>
              </w:rPr>
              <w:t>Physical Disability</w:t>
            </w:r>
          </w:p>
        </w:tc>
        <w:tc>
          <w:tcPr>
            <w:tcW w:w="2554" w:type="dxa"/>
            <w:vAlign w:val="bottom"/>
          </w:tcPr>
          <w:p w14:paraId="5D2B9A6B" w14:textId="77777777" w:rsidR="000D2EB9" w:rsidRPr="00D9756B" w:rsidRDefault="000D2EB9" w:rsidP="00230DFA">
            <w:pPr>
              <w:jc w:val="right"/>
              <w:rPr>
                <w:szCs w:val="28"/>
              </w:rPr>
            </w:pPr>
            <w:r w:rsidRPr="00D9756B">
              <w:rPr>
                <w:rFonts w:eastAsia="Arial" w:cs="Arial"/>
                <w:color w:val="000000"/>
                <w:kern w:val="24"/>
                <w:szCs w:val="28"/>
              </w:rPr>
              <w:t>17.6%</w:t>
            </w:r>
          </w:p>
        </w:tc>
        <w:tc>
          <w:tcPr>
            <w:tcW w:w="2575" w:type="dxa"/>
            <w:vAlign w:val="bottom"/>
          </w:tcPr>
          <w:p w14:paraId="6CCFE6B1" w14:textId="77777777" w:rsidR="000D2EB9" w:rsidRPr="00D9756B" w:rsidRDefault="000D2EB9" w:rsidP="00230DFA">
            <w:pPr>
              <w:jc w:val="right"/>
              <w:rPr>
                <w:szCs w:val="28"/>
              </w:rPr>
            </w:pPr>
            <w:r w:rsidRPr="00D9756B">
              <w:rPr>
                <w:rFonts w:eastAsia="Arial" w:cs="Arial"/>
                <w:color w:val="000000"/>
                <w:kern w:val="24"/>
                <w:szCs w:val="28"/>
              </w:rPr>
              <w:t>20.1%</w:t>
            </w:r>
          </w:p>
        </w:tc>
      </w:tr>
      <w:tr w:rsidR="000D2EB9" w:rsidRPr="00D9756B" w14:paraId="4801436B" w14:textId="77777777" w:rsidTr="008265B2">
        <w:tc>
          <w:tcPr>
            <w:tcW w:w="3501" w:type="dxa"/>
            <w:vAlign w:val="center"/>
          </w:tcPr>
          <w:p w14:paraId="5C4CABE7" w14:textId="77777777" w:rsidR="000D2EB9" w:rsidRPr="00D9756B" w:rsidRDefault="000D2EB9" w:rsidP="00230DFA">
            <w:pPr>
              <w:rPr>
                <w:szCs w:val="28"/>
              </w:rPr>
            </w:pPr>
            <w:r w:rsidRPr="00D9756B">
              <w:rPr>
                <w:rFonts w:cs="Arial"/>
                <w:color w:val="000000" w:themeColor="text1"/>
                <w:kern w:val="24"/>
                <w:szCs w:val="28"/>
              </w:rPr>
              <w:t>Intellectual/Developmental Disability</w:t>
            </w:r>
          </w:p>
        </w:tc>
        <w:tc>
          <w:tcPr>
            <w:tcW w:w="2554" w:type="dxa"/>
            <w:vAlign w:val="bottom"/>
          </w:tcPr>
          <w:p w14:paraId="046BA034" w14:textId="77777777" w:rsidR="000D2EB9" w:rsidRPr="00D9756B" w:rsidRDefault="000D2EB9" w:rsidP="00230DFA">
            <w:pPr>
              <w:jc w:val="right"/>
              <w:rPr>
                <w:szCs w:val="28"/>
              </w:rPr>
            </w:pPr>
            <w:r w:rsidRPr="00D9756B">
              <w:rPr>
                <w:rFonts w:eastAsia="Arial" w:cs="Arial"/>
                <w:color w:val="000000"/>
                <w:kern w:val="24"/>
                <w:szCs w:val="28"/>
              </w:rPr>
              <w:t>15.7%</w:t>
            </w:r>
          </w:p>
        </w:tc>
        <w:tc>
          <w:tcPr>
            <w:tcW w:w="2575" w:type="dxa"/>
            <w:vAlign w:val="bottom"/>
          </w:tcPr>
          <w:p w14:paraId="2FED91DB" w14:textId="77777777" w:rsidR="000D2EB9" w:rsidRPr="00D9756B" w:rsidRDefault="000D2EB9" w:rsidP="00230DFA">
            <w:pPr>
              <w:jc w:val="right"/>
              <w:rPr>
                <w:szCs w:val="28"/>
              </w:rPr>
            </w:pPr>
            <w:r w:rsidRPr="00D9756B">
              <w:rPr>
                <w:rFonts w:eastAsia="Arial" w:cs="Arial"/>
                <w:color w:val="000000"/>
                <w:kern w:val="24"/>
                <w:szCs w:val="28"/>
              </w:rPr>
              <w:t>10.6%</w:t>
            </w:r>
          </w:p>
        </w:tc>
      </w:tr>
      <w:tr w:rsidR="000D2EB9" w:rsidRPr="00D9756B" w14:paraId="03D5D487" w14:textId="77777777" w:rsidTr="008265B2">
        <w:tc>
          <w:tcPr>
            <w:tcW w:w="3501" w:type="dxa"/>
            <w:vAlign w:val="center"/>
          </w:tcPr>
          <w:p w14:paraId="738436EF" w14:textId="77777777" w:rsidR="000D2EB9" w:rsidRPr="00D9756B" w:rsidRDefault="000D2EB9" w:rsidP="00230DFA">
            <w:pPr>
              <w:rPr>
                <w:szCs w:val="28"/>
              </w:rPr>
            </w:pPr>
            <w:r w:rsidRPr="00D9756B">
              <w:rPr>
                <w:rFonts w:cs="Arial"/>
                <w:color w:val="000000" w:themeColor="text1"/>
                <w:kern w:val="24"/>
                <w:szCs w:val="28"/>
              </w:rPr>
              <w:t>Learning Disability</w:t>
            </w:r>
          </w:p>
        </w:tc>
        <w:tc>
          <w:tcPr>
            <w:tcW w:w="2554" w:type="dxa"/>
            <w:vAlign w:val="bottom"/>
          </w:tcPr>
          <w:p w14:paraId="323C7193" w14:textId="77777777" w:rsidR="000D2EB9" w:rsidRPr="00D9756B" w:rsidRDefault="000D2EB9" w:rsidP="00230DFA">
            <w:pPr>
              <w:jc w:val="right"/>
              <w:rPr>
                <w:szCs w:val="28"/>
              </w:rPr>
            </w:pPr>
            <w:r w:rsidRPr="00D9756B">
              <w:rPr>
                <w:rFonts w:eastAsia="Arial" w:cs="Arial"/>
                <w:color w:val="000000"/>
                <w:kern w:val="24"/>
                <w:szCs w:val="28"/>
              </w:rPr>
              <w:t>13.3%</w:t>
            </w:r>
          </w:p>
        </w:tc>
        <w:tc>
          <w:tcPr>
            <w:tcW w:w="2575" w:type="dxa"/>
            <w:vAlign w:val="bottom"/>
          </w:tcPr>
          <w:p w14:paraId="53DDECE4" w14:textId="77777777" w:rsidR="000D2EB9" w:rsidRPr="00D9756B" w:rsidRDefault="000D2EB9" w:rsidP="00230DFA">
            <w:pPr>
              <w:jc w:val="right"/>
              <w:rPr>
                <w:szCs w:val="28"/>
              </w:rPr>
            </w:pPr>
            <w:r w:rsidRPr="00D9756B">
              <w:rPr>
                <w:rFonts w:eastAsia="Arial" w:cs="Arial"/>
                <w:color w:val="000000"/>
                <w:kern w:val="24"/>
                <w:szCs w:val="28"/>
              </w:rPr>
              <w:t>24.3%</w:t>
            </w:r>
          </w:p>
        </w:tc>
      </w:tr>
      <w:tr w:rsidR="000D2EB9" w:rsidRPr="00D9756B" w14:paraId="11BA5817" w14:textId="77777777" w:rsidTr="008265B2">
        <w:tc>
          <w:tcPr>
            <w:tcW w:w="3501" w:type="dxa"/>
            <w:vAlign w:val="center"/>
          </w:tcPr>
          <w:p w14:paraId="3D46EF86" w14:textId="77777777" w:rsidR="000D2EB9" w:rsidRPr="00D9756B" w:rsidRDefault="000D2EB9" w:rsidP="00230DFA">
            <w:pPr>
              <w:rPr>
                <w:szCs w:val="28"/>
              </w:rPr>
            </w:pPr>
            <w:r w:rsidRPr="00D9756B">
              <w:rPr>
                <w:rFonts w:cs="Arial"/>
                <w:color w:val="000000" w:themeColor="text1"/>
                <w:kern w:val="24"/>
                <w:szCs w:val="28"/>
              </w:rPr>
              <w:t>Cognitive Impairment</w:t>
            </w:r>
          </w:p>
        </w:tc>
        <w:tc>
          <w:tcPr>
            <w:tcW w:w="2554" w:type="dxa"/>
            <w:vAlign w:val="bottom"/>
          </w:tcPr>
          <w:p w14:paraId="655FAF29" w14:textId="77777777" w:rsidR="000D2EB9" w:rsidRPr="00D9756B" w:rsidRDefault="000D2EB9" w:rsidP="00230DFA">
            <w:pPr>
              <w:jc w:val="right"/>
              <w:rPr>
                <w:szCs w:val="28"/>
              </w:rPr>
            </w:pPr>
            <w:r w:rsidRPr="00D9756B">
              <w:rPr>
                <w:rFonts w:eastAsia="Arial" w:cs="Arial"/>
                <w:color w:val="000000"/>
                <w:kern w:val="24"/>
                <w:szCs w:val="28"/>
              </w:rPr>
              <w:t>7.0%</w:t>
            </w:r>
          </w:p>
        </w:tc>
        <w:tc>
          <w:tcPr>
            <w:tcW w:w="2575" w:type="dxa"/>
            <w:vAlign w:val="bottom"/>
          </w:tcPr>
          <w:p w14:paraId="22CF9CAD" w14:textId="77777777" w:rsidR="000D2EB9" w:rsidRPr="00D9756B" w:rsidRDefault="000D2EB9" w:rsidP="00230DFA">
            <w:pPr>
              <w:jc w:val="right"/>
              <w:rPr>
                <w:szCs w:val="28"/>
              </w:rPr>
            </w:pPr>
            <w:r w:rsidRPr="00D9756B">
              <w:rPr>
                <w:rFonts w:eastAsia="Arial" w:cs="Arial"/>
                <w:color w:val="000000"/>
                <w:kern w:val="24"/>
                <w:szCs w:val="28"/>
              </w:rPr>
              <w:t>6.3%</w:t>
            </w:r>
          </w:p>
        </w:tc>
      </w:tr>
      <w:tr w:rsidR="000D2EB9" w:rsidRPr="00D9756B" w14:paraId="1AA61878" w14:textId="77777777" w:rsidTr="008265B2">
        <w:tc>
          <w:tcPr>
            <w:tcW w:w="3501" w:type="dxa"/>
            <w:vAlign w:val="center"/>
          </w:tcPr>
          <w:p w14:paraId="34D22985" w14:textId="77777777" w:rsidR="000D2EB9" w:rsidRPr="00D9756B" w:rsidRDefault="000D2EB9" w:rsidP="00230DFA">
            <w:pPr>
              <w:rPr>
                <w:szCs w:val="28"/>
              </w:rPr>
            </w:pPr>
            <w:r w:rsidRPr="00D9756B">
              <w:rPr>
                <w:rFonts w:cs="Arial"/>
                <w:color w:val="000000" w:themeColor="text1"/>
                <w:kern w:val="24"/>
                <w:szCs w:val="28"/>
              </w:rPr>
              <w:t>Deaf/Hard of Hearing</w:t>
            </w:r>
          </w:p>
        </w:tc>
        <w:tc>
          <w:tcPr>
            <w:tcW w:w="2554" w:type="dxa"/>
            <w:vAlign w:val="bottom"/>
          </w:tcPr>
          <w:p w14:paraId="7D8FB1DF" w14:textId="77777777" w:rsidR="000D2EB9" w:rsidRPr="00D9756B" w:rsidRDefault="000D2EB9" w:rsidP="00230DFA">
            <w:pPr>
              <w:jc w:val="right"/>
              <w:rPr>
                <w:szCs w:val="28"/>
              </w:rPr>
            </w:pPr>
            <w:r w:rsidRPr="00D9756B">
              <w:rPr>
                <w:rFonts w:eastAsia="Arial" w:cs="Arial"/>
                <w:color w:val="000000"/>
                <w:kern w:val="24"/>
                <w:szCs w:val="28"/>
              </w:rPr>
              <w:t>6.3%</w:t>
            </w:r>
          </w:p>
        </w:tc>
        <w:tc>
          <w:tcPr>
            <w:tcW w:w="2575" w:type="dxa"/>
            <w:vAlign w:val="bottom"/>
          </w:tcPr>
          <w:p w14:paraId="0CA7C10F" w14:textId="77777777" w:rsidR="000D2EB9" w:rsidRPr="00D9756B" w:rsidRDefault="000D2EB9" w:rsidP="00230DFA">
            <w:pPr>
              <w:jc w:val="right"/>
              <w:rPr>
                <w:szCs w:val="28"/>
              </w:rPr>
            </w:pPr>
            <w:r w:rsidRPr="00D9756B">
              <w:rPr>
                <w:rFonts w:eastAsia="Arial" w:cs="Arial"/>
                <w:color w:val="000000"/>
                <w:kern w:val="24"/>
                <w:szCs w:val="28"/>
              </w:rPr>
              <w:t>4.5%</w:t>
            </w:r>
          </w:p>
        </w:tc>
      </w:tr>
      <w:tr w:rsidR="000D2EB9" w:rsidRPr="00D9756B" w14:paraId="52127232" w14:textId="77777777" w:rsidTr="008265B2">
        <w:tc>
          <w:tcPr>
            <w:tcW w:w="3501" w:type="dxa"/>
            <w:vAlign w:val="center"/>
          </w:tcPr>
          <w:p w14:paraId="71057A06" w14:textId="77777777" w:rsidR="000D2EB9" w:rsidRPr="00D9756B" w:rsidRDefault="000D2EB9" w:rsidP="00230DFA">
            <w:pPr>
              <w:rPr>
                <w:szCs w:val="28"/>
              </w:rPr>
            </w:pPr>
            <w:r w:rsidRPr="00D9756B">
              <w:rPr>
                <w:rFonts w:cs="Arial"/>
                <w:color w:val="000000" w:themeColor="text1"/>
                <w:kern w:val="24"/>
                <w:szCs w:val="28"/>
              </w:rPr>
              <w:t>Blind/Visually Impaired</w:t>
            </w:r>
          </w:p>
        </w:tc>
        <w:tc>
          <w:tcPr>
            <w:tcW w:w="2554" w:type="dxa"/>
            <w:vAlign w:val="bottom"/>
          </w:tcPr>
          <w:p w14:paraId="7A272E7D" w14:textId="77777777" w:rsidR="000D2EB9" w:rsidRPr="00D9756B" w:rsidRDefault="000D2EB9" w:rsidP="00230DFA">
            <w:pPr>
              <w:jc w:val="right"/>
              <w:rPr>
                <w:szCs w:val="28"/>
              </w:rPr>
            </w:pPr>
            <w:r w:rsidRPr="00D9756B">
              <w:rPr>
                <w:rFonts w:eastAsia="Arial" w:cs="Arial"/>
                <w:color w:val="000000"/>
                <w:kern w:val="24"/>
                <w:szCs w:val="28"/>
              </w:rPr>
              <w:t>6.1%</w:t>
            </w:r>
          </w:p>
        </w:tc>
        <w:tc>
          <w:tcPr>
            <w:tcW w:w="2575" w:type="dxa"/>
            <w:vAlign w:val="bottom"/>
          </w:tcPr>
          <w:p w14:paraId="4C2F6A6B" w14:textId="77777777" w:rsidR="000D2EB9" w:rsidRPr="00D9756B" w:rsidRDefault="000D2EB9" w:rsidP="00230DFA">
            <w:pPr>
              <w:jc w:val="right"/>
              <w:rPr>
                <w:szCs w:val="28"/>
              </w:rPr>
            </w:pPr>
            <w:r w:rsidRPr="00D9756B">
              <w:rPr>
                <w:rFonts w:eastAsia="Arial" w:cs="Arial"/>
                <w:color w:val="000000"/>
                <w:kern w:val="24"/>
                <w:szCs w:val="28"/>
              </w:rPr>
              <w:t>6.3%</w:t>
            </w:r>
          </w:p>
        </w:tc>
      </w:tr>
      <w:tr w:rsidR="000D2EB9" w:rsidRPr="00D9756B" w14:paraId="32B52FB4" w14:textId="77777777" w:rsidTr="008265B2">
        <w:tc>
          <w:tcPr>
            <w:tcW w:w="3501" w:type="dxa"/>
            <w:vAlign w:val="center"/>
          </w:tcPr>
          <w:p w14:paraId="28B3D483" w14:textId="77777777" w:rsidR="000D2EB9" w:rsidRPr="00D9756B" w:rsidRDefault="000D2EB9" w:rsidP="00230DFA">
            <w:pPr>
              <w:rPr>
                <w:szCs w:val="28"/>
              </w:rPr>
            </w:pPr>
            <w:r w:rsidRPr="00D9756B">
              <w:rPr>
                <w:rFonts w:cs="Arial"/>
                <w:color w:val="000000" w:themeColor="text1"/>
                <w:kern w:val="24"/>
                <w:szCs w:val="28"/>
              </w:rPr>
              <w:t>Traumatic Brain Injury</w:t>
            </w:r>
          </w:p>
        </w:tc>
        <w:tc>
          <w:tcPr>
            <w:tcW w:w="2554" w:type="dxa"/>
            <w:vAlign w:val="bottom"/>
          </w:tcPr>
          <w:p w14:paraId="15EC7218" w14:textId="77777777" w:rsidR="000D2EB9" w:rsidRPr="00D9756B" w:rsidRDefault="000D2EB9" w:rsidP="00230DFA">
            <w:pPr>
              <w:jc w:val="right"/>
              <w:rPr>
                <w:szCs w:val="28"/>
              </w:rPr>
            </w:pPr>
            <w:r w:rsidRPr="00D9756B">
              <w:rPr>
                <w:rFonts w:eastAsia="Arial" w:cs="Arial"/>
                <w:color w:val="000000"/>
                <w:kern w:val="24"/>
                <w:szCs w:val="28"/>
              </w:rPr>
              <w:t>1.3%</w:t>
            </w:r>
          </w:p>
        </w:tc>
        <w:tc>
          <w:tcPr>
            <w:tcW w:w="2575" w:type="dxa"/>
            <w:vAlign w:val="bottom"/>
          </w:tcPr>
          <w:p w14:paraId="2AE1C7A8" w14:textId="77777777" w:rsidR="000D2EB9" w:rsidRPr="00D9756B" w:rsidRDefault="000D2EB9" w:rsidP="00230DFA">
            <w:pPr>
              <w:jc w:val="right"/>
              <w:rPr>
                <w:szCs w:val="28"/>
              </w:rPr>
            </w:pPr>
            <w:r w:rsidRPr="00D9756B">
              <w:rPr>
                <w:rFonts w:eastAsia="Arial" w:cs="Arial"/>
                <w:color w:val="000000"/>
                <w:kern w:val="24"/>
                <w:szCs w:val="28"/>
              </w:rPr>
              <w:t>4.8%</w:t>
            </w:r>
          </w:p>
        </w:tc>
      </w:tr>
      <w:tr w:rsidR="000D2EB9" w:rsidRPr="00D9756B" w14:paraId="3F301E5E" w14:textId="77777777" w:rsidTr="008265B2">
        <w:tc>
          <w:tcPr>
            <w:tcW w:w="3501" w:type="dxa"/>
            <w:vAlign w:val="center"/>
          </w:tcPr>
          <w:p w14:paraId="6BF3E4A7" w14:textId="77777777" w:rsidR="000D2EB9" w:rsidRPr="00D9756B" w:rsidRDefault="000D2EB9" w:rsidP="00230DFA">
            <w:pPr>
              <w:rPr>
                <w:szCs w:val="28"/>
              </w:rPr>
            </w:pPr>
            <w:r w:rsidRPr="00D9756B">
              <w:rPr>
                <w:rFonts w:cs="Arial"/>
                <w:color w:val="000000" w:themeColor="text1"/>
                <w:kern w:val="24"/>
                <w:szCs w:val="28"/>
              </w:rPr>
              <w:t>Not Reported</w:t>
            </w:r>
          </w:p>
        </w:tc>
        <w:tc>
          <w:tcPr>
            <w:tcW w:w="2554" w:type="dxa"/>
            <w:vAlign w:val="bottom"/>
          </w:tcPr>
          <w:p w14:paraId="0697D9D3" w14:textId="77777777" w:rsidR="000D2EB9" w:rsidRPr="00D9756B" w:rsidRDefault="000D2EB9" w:rsidP="00230DFA">
            <w:pPr>
              <w:jc w:val="right"/>
              <w:rPr>
                <w:szCs w:val="28"/>
              </w:rPr>
            </w:pPr>
            <w:r w:rsidRPr="00D9756B">
              <w:rPr>
                <w:rFonts w:eastAsia="Arial" w:cs="Arial"/>
                <w:color w:val="000000"/>
                <w:kern w:val="24"/>
                <w:szCs w:val="28"/>
              </w:rPr>
              <w:t>1.2%</w:t>
            </w:r>
          </w:p>
        </w:tc>
        <w:tc>
          <w:tcPr>
            <w:tcW w:w="2575" w:type="dxa"/>
            <w:vAlign w:val="bottom"/>
          </w:tcPr>
          <w:p w14:paraId="0A8C3093" w14:textId="77777777" w:rsidR="000D2EB9" w:rsidRPr="00D9756B" w:rsidRDefault="000D2EB9" w:rsidP="00230DFA">
            <w:pPr>
              <w:jc w:val="right"/>
              <w:rPr>
                <w:szCs w:val="28"/>
              </w:rPr>
            </w:pPr>
            <w:r w:rsidRPr="00D9756B">
              <w:rPr>
                <w:rFonts w:eastAsia="Arial" w:cs="Arial"/>
                <w:color w:val="000000"/>
                <w:kern w:val="24"/>
                <w:szCs w:val="28"/>
              </w:rPr>
              <w:t>2.3%</w:t>
            </w:r>
          </w:p>
        </w:tc>
      </w:tr>
      <w:tr w:rsidR="000D2EB9" w:rsidRPr="00D9756B" w14:paraId="299B58D8" w14:textId="77777777" w:rsidTr="008265B2">
        <w:tc>
          <w:tcPr>
            <w:tcW w:w="3501" w:type="dxa"/>
            <w:vAlign w:val="center"/>
          </w:tcPr>
          <w:p w14:paraId="3409C102" w14:textId="77777777" w:rsidR="000D2EB9" w:rsidRPr="00D9756B" w:rsidRDefault="000D2EB9" w:rsidP="00230DFA">
            <w:pPr>
              <w:rPr>
                <w:szCs w:val="28"/>
              </w:rPr>
            </w:pPr>
            <w:r w:rsidRPr="00D9756B">
              <w:rPr>
                <w:rFonts w:cs="Arial"/>
                <w:b/>
                <w:bCs/>
                <w:i/>
                <w:iCs/>
                <w:color w:val="000000" w:themeColor="text1"/>
                <w:kern w:val="24"/>
                <w:szCs w:val="28"/>
              </w:rPr>
              <w:t>Total (count)</w:t>
            </w:r>
          </w:p>
        </w:tc>
        <w:tc>
          <w:tcPr>
            <w:tcW w:w="2554" w:type="dxa"/>
            <w:vAlign w:val="bottom"/>
          </w:tcPr>
          <w:p w14:paraId="753E40CA" w14:textId="77777777" w:rsidR="000D2EB9" w:rsidRPr="00D9756B" w:rsidRDefault="000D2EB9" w:rsidP="00230DFA">
            <w:pPr>
              <w:jc w:val="right"/>
              <w:rPr>
                <w:szCs w:val="28"/>
              </w:rPr>
            </w:pPr>
            <w:r w:rsidRPr="00D9756B">
              <w:rPr>
                <w:rFonts w:eastAsia="Arial" w:cs="Arial"/>
                <w:b/>
                <w:bCs/>
                <w:i/>
                <w:iCs/>
                <w:color w:val="000000"/>
                <w:kern w:val="24"/>
                <w:szCs w:val="28"/>
              </w:rPr>
              <w:t>75,272</w:t>
            </w:r>
          </w:p>
        </w:tc>
        <w:tc>
          <w:tcPr>
            <w:tcW w:w="2575" w:type="dxa"/>
            <w:vAlign w:val="bottom"/>
          </w:tcPr>
          <w:p w14:paraId="70488821" w14:textId="77777777" w:rsidR="000D2EB9" w:rsidRPr="00D9756B" w:rsidRDefault="000D2EB9" w:rsidP="00230DFA">
            <w:pPr>
              <w:jc w:val="right"/>
              <w:rPr>
                <w:szCs w:val="28"/>
              </w:rPr>
            </w:pPr>
            <w:r w:rsidRPr="00D9756B">
              <w:rPr>
                <w:rFonts w:eastAsia="Arial" w:cs="Arial"/>
                <w:b/>
                <w:bCs/>
                <w:i/>
                <w:iCs/>
                <w:color w:val="000000"/>
                <w:kern w:val="24"/>
                <w:szCs w:val="28"/>
              </w:rPr>
              <w:t>1,200</w:t>
            </w:r>
          </w:p>
        </w:tc>
      </w:tr>
    </w:tbl>
    <w:p w14:paraId="5438BA43" w14:textId="77777777" w:rsidR="008265B2" w:rsidRDefault="008265B2" w:rsidP="008265B2"/>
    <w:p w14:paraId="3102F830" w14:textId="264F889D" w:rsidR="000D2EB9" w:rsidRPr="00504AE9" w:rsidRDefault="000D2EB9" w:rsidP="008265B2">
      <w:pPr>
        <w:pStyle w:val="Heading2"/>
      </w:pPr>
      <w:r w:rsidRPr="00DC182C">
        <w:lastRenderedPageBreak/>
        <w:t>SLIDE 8</w:t>
      </w:r>
      <w:r w:rsidR="008265B2">
        <w:t xml:space="preserve">: </w:t>
      </w:r>
      <w:r w:rsidRPr="00504AE9">
        <w:t>Satisfaction and VR Consumer Disability Type</w:t>
      </w:r>
    </w:p>
    <w:tbl>
      <w:tblPr>
        <w:tblStyle w:val="TableGrid"/>
        <w:tblW w:w="8784" w:type="dxa"/>
        <w:tblLayout w:type="fixed"/>
        <w:tblLook w:val="04A0" w:firstRow="1" w:lastRow="0" w:firstColumn="1" w:lastColumn="0" w:noHBand="0" w:noVBand="1"/>
      </w:tblPr>
      <w:tblGrid>
        <w:gridCol w:w="3600"/>
        <w:gridCol w:w="1728"/>
        <w:gridCol w:w="1728"/>
        <w:gridCol w:w="1728"/>
      </w:tblGrid>
      <w:tr w:rsidR="000D2EB9" w:rsidRPr="00223E94" w14:paraId="59FE49F6" w14:textId="77777777" w:rsidTr="00230DFA">
        <w:tc>
          <w:tcPr>
            <w:tcW w:w="3600" w:type="dxa"/>
            <w:vAlign w:val="bottom"/>
          </w:tcPr>
          <w:p w14:paraId="59F80CCC" w14:textId="77777777" w:rsidR="000D2EB9" w:rsidRPr="00223E94" w:rsidRDefault="000D2EB9" w:rsidP="00230DFA">
            <w:pPr>
              <w:rPr>
                <w:b/>
                <w:bCs/>
                <w:color w:val="000000" w:themeColor="text1"/>
              </w:rPr>
            </w:pPr>
            <w:r>
              <w:rPr>
                <w:b/>
                <w:bCs/>
                <w:color w:val="000000" w:themeColor="text1"/>
              </w:rPr>
              <w:t>Disability Type</w:t>
            </w:r>
          </w:p>
        </w:tc>
        <w:tc>
          <w:tcPr>
            <w:tcW w:w="1728" w:type="dxa"/>
            <w:vAlign w:val="bottom"/>
          </w:tcPr>
          <w:p w14:paraId="1C0FD344" w14:textId="77777777" w:rsidR="000D2EB9" w:rsidRPr="00223E94" w:rsidRDefault="000D2EB9" w:rsidP="00230DFA">
            <w:pPr>
              <w:jc w:val="center"/>
              <w:rPr>
                <w:b/>
                <w:bCs/>
                <w:color w:val="000000" w:themeColor="text1"/>
              </w:rPr>
            </w:pPr>
            <w:r w:rsidRPr="00223E94">
              <w:rPr>
                <w:rFonts w:cs="Arial"/>
                <w:b/>
                <w:bCs/>
                <w:color w:val="000000"/>
              </w:rPr>
              <w:t>DOR Experience</w:t>
            </w:r>
          </w:p>
        </w:tc>
        <w:tc>
          <w:tcPr>
            <w:tcW w:w="1728" w:type="dxa"/>
            <w:vAlign w:val="bottom"/>
          </w:tcPr>
          <w:p w14:paraId="2628936C" w14:textId="77777777" w:rsidR="000D2EB9" w:rsidRPr="00223E94" w:rsidRDefault="000D2EB9" w:rsidP="00230DFA">
            <w:pPr>
              <w:jc w:val="center"/>
              <w:rPr>
                <w:b/>
                <w:bCs/>
                <w:color w:val="000000" w:themeColor="text1"/>
              </w:rPr>
            </w:pPr>
            <w:r w:rsidRPr="00223E94">
              <w:rPr>
                <w:rFonts w:cs="Arial"/>
                <w:b/>
                <w:bCs/>
                <w:color w:val="000000"/>
              </w:rPr>
              <w:t>DOR Counselor</w:t>
            </w:r>
          </w:p>
        </w:tc>
        <w:tc>
          <w:tcPr>
            <w:tcW w:w="1728" w:type="dxa"/>
            <w:vAlign w:val="bottom"/>
          </w:tcPr>
          <w:p w14:paraId="7DAC6727" w14:textId="77777777" w:rsidR="000D2EB9" w:rsidRPr="00223E94" w:rsidRDefault="000D2EB9" w:rsidP="00230DFA">
            <w:pPr>
              <w:jc w:val="center"/>
              <w:rPr>
                <w:b/>
                <w:bCs/>
                <w:color w:val="000000" w:themeColor="text1"/>
              </w:rPr>
            </w:pPr>
            <w:r w:rsidRPr="00223E94">
              <w:rPr>
                <w:rFonts w:cs="Arial"/>
                <w:b/>
                <w:bCs/>
                <w:color w:val="000000"/>
              </w:rPr>
              <w:t>Service Providers</w:t>
            </w:r>
          </w:p>
        </w:tc>
      </w:tr>
      <w:tr w:rsidR="000D2EB9" w14:paraId="3A93EF17" w14:textId="77777777" w:rsidTr="00230DFA">
        <w:tc>
          <w:tcPr>
            <w:tcW w:w="3600" w:type="dxa"/>
            <w:vAlign w:val="bottom"/>
          </w:tcPr>
          <w:p w14:paraId="0B6859E2" w14:textId="77777777" w:rsidR="000D2EB9" w:rsidRDefault="000D2EB9" w:rsidP="00230DFA">
            <w:r>
              <w:rPr>
                <w:rFonts w:cs="Arial"/>
                <w:color w:val="000000"/>
              </w:rPr>
              <w:t>Deaf/ Hard of Hearing</w:t>
            </w:r>
          </w:p>
        </w:tc>
        <w:tc>
          <w:tcPr>
            <w:tcW w:w="1728" w:type="dxa"/>
            <w:vAlign w:val="bottom"/>
          </w:tcPr>
          <w:p w14:paraId="3D4CDBB7" w14:textId="77777777" w:rsidR="000D2EB9" w:rsidRDefault="000D2EB9" w:rsidP="00230DFA">
            <w:pPr>
              <w:jc w:val="right"/>
            </w:pPr>
            <w:r>
              <w:rPr>
                <w:rFonts w:cs="Arial"/>
                <w:color w:val="000000"/>
                <w:kern w:val="24"/>
              </w:rPr>
              <w:t>82.4%</w:t>
            </w:r>
          </w:p>
        </w:tc>
        <w:tc>
          <w:tcPr>
            <w:tcW w:w="1728" w:type="dxa"/>
            <w:vAlign w:val="bottom"/>
          </w:tcPr>
          <w:p w14:paraId="4895C031" w14:textId="77777777" w:rsidR="000D2EB9" w:rsidRDefault="000D2EB9" w:rsidP="00230DFA">
            <w:pPr>
              <w:jc w:val="right"/>
            </w:pPr>
            <w:r>
              <w:rPr>
                <w:rFonts w:cs="Arial"/>
                <w:color w:val="000000"/>
                <w:kern w:val="24"/>
              </w:rPr>
              <w:t>81.3%</w:t>
            </w:r>
          </w:p>
        </w:tc>
        <w:tc>
          <w:tcPr>
            <w:tcW w:w="1728" w:type="dxa"/>
            <w:vAlign w:val="bottom"/>
          </w:tcPr>
          <w:p w14:paraId="33FAE0EF" w14:textId="77777777" w:rsidR="000D2EB9" w:rsidRDefault="000D2EB9" w:rsidP="00230DFA">
            <w:pPr>
              <w:jc w:val="right"/>
            </w:pPr>
            <w:r>
              <w:rPr>
                <w:rFonts w:cs="Arial"/>
                <w:color w:val="000000"/>
                <w:kern w:val="24"/>
              </w:rPr>
              <w:t>84.8%*</w:t>
            </w:r>
          </w:p>
        </w:tc>
      </w:tr>
      <w:tr w:rsidR="000D2EB9" w14:paraId="26CA7ED2" w14:textId="77777777" w:rsidTr="00230DFA">
        <w:tc>
          <w:tcPr>
            <w:tcW w:w="3600" w:type="dxa"/>
            <w:vAlign w:val="bottom"/>
          </w:tcPr>
          <w:p w14:paraId="58481D05" w14:textId="77777777" w:rsidR="000D2EB9" w:rsidRDefault="000D2EB9" w:rsidP="00230DFA">
            <w:r>
              <w:rPr>
                <w:rFonts w:cs="Arial"/>
                <w:color w:val="000000"/>
              </w:rPr>
              <w:t>Learning Disability</w:t>
            </w:r>
          </w:p>
        </w:tc>
        <w:tc>
          <w:tcPr>
            <w:tcW w:w="1728" w:type="dxa"/>
            <w:vAlign w:val="bottom"/>
          </w:tcPr>
          <w:p w14:paraId="618E3696" w14:textId="77777777" w:rsidR="000D2EB9" w:rsidRDefault="000D2EB9" w:rsidP="00230DFA">
            <w:pPr>
              <w:jc w:val="right"/>
            </w:pPr>
            <w:r>
              <w:rPr>
                <w:rFonts w:cs="Arial"/>
                <w:color w:val="000000"/>
                <w:kern w:val="24"/>
              </w:rPr>
              <w:t>78.0%</w:t>
            </w:r>
          </w:p>
        </w:tc>
        <w:tc>
          <w:tcPr>
            <w:tcW w:w="1728" w:type="dxa"/>
            <w:vAlign w:val="bottom"/>
          </w:tcPr>
          <w:p w14:paraId="27D0F64E" w14:textId="77777777" w:rsidR="000D2EB9" w:rsidRDefault="000D2EB9" w:rsidP="00230DFA">
            <w:pPr>
              <w:jc w:val="right"/>
            </w:pPr>
            <w:r>
              <w:rPr>
                <w:rFonts w:cs="Arial"/>
                <w:color w:val="000000"/>
                <w:kern w:val="24"/>
              </w:rPr>
              <w:t>79.2%</w:t>
            </w:r>
          </w:p>
        </w:tc>
        <w:tc>
          <w:tcPr>
            <w:tcW w:w="1728" w:type="dxa"/>
            <w:vAlign w:val="bottom"/>
          </w:tcPr>
          <w:p w14:paraId="1685D1B3" w14:textId="77777777" w:rsidR="000D2EB9" w:rsidRDefault="000D2EB9" w:rsidP="00230DFA">
            <w:pPr>
              <w:jc w:val="right"/>
            </w:pPr>
            <w:r>
              <w:rPr>
                <w:rFonts w:cs="Arial"/>
                <w:color w:val="000000"/>
                <w:kern w:val="24"/>
              </w:rPr>
              <w:t>81.1%</w:t>
            </w:r>
          </w:p>
        </w:tc>
      </w:tr>
      <w:tr w:rsidR="000D2EB9" w14:paraId="6A9DF63F" w14:textId="77777777" w:rsidTr="00230DFA">
        <w:tc>
          <w:tcPr>
            <w:tcW w:w="3600" w:type="dxa"/>
            <w:vAlign w:val="bottom"/>
          </w:tcPr>
          <w:p w14:paraId="416FFA02" w14:textId="77777777" w:rsidR="000D2EB9" w:rsidRDefault="000D2EB9" w:rsidP="00230DFA">
            <w:r>
              <w:rPr>
                <w:rFonts w:cs="Arial"/>
                <w:color w:val="000000"/>
              </w:rPr>
              <w:t>Blind/ Visually Impaired</w:t>
            </w:r>
          </w:p>
        </w:tc>
        <w:tc>
          <w:tcPr>
            <w:tcW w:w="1728" w:type="dxa"/>
            <w:vAlign w:val="bottom"/>
          </w:tcPr>
          <w:p w14:paraId="7FD6EFA5" w14:textId="77777777" w:rsidR="000D2EB9" w:rsidRDefault="000D2EB9" w:rsidP="00230DFA">
            <w:pPr>
              <w:jc w:val="right"/>
            </w:pPr>
            <w:r>
              <w:rPr>
                <w:rFonts w:cs="Arial"/>
                <w:color w:val="000000"/>
                <w:kern w:val="24"/>
              </w:rPr>
              <w:t>82.9%*</w:t>
            </w:r>
          </w:p>
        </w:tc>
        <w:tc>
          <w:tcPr>
            <w:tcW w:w="1728" w:type="dxa"/>
            <w:vAlign w:val="bottom"/>
          </w:tcPr>
          <w:p w14:paraId="73B493BC" w14:textId="77777777" w:rsidR="000D2EB9" w:rsidRDefault="000D2EB9" w:rsidP="00230DFA">
            <w:pPr>
              <w:jc w:val="right"/>
            </w:pPr>
            <w:r>
              <w:rPr>
                <w:rFonts w:cs="Arial"/>
                <w:color w:val="000000"/>
                <w:kern w:val="24"/>
              </w:rPr>
              <w:t>80.5%</w:t>
            </w:r>
          </w:p>
        </w:tc>
        <w:tc>
          <w:tcPr>
            <w:tcW w:w="1728" w:type="dxa"/>
            <w:vAlign w:val="bottom"/>
          </w:tcPr>
          <w:p w14:paraId="71948ACE" w14:textId="77777777" w:rsidR="000D2EB9" w:rsidRDefault="000D2EB9" w:rsidP="00230DFA">
            <w:pPr>
              <w:jc w:val="right"/>
            </w:pPr>
            <w:r>
              <w:rPr>
                <w:rFonts w:cs="Arial"/>
                <w:color w:val="000000"/>
                <w:kern w:val="24"/>
              </w:rPr>
              <w:t>82.5%</w:t>
            </w:r>
          </w:p>
        </w:tc>
      </w:tr>
      <w:tr w:rsidR="000D2EB9" w14:paraId="264D781B" w14:textId="77777777" w:rsidTr="00230DFA">
        <w:tc>
          <w:tcPr>
            <w:tcW w:w="3600" w:type="dxa"/>
            <w:vAlign w:val="bottom"/>
          </w:tcPr>
          <w:p w14:paraId="48FCC101" w14:textId="77777777" w:rsidR="000D2EB9" w:rsidRDefault="000D2EB9" w:rsidP="00230DFA">
            <w:r>
              <w:rPr>
                <w:rFonts w:cs="Arial"/>
                <w:color w:val="000000"/>
              </w:rPr>
              <w:t>Psychiatric Disability</w:t>
            </w:r>
          </w:p>
        </w:tc>
        <w:tc>
          <w:tcPr>
            <w:tcW w:w="1728" w:type="dxa"/>
            <w:vAlign w:val="bottom"/>
          </w:tcPr>
          <w:p w14:paraId="23850F58" w14:textId="77777777" w:rsidR="000D2EB9" w:rsidRDefault="000D2EB9" w:rsidP="00230DFA">
            <w:pPr>
              <w:jc w:val="right"/>
            </w:pPr>
            <w:r>
              <w:rPr>
                <w:rFonts w:cs="Arial"/>
                <w:color w:val="000000"/>
                <w:kern w:val="24"/>
              </w:rPr>
              <w:t>80.0%</w:t>
            </w:r>
          </w:p>
        </w:tc>
        <w:tc>
          <w:tcPr>
            <w:tcW w:w="1728" w:type="dxa"/>
            <w:vAlign w:val="bottom"/>
          </w:tcPr>
          <w:p w14:paraId="42AA5D7D" w14:textId="77777777" w:rsidR="000D2EB9" w:rsidRDefault="000D2EB9" w:rsidP="00230DFA">
            <w:pPr>
              <w:jc w:val="right"/>
            </w:pPr>
            <w:r>
              <w:rPr>
                <w:rFonts w:cs="Arial"/>
                <w:color w:val="000000"/>
                <w:kern w:val="24"/>
              </w:rPr>
              <w:t>79.9%</w:t>
            </w:r>
          </w:p>
        </w:tc>
        <w:tc>
          <w:tcPr>
            <w:tcW w:w="1728" w:type="dxa"/>
            <w:vAlign w:val="bottom"/>
          </w:tcPr>
          <w:p w14:paraId="1CD158EF" w14:textId="77777777" w:rsidR="000D2EB9" w:rsidRDefault="000D2EB9" w:rsidP="00230DFA">
            <w:pPr>
              <w:jc w:val="right"/>
            </w:pPr>
            <w:r>
              <w:rPr>
                <w:rFonts w:cs="Arial"/>
                <w:color w:val="000000"/>
                <w:kern w:val="24"/>
              </w:rPr>
              <w:t>81.9%</w:t>
            </w:r>
          </w:p>
        </w:tc>
      </w:tr>
      <w:tr w:rsidR="000D2EB9" w14:paraId="6D57F19A" w14:textId="77777777" w:rsidTr="00230DFA">
        <w:tc>
          <w:tcPr>
            <w:tcW w:w="3600" w:type="dxa"/>
            <w:vAlign w:val="bottom"/>
          </w:tcPr>
          <w:p w14:paraId="05056EE4" w14:textId="77777777" w:rsidR="000D2EB9" w:rsidRDefault="000D2EB9" w:rsidP="00230DFA">
            <w:r>
              <w:rPr>
                <w:rFonts w:cs="Arial"/>
                <w:color w:val="000000"/>
              </w:rPr>
              <w:t>Cognitive Impairment</w:t>
            </w:r>
          </w:p>
        </w:tc>
        <w:tc>
          <w:tcPr>
            <w:tcW w:w="1728" w:type="dxa"/>
            <w:vAlign w:val="bottom"/>
          </w:tcPr>
          <w:p w14:paraId="3C7BD474" w14:textId="77777777" w:rsidR="000D2EB9" w:rsidRDefault="000D2EB9" w:rsidP="00230DFA">
            <w:pPr>
              <w:jc w:val="right"/>
            </w:pPr>
            <w:r>
              <w:rPr>
                <w:rFonts w:cs="Arial"/>
                <w:color w:val="000000"/>
                <w:kern w:val="24"/>
              </w:rPr>
              <w:t>75.5%</w:t>
            </w:r>
          </w:p>
        </w:tc>
        <w:tc>
          <w:tcPr>
            <w:tcW w:w="1728" w:type="dxa"/>
            <w:vAlign w:val="bottom"/>
          </w:tcPr>
          <w:p w14:paraId="759245BF" w14:textId="77777777" w:rsidR="000D2EB9" w:rsidRDefault="000D2EB9" w:rsidP="00230DFA">
            <w:pPr>
              <w:jc w:val="right"/>
            </w:pPr>
            <w:r>
              <w:rPr>
                <w:rFonts w:cs="Arial"/>
                <w:color w:val="000000"/>
                <w:kern w:val="24"/>
              </w:rPr>
              <w:t>77.4%</w:t>
            </w:r>
          </w:p>
        </w:tc>
        <w:tc>
          <w:tcPr>
            <w:tcW w:w="1728" w:type="dxa"/>
            <w:vAlign w:val="bottom"/>
          </w:tcPr>
          <w:p w14:paraId="078AA7E7" w14:textId="77777777" w:rsidR="000D2EB9" w:rsidRDefault="000D2EB9" w:rsidP="00230DFA">
            <w:pPr>
              <w:jc w:val="right"/>
            </w:pPr>
            <w:r>
              <w:rPr>
                <w:rFonts w:cs="Arial"/>
                <w:color w:val="000000"/>
                <w:kern w:val="24"/>
              </w:rPr>
              <w:t>79.9%</w:t>
            </w:r>
          </w:p>
        </w:tc>
      </w:tr>
      <w:tr w:rsidR="000D2EB9" w14:paraId="33E3C863" w14:textId="77777777" w:rsidTr="00230DFA">
        <w:tc>
          <w:tcPr>
            <w:tcW w:w="3600" w:type="dxa"/>
            <w:vAlign w:val="bottom"/>
          </w:tcPr>
          <w:p w14:paraId="61DC92FC" w14:textId="77777777" w:rsidR="000D2EB9" w:rsidRDefault="000D2EB9" w:rsidP="00230DFA">
            <w:r>
              <w:rPr>
                <w:rFonts w:cs="Arial"/>
                <w:color w:val="000000"/>
              </w:rPr>
              <w:t>Disability Not Reported</w:t>
            </w:r>
          </w:p>
        </w:tc>
        <w:tc>
          <w:tcPr>
            <w:tcW w:w="1728" w:type="dxa"/>
            <w:vAlign w:val="bottom"/>
          </w:tcPr>
          <w:p w14:paraId="65FFB911" w14:textId="77777777" w:rsidR="000D2EB9" w:rsidRDefault="000D2EB9" w:rsidP="00230DFA">
            <w:pPr>
              <w:jc w:val="right"/>
            </w:pPr>
            <w:r>
              <w:rPr>
                <w:rFonts w:cs="Arial"/>
                <w:color w:val="000000"/>
                <w:kern w:val="24"/>
              </w:rPr>
              <w:t>81.7%</w:t>
            </w:r>
          </w:p>
        </w:tc>
        <w:tc>
          <w:tcPr>
            <w:tcW w:w="1728" w:type="dxa"/>
            <w:vAlign w:val="bottom"/>
          </w:tcPr>
          <w:p w14:paraId="1E6BB41E" w14:textId="77777777" w:rsidR="000D2EB9" w:rsidRDefault="000D2EB9" w:rsidP="00230DFA">
            <w:pPr>
              <w:jc w:val="right"/>
            </w:pPr>
            <w:r>
              <w:rPr>
                <w:rFonts w:cs="Arial"/>
                <w:color w:val="000000"/>
                <w:kern w:val="24"/>
              </w:rPr>
              <w:t>84.1%*</w:t>
            </w:r>
          </w:p>
        </w:tc>
        <w:tc>
          <w:tcPr>
            <w:tcW w:w="1728" w:type="dxa"/>
            <w:vAlign w:val="bottom"/>
          </w:tcPr>
          <w:p w14:paraId="24E9AECE" w14:textId="77777777" w:rsidR="000D2EB9" w:rsidRDefault="000D2EB9" w:rsidP="00230DFA">
            <w:pPr>
              <w:jc w:val="right"/>
            </w:pPr>
            <w:r>
              <w:rPr>
                <w:rFonts w:cs="Arial"/>
                <w:color w:val="000000"/>
                <w:kern w:val="24"/>
              </w:rPr>
              <w:t>84.1%</w:t>
            </w:r>
          </w:p>
        </w:tc>
      </w:tr>
      <w:tr w:rsidR="000D2EB9" w14:paraId="6D1D69F9" w14:textId="77777777" w:rsidTr="00230DFA">
        <w:tc>
          <w:tcPr>
            <w:tcW w:w="3600" w:type="dxa"/>
            <w:vAlign w:val="bottom"/>
          </w:tcPr>
          <w:p w14:paraId="448B569B" w14:textId="77777777" w:rsidR="000D2EB9" w:rsidRDefault="000D2EB9" w:rsidP="00230DFA">
            <w:r>
              <w:rPr>
                <w:rFonts w:cs="Arial"/>
                <w:color w:val="000000"/>
              </w:rPr>
              <w:t>Physical Disability</w:t>
            </w:r>
          </w:p>
        </w:tc>
        <w:tc>
          <w:tcPr>
            <w:tcW w:w="1728" w:type="dxa"/>
            <w:vAlign w:val="bottom"/>
          </w:tcPr>
          <w:p w14:paraId="30864D94" w14:textId="77777777" w:rsidR="000D2EB9" w:rsidRDefault="000D2EB9" w:rsidP="00230DFA">
            <w:pPr>
              <w:jc w:val="right"/>
            </w:pPr>
            <w:r>
              <w:rPr>
                <w:rFonts w:cs="Arial"/>
                <w:color w:val="000000"/>
                <w:kern w:val="24"/>
              </w:rPr>
              <w:t>75.1%</w:t>
            </w:r>
          </w:p>
        </w:tc>
        <w:tc>
          <w:tcPr>
            <w:tcW w:w="1728" w:type="dxa"/>
            <w:vAlign w:val="bottom"/>
          </w:tcPr>
          <w:p w14:paraId="2B5AF55E" w14:textId="77777777" w:rsidR="000D2EB9" w:rsidRDefault="000D2EB9" w:rsidP="00230DFA">
            <w:pPr>
              <w:jc w:val="right"/>
            </w:pPr>
            <w:r>
              <w:rPr>
                <w:rFonts w:cs="Arial"/>
                <w:color w:val="000000"/>
                <w:kern w:val="24"/>
              </w:rPr>
              <w:t>75.8%</w:t>
            </w:r>
          </w:p>
        </w:tc>
        <w:tc>
          <w:tcPr>
            <w:tcW w:w="1728" w:type="dxa"/>
            <w:vAlign w:val="bottom"/>
          </w:tcPr>
          <w:p w14:paraId="5B83DF61" w14:textId="77777777" w:rsidR="000D2EB9" w:rsidRDefault="000D2EB9" w:rsidP="00230DFA">
            <w:pPr>
              <w:jc w:val="right"/>
            </w:pPr>
            <w:r>
              <w:rPr>
                <w:rFonts w:cs="Arial"/>
                <w:color w:val="000000"/>
                <w:kern w:val="24"/>
              </w:rPr>
              <w:t>78.9%</w:t>
            </w:r>
          </w:p>
        </w:tc>
      </w:tr>
      <w:tr w:rsidR="000D2EB9" w14:paraId="29805D10" w14:textId="77777777" w:rsidTr="00230DFA">
        <w:tc>
          <w:tcPr>
            <w:tcW w:w="3600" w:type="dxa"/>
            <w:vAlign w:val="bottom"/>
          </w:tcPr>
          <w:p w14:paraId="1C775837" w14:textId="77777777" w:rsidR="000D2EB9" w:rsidRDefault="000D2EB9" w:rsidP="00230DFA">
            <w:r>
              <w:rPr>
                <w:rFonts w:cs="Arial"/>
                <w:color w:val="000000"/>
              </w:rPr>
              <w:t>Intellectual/ Dev. Disability</w:t>
            </w:r>
          </w:p>
        </w:tc>
        <w:tc>
          <w:tcPr>
            <w:tcW w:w="1728" w:type="dxa"/>
            <w:vAlign w:val="bottom"/>
          </w:tcPr>
          <w:p w14:paraId="297FF90B" w14:textId="77777777" w:rsidR="000D2EB9" w:rsidRDefault="000D2EB9" w:rsidP="00230DFA">
            <w:pPr>
              <w:jc w:val="right"/>
            </w:pPr>
            <w:r>
              <w:rPr>
                <w:rFonts w:cs="Arial"/>
                <w:color w:val="000000"/>
                <w:kern w:val="24"/>
              </w:rPr>
              <w:t>72.5%</w:t>
            </w:r>
          </w:p>
        </w:tc>
        <w:tc>
          <w:tcPr>
            <w:tcW w:w="1728" w:type="dxa"/>
            <w:vAlign w:val="bottom"/>
          </w:tcPr>
          <w:p w14:paraId="2D81E447" w14:textId="77777777" w:rsidR="000D2EB9" w:rsidRDefault="000D2EB9" w:rsidP="00230DFA">
            <w:pPr>
              <w:jc w:val="right"/>
            </w:pPr>
            <w:r>
              <w:rPr>
                <w:rFonts w:cs="Arial"/>
                <w:color w:val="000000"/>
                <w:kern w:val="24"/>
              </w:rPr>
              <w:t>74.3%</w:t>
            </w:r>
          </w:p>
        </w:tc>
        <w:tc>
          <w:tcPr>
            <w:tcW w:w="1728" w:type="dxa"/>
            <w:vAlign w:val="bottom"/>
          </w:tcPr>
          <w:p w14:paraId="6B1F43FE" w14:textId="77777777" w:rsidR="000D2EB9" w:rsidRDefault="000D2EB9" w:rsidP="00230DFA">
            <w:pPr>
              <w:jc w:val="right"/>
            </w:pPr>
            <w:r>
              <w:rPr>
                <w:rFonts w:cs="Arial"/>
                <w:color w:val="000000"/>
                <w:kern w:val="24"/>
              </w:rPr>
              <w:t>78.7%</w:t>
            </w:r>
          </w:p>
        </w:tc>
      </w:tr>
      <w:tr w:rsidR="000D2EB9" w14:paraId="14A1E4D4" w14:textId="77777777" w:rsidTr="00230DFA">
        <w:tc>
          <w:tcPr>
            <w:tcW w:w="3600" w:type="dxa"/>
            <w:vAlign w:val="bottom"/>
          </w:tcPr>
          <w:p w14:paraId="3C7EF6F8" w14:textId="77777777" w:rsidR="000D2EB9" w:rsidRDefault="000D2EB9" w:rsidP="00230DFA">
            <w:r>
              <w:rPr>
                <w:rFonts w:cs="Arial"/>
                <w:color w:val="000000"/>
              </w:rPr>
              <w:t>Traumatic Brain Injury</w:t>
            </w:r>
          </w:p>
        </w:tc>
        <w:tc>
          <w:tcPr>
            <w:tcW w:w="1728" w:type="dxa"/>
            <w:vAlign w:val="bottom"/>
          </w:tcPr>
          <w:p w14:paraId="6DD55EDC" w14:textId="77777777" w:rsidR="000D2EB9" w:rsidRDefault="000D2EB9" w:rsidP="00230DFA">
            <w:pPr>
              <w:jc w:val="right"/>
            </w:pPr>
            <w:r>
              <w:rPr>
                <w:rFonts w:cs="Arial"/>
                <w:color w:val="000000"/>
                <w:kern w:val="24"/>
              </w:rPr>
              <w:t>75.1%</w:t>
            </w:r>
          </w:p>
        </w:tc>
        <w:tc>
          <w:tcPr>
            <w:tcW w:w="1728" w:type="dxa"/>
            <w:vAlign w:val="bottom"/>
          </w:tcPr>
          <w:p w14:paraId="2DA504CD" w14:textId="77777777" w:rsidR="000D2EB9" w:rsidRDefault="000D2EB9" w:rsidP="00230DFA">
            <w:pPr>
              <w:jc w:val="right"/>
            </w:pPr>
            <w:r>
              <w:rPr>
                <w:rFonts w:cs="Arial"/>
                <w:color w:val="000000"/>
                <w:kern w:val="24"/>
              </w:rPr>
              <w:t>74.2%</w:t>
            </w:r>
          </w:p>
        </w:tc>
        <w:tc>
          <w:tcPr>
            <w:tcW w:w="1728" w:type="dxa"/>
            <w:vAlign w:val="bottom"/>
          </w:tcPr>
          <w:p w14:paraId="2EB5EF16" w14:textId="77777777" w:rsidR="000D2EB9" w:rsidRDefault="000D2EB9" w:rsidP="00230DFA">
            <w:pPr>
              <w:jc w:val="right"/>
            </w:pPr>
            <w:r>
              <w:rPr>
                <w:rFonts w:cs="Arial"/>
                <w:color w:val="000000"/>
                <w:kern w:val="24"/>
              </w:rPr>
              <w:t>79.0%</w:t>
            </w:r>
          </w:p>
        </w:tc>
      </w:tr>
    </w:tbl>
    <w:p w14:paraId="21D45795" w14:textId="77777777" w:rsidR="000D2EB9" w:rsidRDefault="000D2EB9" w:rsidP="000D2EB9"/>
    <w:tbl>
      <w:tblPr>
        <w:tblStyle w:val="TableGrid"/>
        <w:tblW w:w="9360" w:type="dxa"/>
        <w:tblLayout w:type="fixed"/>
        <w:tblLook w:val="04A0" w:firstRow="1" w:lastRow="0" w:firstColumn="1" w:lastColumn="0" w:noHBand="0" w:noVBand="1"/>
      </w:tblPr>
      <w:tblGrid>
        <w:gridCol w:w="3600"/>
        <w:gridCol w:w="1440"/>
        <w:gridCol w:w="1440"/>
        <w:gridCol w:w="1440"/>
        <w:gridCol w:w="1440"/>
      </w:tblGrid>
      <w:tr w:rsidR="000D2EB9" w:rsidRPr="00674A93" w14:paraId="4529F769" w14:textId="77777777" w:rsidTr="00230DFA">
        <w:tc>
          <w:tcPr>
            <w:tcW w:w="3600" w:type="dxa"/>
            <w:vAlign w:val="bottom"/>
          </w:tcPr>
          <w:p w14:paraId="6A30BC4E" w14:textId="77777777" w:rsidR="000D2EB9" w:rsidRPr="00302B9C" w:rsidRDefault="000D2EB9" w:rsidP="00230DFA">
            <w:pPr>
              <w:rPr>
                <w:rFonts w:cs="Arial"/>
                <w:b/>
                <w:bCs/>
                <w:color w:val="000000"/>
              </w:rPr>
            </w:pPr>
            <w:r w:rsidRPr="00302B9C">
              <w:rPr>
                <w:rFonts w:cs="Arial"/>
                <w:b/>
                <w:bCs/>
                <w:color w:val="000000"/>
              </w:rPr>
              <w:t>Disability Type</w:t>
            </w:r>
          </w:p>
        </w:tc>
        <w:tc>
          <w:tcPr>
            <w:tcW w:w="1440" w:type="dxa"/>
            <w:vAlign w:val="bottom"/>
          </w:tcPr>
          <w:p w14:paraId="6AB4D99F" w14:textId="77777777" w:rsidR="000D2EB9" w:rsidRPr="00223E94" w:rsidRDefault="000D2EB9" w:rsidP="00230DFA">
            <w:pPr>
              <w:jc w:val="center"/>
              <w:rPr>
                <w:b/>
                <w:bCs/>
                <w:color w:val="000000" w:themeColor="text1"/>
              </w:rPr>
            </w:pPr>
            <w:r w:rsidRPr="00223E94">
              <w:rPr>
                <w:rFonts w:cs="Arial"/>
                <w:b/>
                <w:bCs/>
                <w:color w:val="000000"/>
              </w:rPr>
              <w:t>Employ. Services</w:t>
            </w:r>
          </w:p>
        </w:tc>
        <w:tc>
          <w:tcPr>
            <w:tcW w:w="1440" w:type="dxa"/>
            <w:vAlign w:val="bottom"/>
          </w:tcPr>
          <w:p w14:paraId="370D8812" w14:textId="77777777" w:rsidR="000D2EB9" w:rsidRPr="00223E94" w:rsidRDefault="000D2EB9" w:rsidP="00230DFA">
            <w:pPr>
              <w:jc w:val="center"/>
              <w:rPr>
                <w:b/>
                <w:bCs/>
                <w:color w:val="000000" w:themeColor="text1"/>
              </w:rPr>
            </w:pPr>
            <w:r w:rsidRPr="00223E94">
              <w:rPr>
                <w:rFonts w:cs="Arial"/>
                <w:b/>
                <w:bCs/>
                <w:color w:val="000000"/>
              </w:rPr>
              <w:t>Current Employ.</w:t>
            </w:r>
          </w:p>
        </w:tc>
        <w:tc>
          <w:tcPr>
            <w:tcW w:w="1440" w:type="dxa"/>
            <w:vAlign w:val="bottom"/>
          </w:tcPr>
          <w:p w14:paraId="1D29F62E" w14:textId="77777777" w:rsidR="000D2EB9" w:rsidRPr="00223E94" w:rsidRDefault="000D2EB9" w:rsidP="00230DFA">
            <w:pPr>
              <w:jc w:val="center"/>
              <w:rPr>
                <w:b/>
                <w:bCs/>
                <w:color w:val="000000" w:themeColor="text1"/>
              </w:rPr>
            </w:pPr>
            <w:r w:rsidRPr="00223E94">
              <w:rPr>
                <w:rFonts w:cs="Arial"/>
                <w:b/>
                <w:bCs/>
                <w:color w:val="000000"/>
              </w:rPr>
              <w:t xml:space="preserve">Employ. </w:t>
            </w:r>
            <w:proofErr w:type="spellStart"/>
            <w:r w:rsidRPr="00223E94">
              <w:rPr>
                <w:rFonts w:cs="Arial"/>
                <w:b/>
                <w:bCs/>
                <w:color w:val="000000"/>
              </w:rPr>
              <w:t>Opport</w:t>
            </w:r>
            <w:proofErr w:type="spellEnd"/>
            <w:r w:rsidRPr="00223E94">
              <w:rPr>
                <w:rFonts w:cs="Arial"/>
                <w:b/>
                <w:bCs/>
                <w:color w:val="000000"/>
              </w:rPr>
              <w:t>.</w:t>
            </w:r>
          </w:p>
        </w:tc>
        <w:tc>
          <w:tcPr>
            <w:tcW w:w="1440" w:type="dxa"/>
            <w:vAlign w:val="bottom"/>
          </w:tcPr>
          <w:p w14:paraId="6DD5FBCE" w14:textId="77777777" w:rsidR="000D2EB9" w:rsidRPr="00223E94" w:rsidRDefault="000D2EB9" w:rsidP="00230DFA">
            <w:pPr>
              <w:jc w:val="center"/>
              <w:rPr>
                <w:b/>
                <w:bCs/>
                <w:color w:val="000000" w:themeColor="text1"/>
              </w:rPr>
            </w:pPr>
            <w:r w:rsidRPr="00223E94">
              <w:rPr>
                <w:rFonts w:cs="Arial"/>
                <w:b/>
                <w:bCs/>
                <w:color w:val="000000"/>
              </w:rPr>
              <w:t>Overall</w:t>
            </w:r>
          </w:p>
        </w:tc>
      </w:tr>
      <w:tr w:rsidR="000D2EB9" w14:paraId="71741B8E" w14:textId="77777777" w:rsidTr="00230DFA">
        <w:tc>
          <w:tcPr>
            <w:tcW w:w="3600" w:type="dxa"/>
            <w:vAlign w:val="bottom"/>
          </w:tcPr>
          <w:p w14:paraId="76054E6F" w14:textId="77777777" w:rsidR="000D2EB9" w:rsidRDefault="000D2EB9" w:rsidP="00230DFA">
            <w:pPr>
              <w:rPr>
                <w:rFonts w:cs="Arial"/>
                <w:color w:val="000000"/>
                <w:kern w:val="24"/>
              </w:rPr>
            </w:pPr>
            <w:r>
              <w:rPr>
                <w:rFonts w:cs="Arial"/>
                <w:color w:val="000000"/>
              </w:rPr>
              <w:t>Deaf/ Hard of Hearing</w:t>
            </w:r>
          </w:p>
        </w:tc>
        <w:tc>
          <w:tcPr>
            <w:tcW w:w="1440" w:type="dxa"/>
            <w:vAlign w:val="bottom"/>
          </w:tcPr>
          <w:p w14:paraId="449EE99E" w14:textId="77777777" w:rsidR="000D2EB9" w:rsidRDefault="000D2EB9" w:rsidP="00230DFA">
            <w:pPr>
              <w:jc w:val="right"/>
            </w:pPr>
            <w:r>
              <w:rPr>
                <w:rFonts w:cs="Arial"/>
                <w:color w:val="000000"/>
                <w:kern w:val="24"/>
              </w:rPr>
              <w:t>82.4%*</w:t>
            </w:r>
          </w:p>
        </w:tc>
        <w:tc>
          <w:tcPr>
            <w:tcW w:w="1440" w:type="dxa"/>
            <w:vAlign w:val="bottom"/>
          </w:tcPr>
          <w:p w14:paraId="1F751E74" w14:textId="77777777" w:rsidR="000D2EB9" w:rsidRDefault="000D2EB9" w:rsidP="00230DFA">
            <w:pPr>
              <w:jc w:val="right"/>
            </w:pPr>
            <w:r>
              <w:rPr>
                <w:rFonts w:cs="Arial"/>
                <w:color w:val="000000"/>
                <w:kern w:val="24"/>
              </w:rPr>
              <w:t>89.2%</w:t>
            </w:r>
          </w:p>
        </w:tc>
        <w:tc>
          <w:tcPr>
            <w:tcW w:w="1440" w:type="dxa"/>
            <w:vAlign w:val="bottom"/>
          </w:tcPr>
          <w:p w14:paraId="6B1E09A0" w14:textId="77777777" w:rsidR="000D2EB9" w:rsidRDefault="000D2EB9" w:rsidP="00230DFA">
            <w:pPr>
              <w:jc w:val="right"/>
            </w:pPr>
            <w:r>
              <w:rPr>
                <w:rFonts w:cs="Arial"/>
                <w:color w:val="000000"/>
                <w:kern w:val="24"/>
              </w:rPr>
              <w:t>74.9%*</w:t>
            </w:r>
          </w:p>
        </w:tc>
        <w:tc>
          <w:tcPr>
            <w:tcW w:w="1440" w:type="dxa"/>
            <w:vAlign w:val="bottom"/>
          </w:tcPr>
          <w:p w14:paraId="7A6435E2" w14:textId="77777777" w:rsidR="000D2EB9" w:rsidRDefault="000D2EB9" w:rsidP="00230DFA">
            <w:pPr>
              <w:jc w:val="right"/>
            </w:pPr>
            <w:r>
              <w:rPr>
                <w:rFonts w:cs="Arial"/>
                <w:color w:val="000000"/>
                <w:kern w:val="24"/>
              </w:rPr>
              <w:t>83.0%</w:t>
            </w:r>
          </w:p>
        </w:tc>
      </w:tr>
      <w:tr w:rsidR="000D2EB9" w14:paraId="4A190991" w14:textId="77777777" w:rsidTr="00230DFA">
        <w:tc>
          <w:tcPr>
            <w:tcW w:w="3600" w:type="dxa"/>
            <w:vAlign w:val="bottom"/>
          </w:tcPr>
          <w:p w14:paraId="0E520B8D" w14:textId="77777777" w:rsidR="000D2EB9" w:rsidRDefault="000D2EB9" w:rsidP="00230DFA">
            <w:pPr>
              <w:rPr>
                <w:rFonts w:cs="Arial"/>
                <w:color w:val="000000"/>
                <w:kern w:val="24"/>
              </w:rPr>
            </w:pPr>
            <w:r>
              <w:rPr>
                <w:rFonts w:cs="Arial"/>
                <w:color w:val="000000"/>
              </w:rPr>
              <w:t>Learning Disability</w:t>
            </w:r>
          </w:p>
        </w:tc>
        <w:tc>
          <w:tcPr>
            <w:tcW w:w="1440" w:type="dxa"/>
            <w:vAlign w:val="bottom"/>
          </w:tcPr>
          <w:p w14:paraId="7C91E886" w14:textId="77777777" w:rsidR="000D2EB9" w:rsidRDefault="000D2EB9" w:rsidP="00230DFA">
            <w:pPr>
              <w:jc w:val="right"/>
            </w:pPr>
            <w:r>
              <w:rPr>
                <w:rFonts w:cs="Arial"/>
                <w:color w:val="000000"/>
                <w:kern w:val="24"/>
              </w:rPr>
              <w:t>77.4%</w:t>
            </w:r>
          </w:p>
        </w:tc>
        <w:tc>
          <w:tcPr>
            <w:tcW w:w="1440" w:type="dxa"/>
            <w:vAlign w:val="bottom"/>
          </w:tcPr>
          <w:p w14:paraId="049267C0" w14:textId="77777777" w:rsidR="000D2EB9" w:rsidRDefault="000D2EB9" w:rsidP="00230DFA">
            <w:pPr>
              <w:jc w:val="right"/>
            </w:pPr>
            <w:r>
              <w:rPr>
                <w:rFonts w:cs="Arial"/>
                <w:color w:val="000000"/>
                <w:kern w:val="24"/>
              </w:rPr>
              <w:t>80.9%</w:t>
            </w:r>
          </w:p>
        </w:tc>
        <w:tc>
          <w:tcPr>
            <w:tcW w:w="1440" w:type="dxa"/>
            <w:vAlign w:val="bottom"/>
          </w:tcPr>
          <w:p w14:paraId="7FA2E905" w14:textId="77777777" w:rsidR="000D2EB9" w:rsidRDefault="000D2EB9" w:rsidP="00230DFA">
            <w:pPr>
              <w:jc w:val="right"/>
            </w:pPr>
            <w:r>
              <w:rPr>
                <w:rFonts w:cs="Arial"/>
                <w:color w:val="000000"/>
                <w:kern w:val="24"/>
              </w:rPr>
              <w:t>67.6%</w:t>
            </w:r>
          </w:p>
        </w:tc>
        <w:tc>
          <w:tcPr>
            <w:tcW w:w="1440" w:type="dxa"/>
            <w:vAlign w:val="bottom"/>
          </w:tcPr>
          <w:p w14:paraId="27D24E78" w14:textId="77777777" w:rsidR="000D2EB9" w:rsidRDefault="000D2EB9" w:rsidP="00230DFA">
            <w:pPr>
              <w:jc w:val="right"/>
            </w:pPr>
            <w:r>
              <w:rPr>
                <w:rFonts w:cs="Arial"/>
                <w:color w:val="000000"/>
                <w:kern w:val="24"/>
              </w:rPr>
              <w:t>79.0%</w:t>
            </w:r>
          </w:p>
        </w:tc>
      </w:tr>
      <w:tr w:rsidR="000D2EB9" w14:paraId="0F9A3046" w14:textId="77777777" w:rsidTr="00230DFA">
        <w:tc>
          <w:tcPr>
            <w:tcW w:w="3600" w:type="dxa"/>
            <w:vAlign w:val="bottom"/>
          </w:tcPr>
          <w:p w14:paraId="3D90CD74" w14:textId="77777777" w:rsidR="000D2EB9" w:rsidRDefault="000D2EB9" w:rsidP="00230DFA">
            <w:pPr>
              <w:rPr>
                <w:rFonts w:cs="Arial"/>
                <w:color w:val="000000"/>
                <w:kern w:val="24"/>
              </w:rPr>
            </w:pPr>
            <w:r>
              <w:rPr>
                <w:rFonts w:cs="Arial"/>
                <w:color w:val="000000"/>
              </w:rPr>
              <w:t>Blind/ Visually Impaired</w:t>
            </w:r>
          </w:p>
        </w:tc>
        <w:tc>
          <w:tcPr>
            <w:tcW w:w="1440" w:type="dxa"/>
            <w:vAlign w:val="bottom"/>
          </w:tcPr>
          <w:p w14:paraId="7726A372" w14:textId="77777777" w:rsidR="000D2EB9" w:rsidRDefault="000D2EB9" w:rsidP="00230DFA">
            <w:pPr>
              <w:jc w:val="right"/>
            </w:pPr>
            <w:r>
              <w:rPr>
                <w:rFonts w:cs="Arial"/>
                <w:color w:val="000000"/>
                <w:kern w:val="24"/>
              </w:rPr>
              <w:t>78.0%</w:t>
            </w:r>
          </w:p>
        </w:tc>
        <w:tc>
          <w:tcPr>
            <w:tcW w:w="1440" w:type="dxa"/>
            <w:vAlign w:val="bottom"/>
          </w:tcPr>
          <w:p w14:paraId="2059311F" w14:textId="77777777" w:rsidR="000D2EB9" w:rsidRDefault="000D2EB9" w:rsidP="00230DFA">
            <w:pPr>
              <w:jc w:val="right"/>
            </w:pPr>
            <w:r>
              <w:rPr>
                <w:rFonts w:cs="Arial"/>
                <w:color w:val="000000"/>
                <w:kern w:val="24"/>
              </w:rPr>
              <w:t>90.0%*</w:t>
            </w:r>
          </w:p>
        </w:tc>
        <w:tc>
          <w:tcPr>
            <w:tcW w:w="1440" w:type="dxa"/>
            <w:vAlign w:val="bottom"/>
          </w:tcPr>
          <w:p w14:paraId="18BE2A89" w14:textId="77777777" w:rsidR="000D2EB9" w:rsidRDefault="000D2EB9" w:rsidP="00230DFA">
            <w:pPr>
              <w:jc w:val="right"/>
            </w:pPr>
            <w:r>
              <w:rPr>
                <w:rFonts w:cs="Arial"/>
                <w:color w:val="000000"/>
                <w:kern w:val="24"/>
              </w:rPr>
              <w:t>71.4%</w:t>
            </w:r>
          </w:p>
        </w:tc>
        <w:tc>
          <w:tcPr>
            <w:tcW w:w="1440" w:type="dxa"/>
            <w:vAlign w:val="bottom"/>
          </w:tcPr>
          <w:p w14:paraId="52728D0E" w14:textId="77777777" w:rsidR="000D2EB9" w:rsidRDefault="000D2EB9" w:rsidP="00230DFA">
            <w:pPr>
              <w:jc w:val="right"/>
            </w:pPr>
            <w:r>
              <w:rPr>
                <w:rFonts w:cs="Arial"/>
                <w:color w:val="000000"/>
                <w:kern w:val="24"/>
              </w:rPr>
              <w:t>81.1%</w:t>
            </w:r>
          </w:p>
        </w:tc>
      </w:tr>
      <w:tr w:rsidR="000D2EB9" w14:paraId="06666B5A" w14:textId="77777777" w:rsidTr="00230DFA">
        <w:tc>
          <w:tcPr>
            <w:tcW w:w="3600" w:type="dxa"/>
            <w:vAlign w:val="bottom"/>
          </w:tcPr>
          <w:p w14:paraId="293AAD45" w14:textId="77777777" w:rsidR="000D2EB9" w:rsidRDefault="000D2EB9" w:rsidP="00230DFA">
            <w:pPr>
              <w:rPr>
                <w:rFonts w:cs="Arial"/>
                <w:color w:val="000000"/>
                <w:kern w:val="24"/>
              </w:rPr>
            </w:pPr>
            <w:r>
              <w:rPr>
                <w:rFonts w:cs="Arial"/>
                <w:color w:val="000000"/>
              </w:rPr>
              <w:t>Psychiatric Disability</w:t>
            </w:r>
          </w:p>
        </w:tc>
        <w:tc>
          <w:tcPr>
            <w:tcW w:w="1440" w:type="dxa"/>
            <w:vAlign w:val="bottom"/>
          </w:tcPr>
          <w:p w14:paraId="4B16009D" w14:textId="77777777" w:rsidR="000D2EB9" w:rsidRDefault="000D2EB9" w:rsidP="00230DFA">
            <w:pPr>
              <w:jc w:val="right"/>
            </w:pPr>
            <w:r>
              <w:rPr>
                <w:rFonts w:cs="Arial"/>
                <w:color w:val="000000"/>
                <w:kern w:val="24"/>
              </w:rPr>
              <w:t>76.8%</w:t>
            </w:r>
          </w:p>
        </w:tc>
        <w:tc>
          <w:tcPr>
            <w:tcW w:w="1440" w:type="dxa"/>
            <w:vAlign w:val="bottom"/>
          </w:tcPr>
          <w:p w14:paraId="26226AFE" w14:textId="77777777" w:rsidR="000D2EB9" w:rsidRDefault="000D2EB9" w:rsidP="00230DFA">
            <w:pPr>
              <w:jc w:val="right"/>
            </w:pPr>
            <w:r>
              <w:rPr>
                <w:rFonts w:cs="Arial"/>
                <w:color w:val="000000"/>
                <w:kern w:val="24"/>
              </w:rPr>
              <w:t>82.7%</w:t>
            </w:r>
          </w:p>
        </w:tc>
        <w:tc>
          <w:tcPr>
            <w:tcW w:w="1440" w:type="dxa"/>
            <w:vAlign w:val="bottom"/>
          </w:tcPr>
          <w:p w14:paraId="116F5197" w14:textId="77777777" w:rsidR="000D2EB9" w:rsidRDefault="000D2EB9" w:rsidP="00230DFA">
            <w:pPr>
              <w:jc w:val="right"/>
            </w:pPr>
            <w:r>
              <w:rPr>
                <w:rFonts w:cs="Arial"/>
                <w:color w:val="000000"/>
                <w:kern w:val="24"/>
              </w:rPr>
              <w:t>69.8%</w:t>
            </w:r>
          </w:p>
        </w:tc>
        <w:tc>
          <w:tcPr>
            <w:tcW w:w="1440" w:type="dxa"/>
            <w:vAlign w:val="bottom"/>
          </w:tcPr>
          <w:p w14:paraId="7699D3FC" w14:textId="77777777" w:rsidR="000D2EB9" w:rsidRDefault="000D2EB9" w:rsidP="00230DFA">
            <w:pPr>
              <w:jc w:val="right"/>
            </w:pPr>
            <w:r>
              <w:rPr>
                <w:rFonts w:cs="Arial"/>
                <w:color w:val="000000"/>
                <w:kern w:val="24"/>
              </w:rPr>
              <w:t>79.6%</w:t>
            </w:r>
          </w:p>
        </w:tc>
      </w:tr>
      <w:tr w:rsidR="000D2EB9" w14:paraId="195BB937" w14:textId="77777777" w:rsidTr="00230DFA">
        <w:tc>
          <w:tcPr>
            <w:tcW w:w="3600" w:type="dxa"/>
            <w:vAlign w:val="bottom"/>
          </w:tcPr>
          <w:p w14:paraId="22311877" w14:textId="77777777" w:rsidR="000D2EB9" w:rsidRDefault="000D2EB9" w:rsidP="00230DFA">
            <w:pPr>
              <w:rPr>
                <w:rFonts w:cs="Arial"/>
                <w:color w:val="000000"/>
                <w:kern w:val="24"/>
              </w:rPr>
            </w:pPr>
            <w:r>
              <w:rPr>
                <w:rFonts w:cs="Arial"/>
                <w:color w:val="000000"/>
              </w:rPr>
              <w:t>Cognitive Impairment</w:t>
            </w:r>
          </w:p>
        </w:tc>
        <w:tc>
          <w:tcPr>
            <w:tcW w:w="1440" w:type="dxa"/>
            <w:vAlign w:val="bottom"/>
          </w:tcPr>
          <w:p w14:paraId="50844C9E" w14:textId="77777777" w:rsidR="000D2EB9" w:rsidRDefault="000D2EB9" w:rsidP="00230DFA">
            <w:pPr>
              <w:jc w:val="right"/>
            </w:pPr>
            <w:r>
              <w:rPr>
                <w:rFonts w:cs="Arial"/>
                <w:color w:val="000000"/>
                <w:kern w:val="24"/>
              </w:rPr>
              <w:t>75.2%</w:t>
            </w:r>
          </w:p>
        </w:tc>
        <w:tc>
          <w:tcPr>
            <w:tcW w:w="1440" w:type="dxa"/>
            <w:vAlign w:val="bottom"/>
          </w:tcPr>
          <w:p w14:paraId="7E7C3CDC" w14:textId="77777777" w:rsidR="000D2EB9" w:rsidRDefault="000D2EB9" w:rsidP="00230DFA">
            <w:pPr>
              <w:jc w:val="right"/>
            </w:pPr>
            <w:r>
              <w:rPr>
                <w:rFonts w:cs="Arial"/>
                <w:color w:val="000000"/>
                <w:kern w:val="24"/>
              </w:rPr>
              <w:t>78.1%</w:t>
            </w:r>
          </w:p>
        </w:tc>
        <w:tc>
          <w:tcPr>
            <w:tcW w:w="1440" w:type="dxa"/>
            <w:vAlign w:val="bottom"/>
          </w:tcPr>
          <w:p w14:paraId="7F37C099" w14:textId="77777777" w:rsidR="000D2EB9" w:rsidRDefault="000D2EB9" w:rsidP="00230DFA">
            <w:pPr>
              <w:jc w:val="right"/>
            </w:pPr>
            <w:r>
              <w:rPr>
                <w:rFonts w:cs="Arial"/>
                <w:color w:val="000000"/>
                <w:kern w:val="24"/>
              </w:rPr>
              <w:t>67.0%</w:t>
            </w:r>
          </w:p>
        </w:tc>
        <w:tc>
          <w:tcPr>
            <w:tcW w:w="1440" w:type="dxa"/>
            <w:vAlign w:val="bottom"/>
          </w:tcPr>
          <w:p w14:paraId="18E4B761" w14:textId="77777777" w:rsidR="000D2EB9" w:rsidRDefault="000D2EB9" w:rsidP="00230DFA">
            <w:pPr>
              <w:jc w:val="right"/>
            </w:pPr>
            <w:r>
              <w:rPr>
                <w:rFonts w:cs="Arial"/>
                <w:color w:val="000000"/>
                <w:kern w:val="24"/>
              </w:rPr>
              <w:t>77.0%</w:t>
            </w:r>
          </w:p>
        </w:tc>
      </w:tr>
      <w:tr w:rsidR="000D2EB9" w14:paraId="120AFC69" w14:textId="77777777" w:rsidTr="00230DFA">
        <w:tc>
          <w:tcPr>
            <w:tcW w:w="3600" w:type="dxa"/>
            <w:vAlign w:val="bottom"/>
          </w:tcPr>
          <w:p w14:paraId="6EDD3690" w14:textId="77777777" w:rsidR="000D2EB9" w:rsidRDefault="000D2EB9" w:rsidP="00230DFA">
            <w:pPr>
              <w:rPr>
                <w:rFonts w:cs="Arial"/>
                <w:color w:val="000000"/>
                <w:kern w:val="24"/>
              </w:rPr>
            </w:pPr>
            <w:r>
              <w:rPr>
                <w:rFonts w:cs="Arial"/>
                <w:color w:val="000000"/>
              </w:rPr>
              <w:t>Disability Not Reported</w:t>
            </w:r>
          </w:p>
        </w:tc>
        <w:tc>
          <w:tcPr>
            <w:tcW w:w="1440" w:type="dxa"/>
            <w:vAlign w:val="bottom"/>
          </w:tcPr>
          <w:p w14:paraId="37832C5F" w14:textId="77777777" w:rsidR="000D2EB9" w:rsidRDefault="000D2EB9" w:rsidP="00230DFA">
            <w:pPr>
              <w:jc w:val="right"/>
            </w:pPr>
            <w:r>
              <w:rPr>
                <w:rFonts w:cs="Arial"/>
                <w:color w:val="000000"/>
                <w:kern w:val="24"/>
              </w:rPr>
              <w:t>79.5%</w:t>
            </w:r>
          </w:p>
        </w:tc>
        <w:tc>
          <w:tcPr>
            <w:tcW w:w="1440" w:type="dxa"/>
            <w:vAlign w:val="bottom"/>
          </w:tcPr>
          <w:p w14:paraId="3E4A0E4E" w14:textId="77777777" w:rsidR="000D2EB9" w:rsidRDefault="000D2EB9" w:rsidP="00230DFA">
            <w:pPr>
              <w:jc w:val="right"/>
            </w:pPr>
            <w:r>
              <w:rPr>
                <w:rFonts w:cs="Arial"/>
                <w:color w:val="000000"/>
                <w:kern w:val="24"/>
              </w:rPr>
              <w:t>84.6%</w:t>
            </w:r>
          </w:p>
        </w:tc>
        <w:tc>
          <w:tcPr>
            <w:tcW w:w="1440" w:type="dxa"/>
            <w:vAlign w:val="bottom"/>
          </w:tcPr>
          <w:p w14:paraId="3A139F5A" w14:textId="77777777" w:rsidR="000D2EB9" w:rsidRDefault="000D2EB9" w:rsidP="00230DFA">
            <w:pPr>
              <w:jc w:val="right"/>
            </w:pPr>
            <w:r>
              <w:rPr>
                <w:rFonts w:cs="Arial"/>
                <w:color w:val="000000"/>
                <w:kern w:val="24"/>
              </w:rPr>
              <w:t>62.9%</w:t>
            </w:r>
          </w:p>
        </w:tc>
        <w:tc>
          <w:tcPr>
            <w:tcW w:w="1440" w:type="dxa"/>
            <w:vAlign w:val="bottom"/>
          </w:tcPr>
          <w:p w14:paraId="1DD51172" w14:textId="77777777" w:rsidR="000D2EB9" w:rsidRDefault="000D2EB9" w:rsidP="00230DFA">
            <w:pPr>
              <w:jc w:val="right"/>
            </w:pPr>
            <w:r>
              <w:rPr>
                <w:rFonts w:cs="Arial"/>
                <w:color w:val="000000"/>
                <w:kern w:val="24"/>
              </w:rPr>
              <w:t>82.3%</w:t>
            </w:r>
          </w:p>
        </w:tc>
      </w:tr>
      <w:tr w:rsidR="000D2EB9" w14:paraId="087602D8" w14:textId="77777777" w:rsidTr="00230DFA">
        <w:tc>
          <w:tcPr>
            <w:tcW w:w="3600" w:type="dxa"/>
            <w:vAlign w:val="bottom"/>
          </w:tcPr>
          <w:p w14:paraId="4A821240" w14:textId="77777777" w:rsidR="000D2EB9" w:rsidRDefault="000D2EB9" w:rsidP="00230DFA">
            <w:pPr>
              <w:rPr>
                <w:rFonts w:cs="Arial"/>
                <w:color w:val="000000"/>
                <w:kern w:val="24"/>
              </w:rPr>
            </w:pPr>
            <w:r>
              <w:rPr>
                <w:rFonts w:cs="Arial"/>
                <w:color w:val="000000"/>
              </w:rPr>
              <w:t>Physical Disability</w:t>
            </w:r>
          </w:p>
        </w:tc>
        <w:tc>
          <w:tcPr>
            <w:tcW w:w="1440" w:type="dxa"/>
            <w:vAlign w:val="bottom"/>
          </w:tcPr>
          <w:p w14:paraId="7B02ED60" w14:textId="77777777" w:rsidR="000D2EB9" w:rsidRDefault="000D2EB9" w:rsidP="00230DFA">
            <w:pPr>
              <w:jc w:val="right"/>
            </w:pPr>
            <w:r>
              <w:rPr>
                <w:rFonts w:cs="Arial"/>
                <w:color w:val="000000"/>
                <w:kern w:val="24"/>
              </w:rPr>
              <w:t>74.0%</w:t>
            </w:r>
          </w:p>
        </w:tc>
        <w:tc>
          <w:tcPr>
            <w:tcW w:w="1440" w:type="dxa"/>
            <w:vAlign w:val="bottom"/>
          </w:tcPr>
          <w:p w14:paraId="3A596AB2" w14:textId="77777777" w:rsidR="000D2EB9" w:rsidRDefault="000D2EB9" w:rsidP="00230DFA">
            <w:pPr>
              <w:jc w:val="right"/>
            </w:pPr>
            <w:r>
              <w:rPr>
                <w:rFonts w:cs="Arial"/>
                <w:color w:val="000000"/>
                <w:kern w:val="24"/>
              </w:rPr>
              <w:t>80.2%</w:t>
            </w:r>
          </w:p>
        </w:tc>
        <w:tc>
          <w:tcPr>
            <w:tcW w:w="1440" w:type="dxa"/>
            <w:vAlign w:val="bottom"/>
          </w:tcPr>
          <w:p w14:paraId="135EFB05" w14:textId="77777777" w:rsidR="000D2EB9" w:rsidRDefault="000D2EB9" w:rsidP="00230DFA">
            <w:pPr>
              <w:jc w:val="right"/>
            </w:pPr>
            <w:r>
              <w:rPr>
                <w:rFonts w:cs="Arial"/>
                <w:color w:val="000000"/>
                <w:kern w:val="24"/>
              </w:rPr>
              <w:t>66.5%</w:t>
            </w:r>
          </w:p>
        </w:tc>
        <w:tc>
          <w:tcPr>
            <w:tcW w:w="1440" w:type="dxa"/>
            <w:vAlign w:val="bottom"/>
          </w:tcPr>
          <w:p w14:paraId="3DD0A5D0" w14:textId="77777777" w:rsidR="000D2EB9" w:rsidRDefault="000D2EB9" w:rsidP="00230DFA">
            <w:pPr>
              <w:jc w:val="right"/>
            </w:pPr>
            <w:r>
              <w:rPr>
                <w:rFonts w:cs="Arial"/>
                <w:color w:val="000000"/>
                <w:kern w:val="24"/>
              </w:rPr>
              <w:t>76.1%</w:t>
            </w:r>
          </w:p>
        </w:tc>
      </w:tr>
      <w:tr w:rsidR="000D2EB9" w14:paraId="1B1035E1" w14:textId="77777777" w:rsidTr="00230DFA">
        <w:tc>
          <w:tcPr>
            <w:tcW w:w="3600" w:type="dxa"/>
            <w:vAlign w:val="bottom"/>
          </w:tcPr>
          <w:p w14:paraId="3257C99F" w14:textId="77777777" w:rsidR="000D2EB9" w:rsidRDefault="000D2EB9" w:rsidP="00230DFA">
            <w:pPr>
              <w:rPr>
                <w:rFonts w:cs="Arial"/>
                <w:color w:val="000000"/>
                <w:kern w:val="24"/>
              </w:rPr>
            </w:pPr>
            <w:r>
              <w:rPr>
                <w:rFonts w:cs="Arial"/>
                <w:color w:val="000000"/>
              </w:rPr>
              <w:t>Intellectual/ Dev. Disability</w:t>
            </w:r>
          </w:p>
        </w:tc>
        <w:tc>
          <w:tcPr>
            <w:tcW w:w="1440" w:type="dxa"/>
            <w:vAlign w:val="bottom"/>
          </w:tcPr>
          <w:p w14:paraId="6CDEB898" w14:textId="77777777" w:rsidR="000D2EB9" w:rsidRDefault="000D2EB9" w:rsidP="00230DFA">
            <w:pPr>
              <w:jc w:val="right"/>
            </w:pPr>
            <w:r>
              <w:rPr>
                <w:rFonts w:cs="Arial"/>
                <w:color w:val="000000"/>
                <w:kern w:val="24"/>
              </w:rPr>
              <w:t>74.8%</w:t>
            </w:r>
          </w:p>
        </w:tc>
        <w:tc>
          <w:tcPr>
            <w:tcW w:w="1440" w:type="dxa"/>
            <w:vAlign w:val="bottom"/>
          </w:tcPr>
          <w:p w14:paraId="375C8546" w14:textId="77777777" w:rsidR="000D2EB9" w:rsidRDefault="000D2EB9" w:rsidP="00230DFA">
            <w:pPr>
              <w:jc w:val="right"/>
            </w:pPr>
            <w:r>
              <w:rPr>
                <w:rFonts w:cs="Arial"/>
                <w:color w:val="000000"/>
                <w:kern w:val="24"/>
              </w:rPr>
              <w:t>84.0%</w:t>
            </w:r>
          </w:p>
        </w:tc>
        <w:tc>
          <w:tcPr>
            <w:tcW w:w="1440" w:type="dxa"/>
            <w:vAlign w:val="bottom"/>
          </w:tcPr>
          <w:p w14:paraId="73719130" w14:textId="77777777" w:rsidR="000D2EB9" w:rsidRDefault="000D2EB9" w:rsidP="00230DFA">
            <w:pPr>
              <w:jc w:val="right"/>
            </w:pPr>
            <w:r>
              <w:rPr>
                <w:rFonts w:cs="Arial"/>
                <w:color w:val="000000"/>
                <w:kern w:val="24"/>
              </w:rPr>
              <w:t>65.5%</w:t>
            </w:r>
          </w:p>
        </w:tc>
        <w:tc>
          <w:tcPr>
            <w:tcW w:w="1440" w:type="dxa"/>
            <w:vAlign w:val="bottom"/>
          </w:tcPr>
          <w:p w14:paraId="66DBD892" w14:textId="77777777" w:rsidR="000D2EB9" w:rsidRDefault="000D2EB9" w:rsidP="00230DFA">
            <w:pPr>
              <w:jc w:val="right"/>
            </w:pPr>
            <w:r>
              <w:rPr>
                <w:rFonts w:cs="Arial"/>
                <w:color w:val="000000"/>
                <w:kern w:val="24"/>
              </w:rPr>
              <w:t>75.9%</w:t>
            </w:r>
          </w:p>
        </w:tc>
      </w:tr>
      <w:tr w:rsidR="000D2EB9" w14:paraId="6FE1D665" w14:textId="77777777" w:rsidTr="00230DFA">
        <w:tc>
          <w:tcPr>
            <w:tcW w:w="3600" w:type="dxa"/>
            <w:vAlign w:val="bottom"/>
          </w:tcPr>
          <w:p w14:paraId="57EFAE3C" w14:textId="77777777" w:rsidR="000D2EB9" w:rsidRDefault="000D2EB9" w:rsidP="00230DFA">
            <w:pPr>
              <w:rPr>
                <w:rFonts w:cs="Arial"/>
                <w:color w:val="000000"/>
                <w:kern w:val="24"/>
              </w:rPr>
            </w:pPr>
            <w:r>
              <w:rPr>
                <w:rFonts w:cs="Arial"/>
                <w:color w:val="000000"/>
              </w:rPr>
              <w:t>Traumatic Brain Injury</w:t>
            </w:r>
          </w:p>
        </w:tc>
        <w:tc>
          <w:tcPr>
            <w:tcW w:w="1440" w:type="dxa"/>
            <w:vAlign w:val="bottom"/>
          </w:tcPr>
          <w:p w14:paraId="20FC282A" w14:textId="77777777" w:rsidR="000D2EB9" w:rsidRDefault="000D2EB9" w:rsidP="00230DFA">
            <w:pPr>
              <w:jc w:val="right"/>
            </w:pPr>
            <w:r>
              <w:rPr>
                <w:rFonts w:cs="Arial"/>
                <w:color w:val="000000"/>
                <w:kern w:val="24"/>
              </w:rPr>
              <w:t>69.9%</w:t>
            </w:r>
          </w:p>
        </w:tc>
        <w:tc>
          <w:tcPr>
            <w:tcW w:w="1440" w:type="dxa"/>
            <w:vAlign w:val="bottom"/>
          </w:tcPr>
          <w:p w14:paraId="049D8A1C" w14:textId="77777777" w:rsidR="000D2EB9" w:rsidRDefault="000D2EB9" w:rsidP="00230DFA">
            <w:pPr>
              <w:jc w:val="right"/>
            </w:pPr>
            <w:r>
              <w:rPr>
                <w:rFonts w:cs="Arial"/>
                <w:color w:val="000000"/>
                <w:kern w:val="24"/>
              </w:rPr>
              <w:t>81.3%</w:t>
            </w:r>
          </w:p>
        </w:tc>
        <w:tc>
          <w:tcPr>
            <w:tcW w:w="1440" w:type="dxa"/>
            <w:vAlign w:val="bottom"/>
          </w:tcPr>
          <w:p w14:paraId="2AC80627" w14:textId="77777777" w:rsidR="000D2EB9" w:rsidRDefault="000D2EB9" w:rsidP="00230DFA">
            <w:pPr>
              <w:jc w:val="right"/>
            </w:pPr>
            <w:r>
              <w:rPr>
                <w:rFonts w:cs="Arial"/>
                <w:color w:val="000000"/>
                <w:kern w:val="24"/>
              </w:rPr>
              <w:t>68.5%</w:t>
            </w:r>
          </w:p>
        </w:tc>
        <w:tc>
          <w:tcPr>
            <w:tcW w:w="1440" w:type="dxa"/>
            <w:vAlign w:val="bottom"/>
          </w:tcPr>
          <w:p w14:paraId="56A0BF90" w14:textId="77777777" w:rsidR="000D2EB9" w:rsidRDefault="000D2EB9" w:rsidP="00230DFA">
            <w:pPr>
              <w:jc w:val="right"/>
            </w:pPr>
            <w:r>
              <w:rPr>
                <w:rFonts w:cs="Arial"/>
                <w:color w:val="000000"/>
                <w:kern w:val="24"/>
              </w:rPr>
              <w:t>74.6%</w:t>
            </w:r>
          </w:p>
        </w:tc>
      </w:tr>
    </w:tbl>
    <w:p w14:paraId="45EACDC9" w14:textId="77777777" w:rsidR="000D2EB9" w:rsidRDefault="000D2EB9" w:rsidP="000D2EB9"/>
    <w:p w14:paraId="5BE583D7" w14:textId="77777777" w:rsidR="000D2EB9" w:rsidRPr="00223E94" w:rsidRDefault="000D2EB9" w:rsidP="000D2EB9">
      <w:r w:rsidRPr="00223E94">
        <w:rPr>
          <w:b/>
          <w:bCs/>
        </w:rPr>
        <w:t xml:space="preserve">Note: </w:t>
      </w:r>
      <w:r w:rsidRPr="00223E94">
        <w:t>For each category (</w:t>
      </w:r>
      <w:r>
        <w:t>column</w:t>
      </w:r>
      <w:r w:rsidRPr="00223E94">
        <w:t>), the consumer group (</w:t>
      </w:r>
      <w:r>
        <w:t>row</w:t>
      </w:r>
      <w:r w:rsidRPr="00223E94">
        <w:t>) with the highest satisfaction score was denoted with an asterisk (*).</w:t>
      </w:r>
    </w:p>
    <w:p w14:paraId="3F9B1D7C" w14:textId="77777777" w:rsidR="008265B2" w:rsidRDefault="008265B2" w:rsidP="008265B2"/>
    <w:p w14:paraId="0331A45F" w14:textId="6C19419E" w:rsidR="000D2EB9" w:rsidRDefault="000D2EB9" w:rsidP="008265B2">
      <w:pPr>
        <w:pStyle w:val="Heading2"/>
      </w:pPr>
      <w:r>
        <w:t>SLIDE 9</w:t>
      </w:r>
      <w:r w:rsidR="008265B2">
        <w:t xml:space="preserve">: </w:t>
      </w:r>
      <w:r>
        <w:t>Unemployment Reasons were reported by 53.9% of VR Consumers</w:t>
      </w:r>
    </w:p>
    <w:tbl>
      <w:tblPr>
        <w:tblStyle w:val="TableGrid"/>
        <w:tblW w:w="0" w:type="auto"/>
        <w:tblLook w:val="04A0" w:firstRow="1" w:lastRow="0" w:firstColumn="1" w:lastColumn="0" w:noHBand="0" w:noVBand="1"/>
      </w:tblPr>
      <w:tblGrid>
        <w:gridCol w:w="5215"/>
        <w:gridCol w:w="1710"/>
        <w:gridCol w:w="2425"/>
      </w:tblGrid>
      <w:tr w:rsidR="000D2EB9" w:rsidRPr="00715AEE" w14:paraId="6FF0842B" w14:textId="77777777" w:rsidTr="00230DFA">
        <w:tc>
          <w:tcPr>
            <w:tcW w:w="5215" w:type="dxa"/>
          </w:tcPr>
          <w:p w14:paraId="227B8590" w14:textId="77777777" w:rsidR="000D2EB9" w:rsidRPr="00715AEE" w:rsidRDefault="000D2EB9" w:rsidP="00230DFA">
            <w:pPr>
              <w:jc w:val="center"/>
              <w:rPr>
                <w:b/>
                <w:bCs/>
              </w:rPr>
            </w:pPr>
            <w:r w:rsidRPr="00715AEE">
              <w:rPr>
                <w:b/>
                <w:bCs/>
              </w:rPr>
              <w:t>Unemployment Reasons</w:t>
            </w:r>
          </w:p>
        </w:tc>
        <w:tc>
          <w:tcPr>
            <w:tcW w:w="1710" w:type="dxa"/>
          </w:tcPr>
          <w:p w14:paraId="77BFAFDE" w14:textId="77777777" w:rsidR="000D2EB9" w:rsidRPr="00715AEE" w:rsidRDefault="000D2EB9" w:rsidP="00230DFA">
            <w:pPr>
              <w:jc w:val="center"/>
              <w:rPr>
                <w:b/>
                <w:bCs/>
              </w:rPr>
            </w:pPr>
            <w:r w:rsidRPr="00715AEE">
              <w:rPr>
                <w:b/>
                <w:bCs/>
              </w:rPr>
              <w:t>Count</w:t>
            </w:r>
          </w:p>
        </w:tc>
        <w:tc>
          <w:tcPr>
            <w:tcW w:w="2425" w:type="dxa"/>
          </w:tcPr>
          <w:p w14:paraId="0FCABE3B" w14:textId="77777777" w:rsidR="000D2EB9" w:rsidRPr="00715AEE" w:rsidRDefault="000D2EB9" w:rsidP="00230DFA">
            <w:pPr>
              <w:jc w:val="center"/>
              <w:rPr>
                <w:b/>
                <w:bCs/>
              </w:rPr>
            </w:pPr>
            <w:r w:rsidRPr="00715AEE">
              <w:rPr>
                <w:b/>
                <w:bCs/>
              </w:rPr>
              <w:t>Percent of Total Reasons Reported</w:t>
            </w:r>
          </w:p>
        </w:tc>
      </w:tr>
      <w:tr w:rsidR="000D2EB9" w14:paraId="50DC3710" w14:textId="77777777" w:rsidTr="00230DFA">
        <w:tc>
          <w:tcPr>
            <w:tcW w:w="5215" w:type="dxa"/>
            <w:vAlign w:val="center"/>
          </w:tcPr>
          <w:p w14:paraId="790B624C" w14:textId="77777777" w:rsidR="000D2EB9" w:rsidRPr="00715AEE" w:rsidRDefault="000D2EB9" w:rsidP="00230DFA">
            <w:pPr>
              <w:rPr>
                <w:szCs w:val="28"/>
              </w:rPr>
            </w:pPr>
            <w:r w:rsidRPr="00715AEE">
              <w:rPr>
                <w:rFonts w:eastAsia="Arial" w:cs="Arial"/>
                <w:color w:val="000000"/>
                <w:kern w:val="24"/>
                <w:szCs w:val="28"/>
              </w:rPr>
              <w:t>Currently a Student</w:t>
            </w:r>
          </w:p>
        </w:tc>
        <w:tc>
          <w:tcPr>
            <w:tcW w:w="1710" w:type="dxa"/>
            <w:vAlign w:val="center"/>
          </w:tcPr>
          <w:p w14:paraId="44C70767" w14:textId="77777777" w:rsidR="000D2EB9" w:rsidRPr="00504AE9" w:rsidRDefault="000D2EB9" w:rsidP="00230DFA">
            <w:pPr>
              <w:jc w:val="right"/>
              <w:rPr>
                <w:szCs w:val="28"/>
              </w:rPr>
            </w:pPr>
            <w:r w:rsidRPr="00504AE9">
              <w:rPr>
                <w:rFonts w:eastAsia="Arial" w:cs="Arial"/>
                <w:color w:val="000000"/>
                <w:kern w:val="24"/>
                <w:szCs w:val="28"/>
              </w:rPr>
              <w:t>215</w:t>
            </w:r>
          </w:p>
        </w:tc>
        <w:tc>
          <w:tcPr>
            <w:tcW w:w="2425" w:type="dxa"/>
            <w:vAlign w:val="center"/>
          </w:tcPr>
          <w:p w14:paraId="2273D5C2" w14:textId="77777777" w:rsidR="000D2EB9" w:rsidRPr="00504AE9" w:rsidRDefault="000D2EB9" w:rsidP="00230DFA">
            <w:pPr>
              <w:jc w:val="right"/>
              <w:rPr>
                <w:szCs w:val="28"/>
              </w:rPr>
            </w:pPr>
            <w:r w:rsidRPr="00504AE9">
              <w:rPr>
                <w:rFonts w:eastAsia="Arial" w:cs="Arial"/>
                <w:color w:val="000000"/>
                <w:kern w:val="24"/>
                <w:szCs w:val="28"/>
              </w:rPr>
              <w:t>23.6%</w:t>
            </w:r>
          </w:p>
        </w:tc>
      </w:tr>
      <w:tr w:rsidR="000D2EB9" w14:paraId="0151283D" w14:textId="77777777" w:rsidTr="00230DFA">
        <w:tc>
          <w:tcPr>
            <w:tcW w:w="5215" w:type="dxa"/>
            <w:vAlign w:val="center"/>
          </w:tcPr>
          <w:p w14:paraId="2B393482" w14:textId="77777777" w:rsidR="000D2EB9" w:rsidRPr="00715AEE" w:rsidRDefault="000D2EB9" w:rsidP="00230DFA">
            <w:pPr>
              <w:rPr>
                <w:szCs w:val="28"/>
              </w:rPr>
            </w:pPr>
            <w:r w:rsidRPr="00715AEE">
              <w:rPr>
                <w:rFonts w:eastAsia="Arial" w:cs="Arial"/>
                <w:color w:val="000000"/>
                <w:kern w:val="24"/>
                <w:szCs w:val="28"/>
              </w:rPr>
              <w:t>Still looking for Employment</w:t>
            </w:r>
          </w:p>
        </w:tc>
        <w:tc>
          <w:tcPr>
            <w:tcW w:w="1710" w:type="dxa"/>
            <w:vAlign w:val="center"/>
          </w:tcPr>
          <w:p w14:paraId="4CA034F2" w14:textId="77777777" w:rsidR="000D2EB9" w:rsidRPr="00715AEE" w:rsidRDefault="000D2EB9" w:rsidP="00230DFA">
            <w:pPr>
              <w:jc w:val="right"/>
              <w:rPr>
                <w:szCs w:val="28"/>
              </w:rPr>
            </w:pPr>
            <w:r w:rsidRPr="00715AEE">
              <w:rPr>
                <w:rFonts w:eastAsia="Arial" w:cs="Arial"/>
                <w:color w:val="000000"/>
                <w:kern w:val="24"/>
                <w:szCs w:val="28"/>
              </w:rPr>
              <w:t>172</w:t>
            </w:r>
          </w:p>
        </w:tc>
        <w:tc>
          <w:tcPr>
            <w:tcW w:w="2425" w:type="dxa"/>
            <w:vAlign w:val="center"/>
          </w:tcPr>
          <w:p w14:paraId="391BF9F6" w14:textId="77777777" w:rsidR="000D2EB9" w:rsidRPr="00715AEE" w:rsidRDefault="000D2EB9" w:rsidP="00230DFA">
            <w:pPr>
              <w:jc w:val="right"/>
              <w:rPr>
                <w:szCs w:val="28"/>
              </w:rPr>
            </w:pPr>
            <w:r w:rsidRPr="00715AEE">
              <w:rPr>
                <w:rFonts w:eastAsia="Arial" w:cs="Arial"/>
                <w:color w:val="000000"/>
                <w:kern w:val="24"/>
                <w:szCs w:val="28"/>
              </w:rPr>
              <w:t>18.9%</w:t>
            </w:r>
          </w:p>
        </w:tc>
      </w:tr>
      <w:tr w:rsidR="000D2EB9" w14:paraId="17EF5EAD" w14:textId="77777777" w:rsidTr="00230DFA">
        <w:tc>
          <w:tcPr>
            <w:tcW w:w="5215" w:type="dxa"/>
            <w:vAlign w:val="center"/>
          </w:tcPr>
          <w:p w14:paraId="218165C8" w14:textId="77777777" w:rsidR="000D2EB9" w:rsidRPr="00715AEE" w:rsidRDefault="000D2EB9" w:rsidP="00230DFA">
            <w:pPr>
              <w:rPr>
                <w:szCs w:val="28"/>
              </w:rPr>
            </w:pPr>
            <w:r w:rsidRPr="00715AEE">
              <w:rPr>
                <w:rFonts w:eastAsia="Arial" w:cs="Arial"/>
                <w:color w:val="000000"/>
                <w:kern w:val="24"/>
                <w:szCs w:val="28"/>
              </w:rPr>
              <w:t>Needs additional help</w:t>
            </w:r>
          </w:p>
        </w:tc>
        <w:tc>
          <w:tcPr>
            <w:tcW w:w="1710" w:type="dxa"/>
            <w:vAlign w:val="center"/>
          </w:tcPr>
          <w:p w14:paraId="7C2A7748" w14:textId="77777777" w:rsidR="000D2EB9" w:rsidRPr="00715AEE" w:rsidRDefault="000D2EB9" w:rsidP="00230DFA">
            <w:pPr>
              <w:jc w:val="right"/>
              <w:rPr>
                <w:szCs w:val="28"/>
              </w:rPr>
            </w:pPr>
            <w:r w:rsidRPr="00715AEE">
              <w:rPr>
                <w:rFonts w:eastAsia="Arial" w:cs="Arial"/>
                <w:color w:val="000000"/>
                <w:kern w:val="24"/>
                <w:szCs w:val="28"/>
              </w:rPr>
              <w:t>120</w:t>
            </w:r>
          </w:p>
        </w:tc>
        <w:tc>
          <w:tcPr>
            <w:tcW w:w="2425" w:type="dxa"/>
            <w:vAlign w:val="center"/>
          </w:tcPr>
          <w:p w14:paraId="042EF165" w14:textId="77777777" w:rsidR="000D2EB9" w:rsidRPr="00715AEE" w:rsidRDefault="000D2EB9" w:rsidP="00230DFA">
            <w:pPr>
              <w:jc w:val="right"/>
              <w:rPr>
                <w:szCs w:val="28"/>
              </w:rPr>
            </w:pPr>
            <w:r w:rsidRPr="00715AEE">
              <w:rPr>
                <w:rFonts w:eastAsia="Arial" w:cs="Arial"/>
                <w:color w:val="000000"/>
                <w:kern w:val="24"/>
                <w:szCs w:val="28"/>
              </w:rPr>
              <w:t>13.2%</w:t>
            </w:r>
          </w:p>
        </w:tc>
      </w:tr>
      <w:tr w:rsidR="000D2EB9" w14:paraId="70D817A9" w14:textId="77777777" w:rsidTr="00230DFA">
        <w:tc>
          <w:tcPr>
            <w:tcW w:w="5215" w:type="dxa"/>
            <w:vAlign w:val="center"/>
          </w:tcPr>
          <w:p w14:paraId="550FC20D" w14:textId="77777777" w:rsidR="000D2EB9" w:rsidRPr="00715AEE" w:rsidRDefault="000D2EB9" w:rsidP="00230DFA">
            <w:pPr>
              <w:rPr>
                <w:szCs w:val="28"/>
              </w:rPr>
            </w:pPr>
            <w:r w:rsidRPr="00715AEE">
              <w:rPr>
                <w:rFonts w:eastAsia="Arial" w:cs="Arial"/>
                <w:color w:val="000000"/>
                <w:kern w:val="24"/>
                <w:szCs w:val="28"/>
              </w:rPr>
              <w:t>Lack of DOR Assistance</w:t>
            </w:r>
          </w:p>
        </w:tc>
        <w:tc>
          <w:tcPr>
            <w:tcW w:w="1710" w:type="dxa"/>
            <w:vAlign w:val="center"/>
          </w:tcPr>
          <w:p w14:paraId="58945732" w14:textId="77777777" w:rsidR="000D2EB9" w:rsidRPr="00715AEE" w:rsidRDefault="000D2EB9" w:rsidP="00230DFA">
            <w:pPr>
              <w:jc w:val="right"/>
              <w:rPr>
                <w:szCs w:val="28"/>
              </w:rPr>
            </w:pPr>
            <w:r w:rsidRPr="00715AEE">
              <w:rPr>
                <w:rFonts w:eastAsia="Arial" w:cs="Arial"/>
                <w:color w:val="000000"/>
                <w:kern w:val="24"/>
                <w:szCs w:val="28"/>
              </w:rPr>
              <w:t>93</w:t>
            </w:r>
          </w:p>
        </w:tc>
        <w:tc>
          <w:tcPr>
            <w:tcW w:w="2425" w:type="dxa"/>
            <w:vAlign w:val="center"/>
          </w:tcPr>
          <w:p w14:paraId="4DE1F746" w14:textId="77777777" w:rsidR="000D2EB9" w:rsidRPr="00715AEE" w:rsidRDefault="000D2EB9" w:rsidP="00230DFA">
            <w:pPr>
              <w:jc w:val="right"/>
              <w:rPr>
                <w:szCs w:val="28"/>
              </w:rPr>
            </w:pPr>
            <w:r w:rsidRPr="00715AEE">
              <w:rPr>
                <w:rFonts w:eastAsia="Arial" w:cs="Arial"/>
                <w:color w:val="000000"/>
                <w:kern w:val="24"/>
                <w:szCs w:val="28"/>
              </w:rPr>
              <w:t>10.2%</w:t>
            </w:r>
          </w:p>
        </w:tc>
      </w:tr>
      <w:tr w:rsidR="000D2EB9" w14:paraId="4CFE6287" w14:textId="77777777" w:rsidTr="00230DFA">
        <w:tc>
          <w:tcPr>
            <w:tcW w:w="5215" w:type="dxa"/>
            <w:vAlign w:val="center"/>
          </w:tcPr>
          <w:p w14:paraId="2D10A96E" w14:textId="77777777" w:rsidR="000D2EB9" w:rsidRPr="00715AEE" w:rsidRDefault="000D2EB9" w:rsidP="00230DFA">
            <w:pPr>
              <w:rPr>
                <w:szCs w:val="28"/>
              </w:rPr>
            </w:pPr>
            <w:r w:rsidRPr="00715AEE">
              <w:rPr>
                <w:rFonts w:eastAsia="Arial" w:cs="Arial"/>
                <w:color w:val="000000"/>
                <w:kern w:val="24"/>
                <w:szCs w:val="28"/>
              </w:rPr>
              <w:t>Not Ready for Employment</w:t>
            </w:r>
          </w:p>
        </w:tc>
        <w:tc>
          <w:tcPr>
            <w:tcW w:w="1710" w:type="dxa"/>
            <w:vAlign w:val="center"/>
          </w:tcPr>
          <w:p w14:paraId="73409E53" w14:textId="77777777" w:rsidR="000D2EB9" w:rsidRPr="00715AEE" w:rsidRDefault="000D2EB9" w:rsidP="00230DFA">
            <w:pPr>
              <w:jc w:val="right"/>
              <w:rPr>
                <w:szCs w:val="28"/>
              </w:rPr>
            </w:pPr>
            <w:r w:rsidRPr="00715AEE">
              <w:rPr>
                <w:rFonts w:eastAsia="Arial" w:cs="Arial"/>
                <w:color w:val="000000"/>
                <w:kern w:val="24"/>
                <w:szCs w:val="28"/>
              </w:rPr>
              <w:t>65</w:t>
            </w:r>
          </w:p>
        </w:tc>
        <w:tc>
          <w:tcPr>
            <w:tcW w:w="2425" w:type="dxa"/>
            <w:vAlign w:val="center"/>
          </w:tcPr>
          <w:p w14:paraId="1106CD4B" w14:textId="77777777" w:rsidR="000D2EB9" w:rsidRPr="00715AEE" w:rsidRDefault="000D2EB9" w:rsidP="00230DFA">
            <w:pPr>
              <w:jc w:val="right"/>
              <w:rPr>
                <w:szCs w:val="28"/>
              </w:rPr>
            </w:pPr>
            <w:r w:rsidRPr="00715AEE">
              <w:rPr>
                <w:rFonts w:eastAsia="Arial" w:cs="Arial"/>
                <w:color w:val="000000"/>
                <w:kern w:val="24"/>
                <w:szCs w:val="28"/>
              </w:rPr>
              <w:t>7.1%</w:t>
            </w:r>
          </w:p>
        </w:tc>
      </w:tr>
      <w:tr w:rsidR="000D2EB9" w14:paraId="47E14A4F" w14:textId="77777777" w:rsidTr="00230DFA">
        <w:tc>
          <w:tcPr>
            <w:tcW w:w="5215" w:type="dxa"/>
            <w:vAlign w:val="center"/>
          </w:tcPr>
          <w:p w14:paraId="5616BC4B" w14:textId="77777777" w:rsidR="000D2EB9" w:rsidRPr="00715AEE" w:rsidRDefault="000D2EB9" w:rsidP="00230DFA">
            <w:pPr>
              <w:rPr>
                <w:szCs w:val="28"/>
              </w:rPr>
            </w:pPr>
            <w:r w:rsidRPr="00715AEE">
              <w:rPr>
                <w:rFonts w:eastAsia="Arial" w:cs="Arial"/>
                <w:color w:val="000000"/>
                <w:kern w:val="24"/>
                <w:szCs w:val="28"/>
              </w:rPr>
              <w:t>Prevented by Disability</w:t>
            </w:r>
          </w:p>
        </w:tc>
        <w:tc>
          <w:tcPr>
            <w:tcW w:w="1710" w:type="dxa"/>
            <w:vAlign w:val="center"/>
          </w:tcPr>
          <w:p w14:paraId="41426EA0" w14:textId="77777777" w:rsidR="000D2EB9" w:rsidRPr="00715AEE" w:rsidRDefault="000D2EB9" w:rsidP="00230DFA">
            <w:pPr>
              <w:jc w:val="right"/>
              <w:rPr>
                <w:szCs w:val="28"/>
              </w:rPr>
            </w:pPr>
            <w:r w:rsidRPr="00715AEE">
              <w:rPr>
                <w:rFonts w:eastAsia="Arial" w:cs="Arial"/>
                <w:color w:val="000000"/>
                <w:kern w:val="24"/>
                <w:szCs w:val="28"/>
              </w:rPr>
              <w:t>62</w:t>
            </w:r>
          </w:p>
        </w:tc>
        <w:tc>
          <w:tcPr>
            <w:tcW w:w="2425" w:type="dxa"/>
            <w:vAlign w:val="center"/>
          </w:tcPr>
          <w:p w14:paraId="2C9AC0C0" w14:textId="77777777" w:rsidR="000D2EB9" w:rsidRPr="00715AEE" w:rsidRDefault="000D2EB9" w:rsidP="00230DFA">
            <w:pPr>
              <w:jc w:val="right"/>
              <w:rPr>
                <w:szCs w:val="28"/>
              </w:rPr>
            </w:pPr>
            <w:r w:rsidRPr="00715AEE">
              <w:rPr>
                <w:rFonts w:eastAsia="Arial" w:cs="Arial"/>
                <w:color w:val="000000"/>
                <w:kern w:val="24"/>
                <w:szCs w:val="28"/>
              </w:rPr>
              <w:t>6.8%</w:t>
            </w:r>
          </w:p>
        </w:tc>
      </w:tr>
      <w:tr w:rsidR="000D2EB9" w14:paraId="08BA2D2F" w14:textId="77777777" w:rsidTr="00230DFA">
        <w:tc>
          <w:tcPr>
            <w:tcW w:w="5215" w:type="dxa"/>
            <w:vAlign w:val="center"/>
          </w:tcPr>
          <w:p w14:paraId="28EC9A42" w14:textId="77777777" w:rsidR="000D2EB9" w:rsidRPr="00715AEE" w:rsidRDefault="000D2EB9" w:rsidP="00230DFA">
            <w:pPr>
              <w:rPr>
                <w:szCs w:val="28"/>
              </w:rPr>
            </w:pPr>
            <w:r w:rsidRPr="00715AEE">
              <w:rPr>
                <w:rFonts w:eastAsia="Arial" w:cs="Arial"/>
                <w:color w:val="000000"/>
                <w:kern w:val="24"/>
                <w:szCs w:val="28"/>
              </w:rPr>
              <w:t>Prevented by Transportation issues</w:t>
            </w:r>
          </w:p>
        </w:tc>
        <w:tc>
          <w:tcPr>
            <w:tcW w:w="1710" w:type="dxa"/>
            <w:vAlign w:val="center"/>
          </w:tcPr>
          <w:p w14:paraId="17E69C7D" w14:textId="77777777" w:rsidR="000D2EB9" w:rsidRPr="00715AEE" w:rsidRDefault="000D2EB9" w:rsidP="00230DFA">
            <w:pPr>
              <w:jc w:val="right"/>
              <w:rPr>
                <w:szCs w:val="28"/>
              </w:rPr>
            </w:pPr>
            <w:r w:rsidRPr="00715AEE">
              <w:rPr>
                <w:rFonts w:eastAsia="Arial" w:cs="Arial"/>
                <w:color w:val="000000"/>
                <w:kern w:val="24"/>
                <w:szCs w:val="28"/>
              </w:rPr>
              <w:t>61</w:t>
            </w:r>
          </w:p>
        </w:tc>
        <w:tc>
          <w:tcPr>
            <w:tcW w:w="2425" w:type="dxa"/>
            <w:vAlign w:val="center"/>
          </w:tcPr>
          <w:p w14:paraId="050E17F8" w14:textId="77777777" w:rsidR="000D2EB9" w:rsidRPr="00715AEE" w:rsidRDefault="000D2EB9" w:rsidP="00230DFA">
            <w:pPr>
              <w:jc w:val="right"/>
              <w:rPr>
                <w:szCs w:val="28"/>
              </w:rPr>
            </w:pPr>
            <w:r w:rsidRPr="00715AEE">
              <w:rPr>
                <w:rFonts w:eastAsia="Arial" w:cs="Arial"/>
                <w:color w:val="000000"/>
                <w:kern w:val="24"/>
                <w:szCs w:val="28"/>
              </w:rPr>
              <w:t>6.7%</w:t>
            </w:r>
          </w:p>
        </w:tc>
      </w:tr>
      <w:tr w:rsidR="000D2EB9" w14:paraId="48DF5BCE" w14:textId="77777777" w:rsidTr="00230DFA">
        <w:tc>
          <w:tcPr>
            <w:tcW w:w="5215" w:type="dxa"/>
            <w:vAlign w:val="center"/>
          </w:tcPr>
          <w:p w14:paraId="69641E5E" w14:textId="77777777" w:rsidR="000D2EB9" w:rsidRPr="00715AEE" w:rsidRDefault="000D2EB9" w:rsidP="00230DFA">
            <w:pPr>
              <w:rPr>
                <w:szCs w:val="28"/>
              </w:rPr>
            </w:pPr>
            <w:r w:rsidRPr="00715AEE">
              <w:rPr>
                <w:rFonts w:eastAsia="Arial" w:cs="Arial"/>
                <w:color w:val="000000"/>
                <w:kern w:val="24"/>
                <w:szCs w:val="28"/>
              </w:rPr>
              <w:t>Lack of IPE-consistent Jobs Available</w:t>
            </w:r>
          </w:p>
        </w:tc>
        <w:tc>
          <w:tcPr>
            <w:tcW w:w="1710" w:type="dxa"/>
            <w:vAlign w:val="center"/>
          </w:tcPr>
          <w:p w14:paraId="40EDE220" w14:textId="77777777" w:rsidR="000D2EB9" w:rsidRPr="00715AEE" w:rsidRDefault="000D2EB9" w:rsidP="00230DFA">
            <w:pPr>
              <w:jc w:val="right"/>
              <w:rPr>
                <w:szCs w:val="28"/>
              </w:rPr>
            </w:pPr>
            <w:r w:rsidRPr="00715AEE">
              <w:rPr>
                <w:rFonts w:eastAsia="Arial" w:cs="Arial"/>
                <w:color w:val="000000"/>
                <w:kern w:val="24"/>
                <w:szCs w:val="28"/>
              </w:rPr>
              <w:t>38</w:t>
            </w:r>
          </w:p>
        </w:tc>
        <w:tc>
          <w:tcPr>
            <w:tcW w:w="2425" w:type="dxa"/>
            <w:vAlign w:val="center"/>
          </w:tcPr>
          <w:p w14:paraId="0108C7A3" w14:textId="77777777" w:rsidR="000D2EB9" w:rsidRPr="00715AEE" w:rsidRDefault="000D2EB9" w:rsidP="00230DFA">
            <w:pPr>
              <w:jc w:val="right"/>
              <w:rPr>
                <w:szCs w:val="28"/>
              </w:rPr>
            </w:pPr>
            <w:r w:rsidRPr="00715AEE">
              <w:rPr>
                <w:rFonts w:eastAsia="Arial" w:cs="Arial"/>
                <w:color w:val="000000"/>
                <w:kern w:val="24"/>
                <w:szCs w:val="28"/>
              </w:rPr>
              <w:t>4.2%</w:t>
            </w:r>
          </w:p>
        </w:tc>
      </w:tr>
      <w:tr w:rsidR="000D2EB9" w14:paraId="54926052" w14:textId="77777777" w:rsidTr="00230DFA">
        <w:tc>
          <w:tcPr>
            <w:tcW w:w="5215" w:type="dxa"/>
            <w:vAlign w:val="center"/>
          </w:tcPr>
          <w:p w14:paraId="3BD1D264" w14:textId="77777777" w:rsidR="000D2EB9" w:rsidRPr="00715AEE" w:rsidRDefault="000D2EB9" w:rsidP="00230DFA">
            <w:pPr>
              <w:rPr>
                <w:szCs w:val="28"/>
              </w:rPr>
            </w:pPr>
            <w:r w:rsidRPr="00715AEE">
              <w:rPr>
                <w:rFonts w:eastAsia="Arial" w:cs="Arial"/>
                <w:color w:val="000000"/>
                <w:kern w:val="24"/>
                <w:szCs w:val="28"/>
              </w:rPr>
              <w:t>Lack of Desired Jobs Available</w:t>
            </w:r>
          </w:p>
        </w:tc>
        <w:tc>
          <w:tcPr>
            <w:tcW w:w="1710" w:type="dxa"/>
            <w:vAlign w:val="center"/>
          </w:tcPr>
          <w:p w14:paraId="7B81227D" w14:textId="77777777" w:rsidR="000D2EB9" w:rsidRPr="00715AEE" w:rsidRDefault="000D2EB9" w:rsidP="00230DFA">
            <w:pPr>
              <w:jc w:val="right"/>
              <w:rPr>
                <w:szCs w:val="28"/>
              </w:rPr>
            </w:pPr>
            <w:r w:rsidRPr="00715AEE">
              <w:rPr>
                <w:rFonts w:eastAsia="Arial" w:cs="Arial"/>
                <w:color w:val="000000"/>
                <w:kern w:val="24"/>
                <w:szCs w:val="28"/>
              </w:rPr>
              <w:t>36</w:t>
            </w:r>
          </w:p>
        </w:tc>
        <w:tc>
          <w:tcPr>
            <w:tcW w:w="2425" w:type="dxa"/>
            <w:vAlign w:val="center"/>
          </w:tcPr>
          <w:p w14:paraId="2414FF49" w14:textId="77777777" w:rsidR="000D2EB9" w:rsidRPr="00715AEE" w:rsidRDefault="000D2EB9" w:rsidP="00230DFA">
            <w:pPr>
              <w:jc w:val="right"/>
              <w:rPr>
                <w:szCs w:val="28"/>
              </w:rPr>
            </w:pPr>
            <w:r w:rsidRPr="00715AEE">
              <w:rPr>
                <w:rFonts w:eastAsia="Arial" w:cs="Arial"/>
                <w:color w:val="000000"/>
                <w:kern w:val="24"/>
                <w:szCs w:val="28"/>
              </w:rPr>
              <w:t>4.0%</w:t>
            </w:r>
          </w:p>
        </w:tc>
      </w:tr>
      <w:tr w:rsidR="000D2EB9" w14:paraId="0E0D389B" w14:textId="77777777" w:rsidTr="00230DFA">
        <w:tc>
          <w:tcPr>
            <w:tcW w:w="5215" w:type="dxa"/>
            <w:vAlign w:val="center"/>
          </w:tcPr>
          <w:p w14:paraId="0E860A9A" w14:textId="77777777" w:rsidR="000D2EB9" w:rsidRPr="00715AEE" w:rsidRDefault="000D2EB9" w:rsidP="00230DFA">
            <w:pPr>
              <w:rPr>
                <w:szCs w:val="28"/>
              </w:rPr>
            </w:pPr>
            <w:r w:rsidRPr="00715AEE">
              <w:rPr>
                <w:rFonts w:eastAsia="Arial" w:cs="Arial"/>
                <w:color w:val="000000"/>
                <w:kern w:val="24"/>
                <w:szCs w:val="28"/>
              </w:rPr>
              <w:t>Prevented by Family Issues</w:t>
            </w:r>
          </w:p>
        </w:tc>
        <w:tc>
          <w:tcPr>
            <w:tcW w:w="1710" w:type="dxa"/>
            <w:vAlign w:val="center"/>
          </w:tcPr>
          <w:p w14:paraId="47515D22" w14:textId="77777777" w:rsidR="000D2EB9" w:rsidRPr="00715AEE" w:rsidRDefault="000D2EB9" w:rsidP="00230DFA">
            <w:pPr>
              <w:jc w:val="right"/>
              <w:rPr>
                <w:szCs w:val="28"/>
              </w:rPr>
            </w:pPr>
            <w:r w:rsidRPr="00715AEE">
              <w:rPr>
                <w:rFonts w:eastAsia="Arial" w:cs="Arial"/>
                <w:color w:val="000000"/>
                <w:kern w:val="24"/>
                <w:szCs w:val="28"/>
              </w:rPr>
              <w:t>26</w:t>
            </w:r>
          </w:p>
        </w:tc>
        <w:tc>
          <w:tcPr>
            <w:tcW w:w="2425" w:type="dxa"/>
            <w:vAlign w:val="center"/>
          </w:tcPr>
          <w:p w14:paraId="176EBB1E" w14:textId="77777777" w:rsidR="000D2EB9" w:rsidRPr="00715AEE" w:rsidRDefault="000D2EB9" w:rsidP="00230DFA">
            <w:pPr>
              <w:jc w:val="right"/>
              <w:rPr>
                <w:szCs w:val="28"/>
              </w:rPr>
            </w:pPr>
            <w:r w:rsidRPr="00715AEE">
              <w:rPr>
                <w:rFonts w:eastAsia="Arial" w:cs="Arial"/>
                <w:color w:val="000000"/>
                <w:kern w:val="24"/>
                <w:szCs w:val="28"/>
              </w:rPr>
              <w:t>2.9%</w:t>
            </w:r>
          </w:p>
        </w:tc>
      </w:tr>
      <w:tr w:rsidR="000D2EB9" w14:paraId="443EFA76" w14:textId="77777777" w:rsidTr="00230DFA">
        <w:tc>
          <w:tcPr>
            <w:tcW w:w="5215" w:type="dxa"/>
            <w:vAlign w:val="center"/>
          </w:tcPr>
          <w:p w14:paraId="2C414975" w14:textId="77777777" w:rsidR="000D2EB9" w:rsidRPr="00715AEE" w:rsidRDefault="000D2EB9" w:rsidP="00230DFA">
            <w:pPr>
              <w:rPr>
                <w:szCs w:val="28"/>
              </w:rPr>
            </w:pPr>
            <w:r w:rsidRPr="00715AEE">
              <w:rPr>
                <w:rFonts w:eastAsia="Arial" w:cs="Arial"/>
                <w:color w:val="000000"/>
                <w:kern w:val="24"/>
                <w:szCs w:val="28"/>
              </w:rPr>
              <w:lastRenderedPageBreak/>
              <w:t>Retaining SSI/SSDI Benefits</w:t>
            </w:r>
          </w:p>
        </w:tc>
        <w:tc>
          <w:tcPr>
            <w:tcW w:w="1710" w:type="dxa"/>
            <w:vAlign w:val="center"/>
          </w:tcPr>
          <w:p w14:paraId="5FABDB5A" w14:textId="77777777" w:rsidR="000D2EB9" w:rsidRPr="00715AEE" w:rsidRDefault="000D2EB9" w:rsidP="00230DFA">
            <w:pPr>
              <w:jc w:val="right"/>
              <w:rPr>
                <w:szCs w:val="28"/>
              </w:rPr>
            </w:pPr>
            <w:r w:rsidRPr="00715AEE">
              <w:rPr>
                <w:rFonts w:eastAsia="Arial" w:cs="Arial"/>
                <w:color w:val="000000"/>
                <w:kern w:val="24"/>
                <w:szCs w:val="28"/>
              </w:rPr>
              <w:t>23</w:t>
            </w:r>
          </w:p>
        </w:tc>
        <w:tc>
          <w:tcPr>
            <w:tcW w:w="2425" w:type="dxa"/>
            <w:vAlign w:val="center"/>
          </w:tcPr>
          <w:p w14:paraId="5F0B0155" w14:textId="77777777" w:rsidR="000D2EB9" w:rsidRPr="00715AEE" w:rsidRDefault="000D2EB9" w:rsidP="00230DFA">
            <w:pPr>
              <w:jc w:val="right"/>
              <w:rPr>
                <w:szCs w:val="28"/>
              </w:rPr>
            </w:pPr>
            <w:r w:rsidRPr="00715AEE">
              <w:rPr>
                <w:rFonts w:eastAsia="Arial" w:cs="Arial"/>
                <w:color w:val="000000"/>
                <w:kern w:val="24"/>
                <w:szCs w:val="28"/>
              </w:rPr>
              <w:t>2.5%</w:t>
            </w:r>
          </w:p>
        </w:tc>
      </w:tr>
      <w:tr w:rsidR="000D2EB9" w14:paraId="13540721" w14:textId="77777777" w:rsidTr="00230DFA">
        <w:tc>
          <w:tcPr>
            <w:tcW w:w="5215" w:type="dxa"/>
            <w:vAlign w:val="center"/>
          </w:tcPr>
          <w:p w14:paraId="3F1B5FE0" w14:textId="77777777" w:rsidR="000D2EB9" w:rsidRPr="00715AEE" w:rsidRDefault="000D2EB9" w:rsidP="00230DFA">
            <w:pPr>
              <w:jc w:val="right"/>
              <w:rPr>
                <w:szCs w:val="28"/>
              </w:rPr>
            </w:pPr>
            <w:r w:rsidRPr="00715AEE">
              <w:rPr>
                <w:rFonts w:cs="Arial"/>
                <w:b/>
                <w:bCs/>
                <w:i/>
                <w:iCs/>
                <w:color w:val="000000" w:themeColor="text1"/>
                <w:kern w:val="24"/>
                <w:szCs w:val="28"/>
              </w:rPr>
              <w:t>Total Reasons Reported</w:t>
            </w:r>
          </w:p>
        </w:tc>
        <w:tc>
          <w:tcPr>
            <w:tcW w:w="1710" w:type="dxa"/>
            <w:vAlign w:val="center"/>
          </w:tcPr>
          <w:p w14:paraId="1839FA81" w14:textId="77777777" w:rsidR="000D2EB9" w:rsidRPr="00715AEE" w:rsidRDefault="000D2EB9" w:rsidP="00230DFA">
            <w:pPr>
              <w:jc w:val="right"/>
              <w:rPr>
                <w:szCs w:val="28"/>
              </w:rPr>
            </w:pPr>
            <w:r w:rsidRPr="00715AEE">
              <w:rPr>
                <w:rFonts w:cs="Arial"/>
                <w:b/>
                <w:bCs/>
                <w:i/>
                <w:iCs/>
                <w:color w:val="000000" w:themeColor="text1"/>
                <w:kern w:val="24"/>
                <w:szCs w:val="28"/>
              </w:rPr>
              <w:t>911</w:t>
            </w:r>
          </w:p>
        </w:tc>
        <w:tc>
          <w:tcPr>
            <w:tcW w:w="2425" w:type="dxa"/>
            <w:tcBorders>
              <w:bottom w:val="single" w:sz="4" w:space="0" w:color="auto"/>
            </w:tcBorders>
            <w:vAlign w:val="center"/>
          </w:tcPr>
          <w:p w14:paraId="034BF072" w14:textId="77777777" w:rsidR="000D2EB9" w:rsidRPr="00715AEE" w:rsidRDefault="000D2EB9" w:rsidP="00230DFA">
            <w:pPr>
              <w:jc w:val="right"/>
              <w:rPr>
                <w:szCs w:val="28"/>
              </w:rPr>
            </w:pPr>
            <w:r w:rsidRPr="00715AEE">
              <w:rPr>
                <w:rFonts w:cs="Arial"/>
                <w:b/>
                <w:bCs/>
                <w:i/>
                <w:iCs/>
                <w:color w:val="000000" w:themeColor="text1"/>
                <w:kern w:val="24"/>
                <w:szCs w:val="28"/>
              </w:rPr>
              <w:t>100%</w:t>
            </w:r>
          </w:p>
        </w:tc>
      </w:tr>
      <w:tr w:rsidR="000D2EB9" w14:paraId="49571175" w14:textId="77777777" w:rsidTr="00230DFA">
        <w:tc>
          <w:tcPr>
            <w:tcW w:w="5215" w:type="dxa"/>
            <w:vAlign w:val="center"/>
          </w:tcPr>
          <w:p w14:paraId="19A23BEF" w14:textId="77777777" w:rsidR="000D2EB9" w:rsidRPr="00715AEE" w:rsidRDefault="000D2EB9" w:rsidP="00230DFA">
            <w:pPr>
              <w:jc w:val="right"/>
              <w:rPr>
                <w:szCs w:val="28"/>
              </w:rPr>
            </w:pPr>
            <w:r w:rsidRPr="00715AEE">
              <w:rPr>
                <w:rFonts w:eastAsia="Arial" w:cs="Arial"/>
                <w:b/>
                <w:bCs/>
                <w:i/>
                <w:iCs/>
                <w:color w:val="000000" w:themeColor="text1"/>
                <w:kern w:val="24"/>
                <w:szCs w:val="28"/>
              </w:rPr>
              <w:t>Total Consumers</w:t>
            </w:r>
          </w:p>
        </w:tc>
        <w:tc>
          <w:tcPr>
            <w:tcW w:w="1710" w:type="dxa"/>
            <w:vAlign w:val="center"/>
          </w:tcPr>
          <w:p w14:paraId="7FE1FA1D" w14:textId="77777777" w:rsidR="000D2EB9" w:rsidRPr="00715AEE" w:rsidRDefault="000D2EB9" w:rsidP="00230DFA">
            <w:pPr>
              <w:jc w:val="right"/>
              <w:rPr>
                <w:szCs w:val="28"/>
              </w:rPr>
            </w:pPr>
            <w:r w:rsidRPr="00715AEE">
              <w:rPr>
                <w:rFonts w:eastAsia="Arial" w:cs="Arial"/>
                <w:b/>
                <w:bCs/>
                <w:i/>
                <w:iCs/>
                <w:color w:val="000000" w:themeColor="text1"/>
                <w:kern w:val="24"/>
                <w:szCs w:val="28"/>
              </w:rPr>
              <w:t>445</w:t>
            </w:r>
          </w:p>
        </w:tc>
        <w:tc>
          <w:tcPr>
            <w:tcW w:w="2425" w:type="dxa"/>
            <w:tcBorders>
              <w:bottom w:val="single" w:sz="4" w:space="0" w:color="auto"/>
            </w:tcBorders>
            <w:shd w:val="clear" w:color="auto" w:fill="F2F2F2" w:themeFill="background1" w:themeFillShade="F2"/>
            <w:vAlign w:val="center"/>
          </w:tcPr>
          <w:p w14:paraId="1B4536E1" w14:textId="77777777" w:rsidR="000D2EB9" w:rsidRPr="000D2EB9" w:rsidRDefault="000D2EB9" w:rsidP="00230DFA">
            <w:pPr>
              <w:jc w:val="right"/>
              <w:rPr>
                <w:szCs w:val="28"/>
                <w:highlight w:val="lightGray"/>
              </w:rPr>
            </w:pPr>
          </w:p>
        </w:tc>
      </w:tr>
    </w:tbl>
    <w:p w14:paraId="2C45866E" w14:textId="77777777" w:rsidR="000D2EB9" w:rsidRDefault="000D2EB9" w:rsidP="000D2EB9">
      <w:r w:rsidRPr="00715AEE">
        <w:rPr>
          <w:b/>
          <w:bCs/>
        </w:rPr>
        <w:t xml:space="preserve">Note: </w:t>
      </w:r>
      <w:r w:rsidRPr="00715AEE">
        <w:t xml:space="preserve">Consumers were able to report multiple unemployment reasons. </w:t>
      </w:r>
    </w:p>
    <w:p w14:paraId="5C718C08" w14:textId="77777777" w:rsidR="008265B2" w:rsidRDefault="008265B2" w:rsidP="008265B2"/>
    <w:p w14:paraId="5B32D7FA" w14:textId="50FB80F9" w:rsidR="000D2EB9" w:rsidRPr="00504AE9" w:rsidRDefault="000D2EB9" w:rsidP="008265B2">
      <w:pPr>
        <w:pStyle w:val="Heading2"/>
      </w:pPr>
      <w:r>
        <w:t>SLIDE 10</w:t>
      </w:r>
      <w:r w:rsidR="008265B2">
        <w:t xml:space="preserve">: </w:t>
      </w:r>
      <w:r w:rsidRPr="00504AE9">
        <w:t>Reporting an unemployment reason was associated with lower satisfaction with DOR</w:t>
      </w:r>
    </w:p>
    <w:tbl>
      <w:tblPr>
        <w:tblStyle w:val="TableGrid"/>
        <w:tblW w:w="0" w:type="auto"/>
        <w:tblLook w:val="04A0" w:firstRow="1" w:lastRow="0" w:firstColumn="1" w:lastColumn="0" w:noHBand="0" w:noVBand="1"/>
      </w:tblPr>
      <w:tblGrid>
        <w:gridCol w:w="3116"/>
        <w:gridCol w:w="3117"/>
        <w:gridCol w:w="3117"/>
      </w:tblGrid>
      <w:tr w:rsidR="000D2EB9" w:rsidRPr="00715AEE" w14:paraId="239931E5" w14:textId="77777777" w:rsidTr="00230DFA">
        <w:tc>
          <w:tcPr>
            <w:tcW w:w="3116" w:type="dxa"/>
            <w:vAlign w:val="center"/>
          </w:tcPr>
          <w:p w14:paraId="48948031" w14:textId="77777777" w:rsidR="000D2EB9" w:rsidRPr="00715AEE" w:rsidRDefault="000D2EB9" w:rsidP="00230DFA">
            <w:pPr>
              <w:rPr>
                <w:b/>
                <w:bCs/>
                <w:szCs w:val="28"/>
              </w:rPr>
            </w:pPr>
            <w:r w:rsidRPr="00715AEE">
              <w:rPr>
                <w:b/>
                <w:bCs/>
                <w:szCs w:val="28"/>
              </w:rPr>
              <w:t>Category</w:t>
            </w:r>
          </w:p>
        </w:tc>
        <w:tc>
          <w:tcPr>
            <w:tcW w:w="3117" w:type="dxa"/>
            <w:vAlign w:val="center"/>
          </w:tcPr>
          <w:p w14:paraId="0406B7A3" w14:textId="77777777" w:rsidR="000D2EB9" w:rsidRPr="00715AEE" w:rsidRDefault="000D2EB9" w:rsidP="00230DFA">
            <w:pPr>
              <w:jc w:val="center"/>
              <w:rPr>
                <w:b/>
                <w:bCs/>
                <w:szCs w:val="28"/>
              </w:rPr>
            </w:pPr>
            <w:r w:rsidRPr="00715AEE">
              <w:rPr>
                <w:b/>
                <w:bCs/>
                <w:szCs w:val="28"/>
              </w:rPr>
              <w:t xml:space="preserve">Consumers who </w:t>
            </w:r>
            <w:r w:rsidRPr="00715AEE">
              <w:rPr>
                <w:b/>
                <w:bCs/>
                <w:szCs w:val="28"/>
                <w:u w:val="single"/>
              </w:rPr>
              <w:t>reported</w:t>
            </w:r>
            <w:r w:rsidRPr="00715AEE">
              <w:rPr>
                <w:b/>
                <w:bCs/>
                <w:szCs w:val="28"/>
              </w:rPr>
              <w:t xml:space="preserve"> </w:t>
            </w:r>
            <w:proofErr w:type="spellStart"/>
            <w:r w:rsidRPr="00715AEE">
              <w:rPr>
                <w:b/>
                <w:bCs/>
                <w:szCs w:val="28"/>
              </w:rPr>
              <w:t>Unemploy</w:t>
            </w:r>
            <w:proofErr w:type="spellEnd"/>
            <w:r w:rsidRPr="00715AEE">
              <w:rPr>
                <w:b/>
                <w:bCs/>
                <w:szCs w:val="28"/>
              </w:rPr>
              <w:t>. Reason(s)</w:t>
            </w:r>
          </w:p>
        </w:tc>
        <w:tc>
          <w:tcPr>
            <w:tcW w:w="3117" w:type="dxa"/>
            <w:vAlign w:val="center"/>
          </w:tcPr>
          <w:p w14:paraId="10BFA7E8" w14:textId="77777777" w:rsidR="000D2EB9" w:rsidRPr="00715AEE" w:rsidRDefault="000D2EB9" w:rsidP="00230DFA">
            <w:pPr>
              <w:jc w:val="center"/>
              <w:rPr>
                <w:b/>
                <w:bCs/>
                <w:szCs w:val="28"/>
              </w:rPr>
            </w:pPr>
            <w:r w:rsidRPr="00715AEE">
              <w:rPr>
                <w:b/>
                <w:bCs/>
                <w:szCs w:val="28"/>
              </w:rPr>
              <w:t xml:space="preserve">Consumers who </w:t>
            </w:r>
            <w:r w:rsidRPr="00715AEE">
              <w:rPr>
                <w:b/>
                <w:bCs/>
                <w:szCs w:val="28"/>
                <w:u w:val="single"/>
              </w:rPr>
              <w:t>did not report</w:t>
            </w:r>
            <w:r w:rsidRPr="00715AEE">
              <w:rPr>
                <w:b/>
                <w:bCs/>
                <w:szCs w:val="28"/>
              </w:rPr>
              <w:t xml:space="preserve"> </w:t>
            </w:r>
            <w:proofErr w:type="spellStart"/>
            <w:r w:rsidRPr="00715AEE">
              <w:rPr>
                <w:b/>
                <w:bCs/>
                <w:szCs w:val="28"/>
              </w:rPr>
              <w:t>Unemp</w:t>
            </w:r>
            <w:proofErr w:type="spellEnd"/>
            <w:r w:rsidRPr="00715AEE">
              <w:rPr>
                <w:b/>
                <w:bCs/>
                <w:szCs w:val="28"/>
              </w:rPr>
              <w:t>. Reason(s)</w:t>
            </w:r>
          </w:p>
        </w:tc>
      </w:tr>
      <w:tr w:rsidR="000D2EB9" w:rsidRPr="00715AEE" w14:paraId="717FAD9D" w14:textId="77777777" w:rsidTr="00230DFA">
        <w:tc>
          <w:tcPr>
            <w:tcW w:w="3116" w:type="dxa"/>
            <w:vAlign w:val="center"/>
          </w:tcPr>
          <w:p w14:paraId="471BE406" w14:textId="77777777" w:rsidR="000D2EB9" w:rsidRPr="00715AEE" w:rsidRDefault="000D2EB9" w:rsidP="00230DFA">
            <w:pPr>
              <w:rPr>
                <w:szCs w:val="28"/>
              </w:rPr>
            </w:pPr>
            <w:r w:rsidRPr="00715AEE">
              <w:rPr>
                <w:rFonts w:cs="Arial"/>
                <w:color w:val="000000" w:themeColor="text1"/>
                <w:kern w:val="24"/>
                <w:szCs w:val="28"/>
              </w:rPr>
              <w:t>DOR Experience</w:t>
            </w:r>
          </w:p>
        </w:tc>
        <w:tc>
          <w:tcPr>
            <w:tcW w:w="3117" w:type="dxa"/>
            <w:vAlign w:val="center"/>
          </w:tcPr>
          <w:p w14:paraId="14079F1C" w14:textId="77777777" w:rsidR="000D2EB9" w:rsidRPr="00715AEE" w:rsidRDefault="000D2EB9" w:rsidP="00230DFA">
            <w:pPr>
              <w:jc w:val="right"/>
              <w:rPr>
                <w:szCs w:val="28"/>
              </w:rPr>
            </w:pPr>
            <w:r w:rsidRPr="00715AEE">
              <w:rPr>
                <w:rFonts w:eastAsia="Arial" w:cs="Arial"/>
                <w:color w:val="000000"/>
                <w:kern w:val="24"/>
                <w:szCs w:val="28"/>
              </w:rPr>
              <w:t>73.8%</w:t>
            </w:r>
          </w:p>
        </w:tc>
        <w:tc>
          <w:tcPr>
            <w:tcW w:w="3117" w:type="dxa"/>
            <w:vAlign w:val="center"/>
          </w:tcPr>
          <w:p w14:paraId="036FC25A" w14:textId="77777777" w:rsidR="000D2EB9" w:rsidRPr="00715AEE" w:rsidRDefault="000D2EB9" w:rsidP="00230DFA">
            <w:pPr>
              <w:jc w:val="right"/>
              <w:rPr>
                <w:szCs w:val="28"/>
              </w:rPr>
            </w:pPr>
            <w:r w:rsidRPr="00715AEE">
              <w:rPr>
                <w:rFonts w:eastAsia="Arial" w:cs="Arial"/>
                <w:b/>
                <w:bCs/>
                <w:color w:val="000000"/>
                <w:kern w:val="24"/>
                <w:szCs w:val="28"/>
              </w:rPr>
              <w:t>84.2%*</w:t>
            </w:r>
          </w:p>
        </w:tc>
      </w:tr>
      <w:tr w:rsidR="000D2EB9" w:rsidRPr="00715AEE" w14:paraId="536CA398" w14:textId="77777777" w:rsidTr="00230DFA">
        <w:tc>
          <w:tcPr>
            <w:tcW w:w="3116" w:type="dxa"/>
            <w:vAlign w:val="center"/>
          </w:tcPr>
          <w:p w14:paraId="4A3465B5" w14:textId="77777777" w:rsidR="000D2EB9" w:rsidRPr="00715AEE" w:rsidRDefault="000D2EB9" w:rsidP="00230DFA">
            <w:pPr>
              <w:rPr>
                <w:szCs w:val="28"/>
              </w:rPr>
            </w:pPr>
            <w:r w:rsidRPr="00715AEE">
              <w:rPr>
                <w:rFonts w:cs="Arial"/>
                <w:color w:val="000000" w:themeColor="text1"/>
                <w:kern w:val="24"/>
                <w:szCs w:val="28"/>
              </w:rPr>
              <w:t>DOR Counselors</w:t>
            </w:r>
          </w:p>
        </w:tc>
        <w:tc>
          <w:tcPr>
            <w:tcW w:w="3117" w:type="dxa"/>
            <w:vAlign w:val="center"/>
          </w:tcPr>
          <w:p w14:paraId="572EAC64" w14:textId="77777777" w:rsidR="000D2EB9" w:rsidRPr="00715AEE" w:rsidRDefault="000D2EB9" w:rsidP="00230DFA">
            <w:pPr>
              <w:jc w:val="right"/>
              <w:rPr>
                <w:szCs w:val="28"/>
              </w:rPr>
            </w:pPr>
            <w:r w:rsidRPr="00715AEE">
              <w:rPr>
                <w:rFonts w:eastAsia="Arial" w:cs="Arial"/>
                <w:color w:val="000000"/>
                <w:kern w:val="24"/>
                <w:szCs w:val="28"/>
              </w:rPr>
              <w:t>76.0%</w:t>
            </w:r>
          </w:p>
        </w:tc>
        <w:tc>
          <w:tcPr>
            <w:tcW w:w="3117" w:type="dxa"/>
            <w:vAlign w:val="center"/>
          </w:tcPr>
          <w:p w14:paraId="349857CA" w14:textId="77777777" w:rsidR="000D2EB9" w:rsidRPr="00715AEE" w:rsidRDefault="000D2EB9" w:rsidP="00230DFA">
            <w:pPr>
              <w:jc w:val="right"/>
              <w:rPr>
                <w:szCs w:val="28"/>
              </w:rPr>
            </w:pPr>
            <w:r w:rsidRPr="00715AEE">
              <w:rPr>
                <w:rFonts w:eastAsia="Arial" w:cs="Arial"/>
                <w:b/>
                <w:bCs/>
                <w:color w:val="000000"/>
                <w:kern w:val="24"/>
                <w:szCs w:val="28"/>
              </w:rPr>
              <w:t>84.7%*</w:t>
            </w:r>
          </w:p>
        </w:tc>
      </w:tr>
      <w:tr w:rsidR="000D2EB9" w:rsidRPr="00715AEE" w14:paraId="64E734CB" w14:textId="77777777" w:rsidTr="00230DFA">
        <w:tc>
          <w:tcPr>
            <w:tcW w:w="3116" w:type="dxa"/>
            <w:vAlign w:val="center"/>
          </w:tcPr>
          <w:p w14:paraId="09CCD570" w14:textId="77777777" w:rsidR="000D2EB9" w:rsidRPr="00715AEE" w:rsidRDefault="000D2EB9" w:rsidP="00230DFA">
            <w:pPr>
              <w:rPr>
                <w:szCs w:val="28"/>
              </w:rPr>
            </w:pPr>
            <w:r w:rsidRPr="00715AEE">
              <w:rPr>
                <w:rFonts w:cs="Arial"/>
                <w:color w:val="000000" w:themeColor="text1"/>
                <w:kern w:val="24"/>
                <w:szCs w:val="28"/>
              </w:rPr>
              <w:t>Service Providers</w:t>
            </w:r>
          </w:p>
        </w:tc>
        <w:tc>
          <w:tcPr>
            <w:tcW w:w="3117" w:type="dxa"/>
            <w:vAlign w:val="center"/>
          </w:tcPr>
          <w:p w14:paraId="1224EDA7" w14:textId="77777777" w:rsidR="000D2EB9" w:rsidRPr="00715AEE" w:rsidRDefault="000D2EB9" w:rsidP="00230DFA">
            <w:pPr>
              <w:jc w:val="right"/>
              <w:rPr>
                <w:szCs w:val="28"/>
              </w:rPr>
            </w:pPr>
            <w:r w:rsidRPr="00715AEE">
              <w:rPr>
                <w:rFonts w:eastAsia="Arial" w:cs="Arial"/>
                <w:color w:val="000000"/>
                <w:kern w:val="24"/>
                <w:szCs w:val="28"/>
              </w:rPr>
              <w:t>74.9%</w:t>
            </w:r>
          </w:p>
        </w:tc>
        <w:tc>
          <w:tcPr>
            <w:tcW w:w="3117" w:type="dxa"/>
            <w:vAlign w:val="center"/>
          </w:tcPr>
          <w:p w14:paraId="2DBDC97B" w14:textId="77777777" w:rsidR="000D2EB9" w:rsidRPr="00715AEE" w:rsidRDefault="000D2EB9" w:rsidP="00230DFA">
            <w:pPr>
              <w:jc w:val="right"/>
              <w:rPr>
                <w:szCs w:val="28"/>
              </w:rPr>
            </w:pPr>
            <w:r w:rsidRPr="00715AEE">
              <w:rPr>
                <w:rFonts w:eastAsia="Arial" w:cs="Arial"/>
                <w:b/>
                <w:bCs/>
                <w:color w:val="000000"/>
                <w:kern w:val="24"/>
                <w:szCs w:val="28"/>
              </w:rPr>
              <w:t>86.4%*</w:t>
            </w:r>
          </w:p>
        </w:tc>
      </w:tr>
      <w:tr w:rsidR="000D2EB9" w:rsidRPr="00715AEE" w14:paraId="09C5E355" w14:textId="77777777" w:rsidTr="00230DFA">
        <w:tc>
          <w:tcPr>
            <w:tcW w:w="3116" w:type="dxa"/>
            <w:vAlign w:val="center"/>
          </w:tcPr>
          <w:p w14:paraId="14E14A08" w14:textId="77777777" w:rsidR="000D2EB9" w:rsidRPr="00715AEE" w:rsidRDefault="000D2EB9" w:rsidP="00230DFA">
            <w:pPr>
              <w:rPr>
                <w:szCs w:val="28"/>
              </w:rPr>
            </w:pPr>
            <w:r w:rsidRPr="00715AEE">
              <w:rPr>
                <w:rFonts w:cs="Arial"/>
                <w:color w:val="000000" w:themeColor="text1"/>
                <w:kern w:val="24"/>
                <w:szCs w:val="28"/>
              </w:rPr>
              <w:t>Employment Services</w:t>
            </w:r>
          </w:p>
        </w:tc>
        <w:tc>
          <w:tcPr>
            <w:tcW w:w="3117" w:type="dxa"/>
            <w:vAlign w:val="center"/>
          </w:tcPr>
          <w:p w14:paraId="21E1D92B" w14:textId="77777777" w:rsidR="000D2EB9" w:rsidRPr="00715AEE" w:rsidRDefault="000D2EB9" w:rsidP="00230DFA">
            <w:pPr>
              <w:jc w:val="right"/>
              <w:rPr>
                <w:szCs w:val="28"/>
              </w:rPr>
            </w:pPr>
            <w:r w:rsidRPr="00715AEE">
              <w:rPr>
                <w:rFonts w:eastAsia="Arial" w:cs="Arial"/>
                <w:color w:val="000000"/>
                <w:kern w:val="24"/>
                <w:szCs w:val="28"/>
              </w:rPr>
              <w:t>73.8%</w:t>
            </w:r>
          </w:p>
        </w:tc>
        <w:tc>
          <w:tcPr>
            <w:tcW w:w="3117" w:type="dxa"/>
            <w:vAlign w:val="center"/>
          </w:tcPr>
          <w:p w14:paraId="70550C4D" w14:textId="77777777" w:rsidR="000D2EB9" w:rsidRPr="00715AEE" w:rsidRDefault="000D2EB9" w:rsidP="00230DFA">
            <w:pPr>
              <w:jc w:val="right"/>
              <w:rPr>
                <w:szCs w:val="28"/>
              </w:rPr>
            </w:pPr>
            <w:r w:rsidRPr="00715AEE">
              <w:rPr>
                <w:rFonts w:eastAsia="Arial" w:cs="Arial"/>
                <w:b/>
                <w:bCs/>
                <w:color w:val="000000"/>
                <w:kern w:val="24"/>
                <w:szCs w:val="28"/>
              </w:rPr>
              <w:t>83.0%*</w:t>
            </w:r>
          </w:p>
        </w:tc>
      </w:tr>
      <w:tr w:rsidR="000D2EB9" w:rsidRPr="00715AEE" w14:paraId="560DAC9E" w14:textId="77777777" w:rsidTr="00230DFA">
        <w:tc>
          <w:tcPr>
            <w:tcW w:w="3116" w:type="dxa"/>
            <w:vAlign w:val="center"/>
          </w:tcPr>
          <w:p w14:paraId="07AEE303" w14:textId="77777777" w:rsidR="000D2EB9" w:rsidRPr="00715AEE" w:rsidRDefault="000D2EB9" w:rsidP="00230DFA">
            <w:pPr>
              <w:rPr>
                <w:szCs w:val="28"/>
              </w:rPr>
            </w:pPr>
            <w:r w:rsidRPr="00715AEE">
              <w:rPr>
                <w:rFonts w:cs="Arial"/>
                <w:color w:val="000000" w:themeColor="text1"/>
                <w:kern w:val="24"/>
                <w:szCs w:val="28"/>
              </w:rPr>
              <w:t>Current Employment</w:t>
            </w:r>
          </w:p>
        </w:tc>
        <w:tc>
          <w:tcPr>
            <w:tcW w:w="3117" w:type="dxa"/>
            <w:vAlign w:val="center"/>
          </w:tcPr>
          <w:p w14:paraId="5B47A73B" w14:textId="77777777" w:rsidR="000D2EB9" w:rsidRPr="00715AEE" w:rsidRDefault="000D2EB9" w:rsidP="00230DFA">
            <w:pPr>
              <w:jc w:val="right"/>
              <w:rPr>
                <w:szCs w:val="28"/>
              </w:rPr>
            </w:pPr>
            <w:r w:rsidRPr="00715AEE">
              <w:rPr>
                <w:rFonts w:eastAsia="Arial" w:cs="Arial"/>
                <w:color w:val="000000"/>
                <w:kern w:val="24"/>
                <w:szCs w:val="28"/>
              </w:rPr>
              <w:t>48.6%</w:t>
            </w:r>
          </w:p>
        </w:tc>
        <w:tc>
          <w:tcPr>
            <w:tcW w:w="3117" w:type="dxa"/>
            <w:vAlign w:val="center"/>
          </w:tcPr>
          <w:p w14:paraId="66E764AA" w14:textId="77777777" w:rsidR="000D2EB9" w:rsidRPr="00715AEE" w:rsidRDefault="000D2EB9" w:rsidP="00230DFA">
            <w:pPr>
              <w:jc w:val="right"/>
              <w:rPr>
                <w:szCs w:val="28"/>
              </w:rPr>
            </w:pPr>
            <w:r w:rsidRPr="00715AEE">
              <w:rPr>
                <w:rFonts w:eastAsia="Arial" w:cs="Arial"/>
                <w:b/>
                <w:bCs/>
                <w:color w:val="000000"/>
                <w:kern w:val="24"/>
                <w:szCs w:val="28"/>
              </w:rPr>
              <w:t>83.3%*</w:t>
            </w:r>
          </w:p>
        </w:tc>
      </w:tr>
      <w:tr w:rsidR="000D2EB9" w:rsidRPr="00715AEE" w14:paraId="33A10F55" w14:textId="77777777" w:rsidTr="00230DFA">
        <w:tc>
          <w:tcPr>
            <w:tcW w:w="3116" w:type="dxa"/>
            <w:vAlign w:val="center"/>
          </w:tcPr>
          <w:p w14:paraId="65A40196" w14:textId="77777777" w:rsidR="000D2EB9" w:rsidRPr="00715AEE" w:rsidRDefault="000D2EB9" w:rsidP="00230DFA">
            <w:pPr>
              <w:rPr>
                <w:szCs w:val="28"/>
              </w:rPr>
            </w:pPr>
            <w:r w:rsidRPr="00715AEE">
              <w:rPr>
                <w:rFonts w:cs="Arial"/>
                <w:color w:val="000000" w:themeColor="text1"/>
                <w:kern w:val="24"/>
                <w:szCs w:val="28"/>
              </w:rPr>
              <w:t>Employment Opportunities</w:t>
            </w:r>
          </w:p>
        </w:tc>
        <w:tc>
          <w:tcPr>
            <w:tcW w:w="3117" w:type="dxa"/>
            <w:vAlign w:val="center"/>
          </w:tcPr>
          <w:p w14:paraId="5FDDCFAD" w14:textId="77777777" w:rsidR="000D2EB9" w:rsidRPr="00715AEE" w:rsidRDefault="000D2EB9" w:rsidP="00230DFA">
            <w:pPr>
              <w:jc w:val="right"/>
              <w:rPr>
                <w:szCs w:val="28"/>
              </w:rPr>
            </w:pPr>
            <w:r w:rsidRPr="00715AEE">
              <w:rPr>
                <w:rFonts w:eastAsia="Arial" w:cs="Arial"/>
                <w:color w:val="000000"/>
                <w:kern w:val="24"/>
                <w:szCs w:val="28"/>
              </w:rPr>
              <w:t>68.0%</w:t>
            </w:r>
          </w:p>
        </w:tc>
        <w:tc>
          <w:tcPr>
            <w:tcW w:w="3117" w:type="dxa"/>
            <w:vAlign w:val="center"/>
          </w:tcPr>
          <w:p w14:paraId="5B75072C" w14:textId="77777777" w:rsidR="000D2EB9" w:rsidRPr="00715AEE" w:rsidRDefault="000D2EB9" w:rsidP="00230DFA">
            <w:pPr>
              <w:jc w:val="right"/>
              <w:rPr>
                <w:szCs w:val="28"/>
              </w:rPr>
            </w:pPr>
            <w:r w:rsidRPr="00715AEE">
              <w:rPr>
                <w:rFonts w:eastAsia="Arial" w:cs="Arial"/>
                <w:b/>
                <w:bCs/>
                <w:color w:val="000000"/>
                <w:kern w:val="24"/>
                <w:szCs w:val="28"/>
              </w:rPr>
              <w:t>73.2%*</w:t>
            </w:r>
          </w:p>
        </w:tc>
      </w:tr>
      <w:tr w:rsidR="000D2EB9" w:rsidRPr="00715AEE" w14:paraId="3D8B681A" w14:textId="77777777" w:rsidTr="00230DFA">
        <w:tc>
          <w:tcPr>
            <w:tcW w:w="3116" w:type="dxa"/>
            <w:vAlign w:val="center"/>
          </w:tcPr>
          <w:p w14:paraId="44D5FC61" w14:textId="77777777" w:rsidR="000D2EB9" w:rsidRPr="00715AEE" w:rsidRDefault="000D2EB9" w:rsidP="00230DFA">
            <w:pPr>
              <w:rPr>
                <w:szCs w:val="28"/>
              </w:rPr>
            </w:pPr>
            <w:r w:rsidRPr="00715AEE">
              <w:rPr>
                <w:rFonts w:cs="Arial"/>
                <w:b/>
                <w:bCs/>
                <w:i/>
                <w:iCs/>
                <w:color w:val="000000" w:themeColor="text1"/>
                <w:kern w:val="24"/>
                <w:szCs w:val="28"/>
              </w:rPr>
              <w:t>Overall</w:t>
            </w:r>
          </w:p>
        </w:tc>
        <w:tc>
          <w:tcPr>
            <w:tcW w:w="3117" w:type="dxa"/>
            <w:vAlign w:val="center"/>
          </w:tcPr>
          <w:p w14:paraId="60400089" w14:textId="77777777" w:rsidR="000D2EB9" w:rsidRPr="00715AEE" w:rsidRDefault="000D2EB9" w:rsidP="00230DFA">
            <w:pPr>
              <w:jc w:val="right"/>
              <w:rPr>
                <w:szCs w:val="28"/>
              </w:rPr>
            </w:pPr>
            <w:r w:rsidRPr="00715AEE">
              <w:rPr>
                <w:rFonts w:eastAsia="Arial" w:cs="Arial"/>
                <w:b/>
                <w:bCs/>
                <w:color w:val="000000"/>
                <w:kern w:val="24"/>
                <w:szCs w:val="28"/>
              </w:rPr>
              <w:t>73.8%</w:t>
            </w:r>
          </w:p>
        </w:tc>
        <w:tc>
          <w:tcPr>
            <w:tcW w:w="3117" w:type="dxa"/>
            <w:vAlign w:val="center"/>
          </w:tcPr>
          <w:p w14:paraId="126165CF" w14:textId="77777777" w:rsidR="000D2EB9" w:rsidRPr="00715AEE" w:rsidRDefault="000D2EB9" w:rsidP="00230DFA">
            <w:pPr>
              <w:jc w:val="right"/>
              <w:rPr>
                <w:szCs w:val="28"/>
              </w:rPr>
            </w:pPr>
            <w:r w:rsidRPr="00715AEE">
              <w:rPr>
                <w:rFonts w:eastAsia="Arial" w:cs="Arial"/>
                <w:b/>
                <w:bCs/>
                <w:color w:val="000000"/>
                <w:kern w:val="24"/>
                <w:szCs w:val="28"/>
              </w:rPr>
              <w:t>84.4%</w:t>
            </w:r>
          </w:p>
        </w:tc>
      </w:tr>
    </w:tbl>
    <w:p w14:paraId="2825863D" w14:textId="77777777" w:rsidR="000D2EB9" w:rsidRDefault="000D2EB9" w:rsidP="000D2EB9">
      <w:r w:rsidRPr="00715AEE">
        <w:rPr>
          <w:b/>
          <w:bCs/>
        </w:rPr>
        <w:t xml:space="preserve">Note: </w:t>
      </w:r>
      <w:r w:rsidRPr="00715AEE">
        <w:t>For each category (row), the consumer group (column) with the highest satisfaction score was denoted with an asterisk (*).</w:t>
      </w:r>
    </w:p>
    <w:p w14:paraId="276EAF79" w14:textId="77777777" w:rsidR="008265B2" w:rsidRPr="00715AEE" w:rsidRDefault="008265B2" w:rsidP="008265B2"/>
    <w:p w14:paraId="64C9DFB8" w14:textId="1A60F5A3" w:rsidR="000D2EB9" w:rsidRDefault="000D2EB9" w:rsidP="008265B2">
      <w:pPr>
        <w:pStyle w:val="Heading2"/>
      </w:pPr>
      <w:r>
        <w:t>SLIDE 11</w:t>
      </w:r>
      <w:r w:rsidR="008265B2">
        <w:t xml:space="preserve">: </w:t>
      </w:r>
      <w:r>
        <w:t>Summary of the SFY 2021/22 Consumer Satisfaction Survey Results</w:t>
      </w:r>
    </w:p>
    <w:p w14:paraId="2F988530" w14:textId="77777777" w:rsidR="000D2EB9" w:rsidRDefault="000D2EB9" w:rsidP="008265B2">
      <w:pPr>
        <w:pStyle w:val="ListParagraph"/>
        <w:numPr>
          <w:ilvl w:val="0"/>
          <w:numId w:val="55"/>
        </w:numPr>
        <w:spacing w:after="160" w:line="259" w:lineRule="auto"/>
      </w:pPr>
      <w:r w:rsidRPr="00302B9C">
        <w:t>Overall, consumers were satisfied with the services they have received from DOR in SFY 2020/21.</w:t>
      </w:r>
    </w:p>
    <w:p w14:paraId="093A5922" w14:textId="77777777" w:rsidR="000D2EB9" w:rsidRDefault="000D2EB9" w:rsidP="008265B2">
      <w:pPr>
        <w:pStyle w:val="ListParagraph"/>
        <w:numPr>
          <w:ilvl w:val="0"/>
          <w:numId w:val="55"/>
        </w:numPr>
        <w:spacing w:after="160" w:line="259" w:lineRule="auto"/>
      </w:pPr>
      <w:r w:rsidRPr="00302B9C">
        <w:t xml:space="preserve">Comparison of satisfaction scores by various consumer demographics </w:t>
      </w:r>
    </w:p>
    <w:p w14:paraId="1E7A26E6" w14:textId="77777777" w:rsidR="000D2EB9" w:rsidRPr="00302B9C" w:rsidRDefault="000D2EB9" w:rsidP="008265B2">
      <w:pPr>
        <w:pStyle w:val="ListParagraph"/>
        <w:numPr>
          <w:ilvl w:val="0"/>
          <w:numId w:val="55"/>
        </w:numPr>
        <w:spacing w:after="160" w:line="259" w:lineRule="auto"/>
      </w:pPr>
      <w:r w:rsidRPr="00302B9C">
        <w:t>Recent modifications to the survey have improved our understanding of consumer satisfaction.</w:t>
      </w:r>
    </w:p>
    <w:p w14:paraId="74685878" w14:textId="5945D878" w:rsidR="000D2EB9" w:rsidRDefault="000D2EB9" w:rsidP="008265B2">
      <w:pPr>
        <w:pStyle w:val="Heading2"/>
      </w:pPr>
      <w:r>
        <w:t>SLIDE 12</w:t>
      </w:r>
      <w:r w:rsidR="008265B2">
        <w:t xml:space="preserve">: </w:t>
      </w:r>
      <w:r>
        <w:t>Sharing Survey Results</w:t>
      </w:r>
    </w:p>
    <w:p w14:paraId="6216E02A" w14:textId="77777777" w:rsidR="000D2EB9" w:rsidRDefault="000D2EB9" w:rsidP="008265B2">
      <w:pPr>
        <w:pStyle w:val="ListParagraph"/>
        <w:numPr>
          <w:ilvl w:val="0"/>
          <w:numId w:val="56"/>
        </w:numPr>
        <w:spacing w:after="160" w:line="259" w:lineRule="auto"/>
      </w:pPr>
      <w:r w:rsidRPr="00302B9C">
        <w:t>Summarize survey design and methodology</w:t>
      </w:r>
    </w:p>
    <w:p w14:paraId="22A28CBE" w14:textId="77777777" w:rsidR="000D2EB9" w:rsidRPr="00302B9C" w:rsidRDefault="000D2EB9" w:rsidP="008265B2">
      <w:pPr>
        <w:pStyle w:val="ListParagraph"/>
        <w:numPr>
          <w:ilvl w:val="0"/>
          <w:numId w:val="56"/>
        </w:numPr>
        <w:spacing w:after="160" w:line="259" w:lineRule="auto"/>
      </w:pPr>
      <w:r w:rsidRPr="00302B9C">
        <w:t xml:space="preserve">Assess consumer survey engagement </w:t>
      </w:r>
    </w:p>
    <w:p w14:paraId="50FE1490" w14:textId="77777777" w:rsidR="000D2EB9" w:rsidRPr="00302B9C" w:rsidRDefault="000D2EB9" w:rsidP="008265B2">
      <w:pPr>
        <w:pStyle w:val="ListParagraph"/>
        <w:numPr>
          <w:ilvl w:val="0"/>
          <w:numId w:val="56"/>
        </w:numPr>
        <w:spacing w:after="160" w:line="259" w:lineRule="auto"/>
      </w:pPr>
      <w:r w:rsidRPr="00302B9C">
        <w:t xml:space="preserve">Quantify consumer satisfaction with different aspects of DOR </w:t>
      </w:r>
    </w:p>
    <w:p w14:paraId="3E67B35A" w14:textId="77777777" w:rsidR="000D2EB9" w:rsidRPr="00302B9C" w:rsidRDefault="000D2EB9" w:rsidP="008265B2">
      <w:pPr>
        <w:pStyle w:val="ListParagraph"/>
        <w:numPr>
          <w:ilvl w:val="0"/>
          <w:numId w:val="56"/>
        </w:numPr>
        <w:spacing w:after="160" w:line="259" w:lineRule="auto"/>
      </w:pPr>
      <w:r w:rsidRPr="00302B9C">
        <w:t>Explore how demographics may influence consumer satisfaction with DOR</w:t>
      </w:r>
    </w:p>
    <w:p w14:paraId="2B5851C6" w14:textId="77777777" w:rsidR="000D2EB9" w:rsidRPr="00302B9C" w:rsidRDefault="000D2EB9" w:rsidP="008265B2">
      <w:pPr>
        <w:pStyle w:val="ListParagraph"/>
        <w:numPr>
          <w:ilvl w:val="0"/>
          <w:numId w:val="56"/>
        </w:numPr>
        <w:spacing w:after="160" w:line="259" w:lineRule="auto"/>
      </w:pPr>
      <w:r w:rsidRPr="00302B9C">
        <w:t>Summarized in an Executive Summary Report and Dashboards for VR and PE</w:t>
      </w:r>
    </w:p>
    <w:p w14:paraId="704C319A" w14:textId="5F5D4196" w:rsidR="000D2EB9" w:rsidRDefault="000D2EB9" w:rsidP="008265B2">
      <w:pPr>
        <w:pStyle w:val="Heading2"/>
      </w:pPr>
      <w:r>
        <w:t>SLIDE 13</w:t>
      </w:r>
      <w:r w:rsidR="008265B2">
        <w:t xml:space="preserve">: </w:t>
      </w:r>
      <w:r>
        <w:t>Dashboard Interactive Features</w:t>
      </w:r>
    </w:p>
    <w:p w14:paraId="3617E771" w14:textId="77777777" w:rsidR="000D2EB9" w:rsidRPr="00302B9C" w:rsidRDefault="000D2EB9" w:rsidP="008265B2">
      <w:pPr>
        <w:pStyle w:val="ListParagraph"/>
        <w:numPr>
          <w:ilvl w:val="0"/>
          <w:numId w:val="57"/>
        </w:numPr>
        <w:spacing w:after="160" w:line="259" w:lineRule="auto"/>
      </w:pPr>
      <w:r w:rsidRPr="00302B9C">
        <w:t>Filter all survey results by consumer demographics.</w:t>
      </w:r>
    </w:p>
    <w:p w14:paraId="4E16B5B0" w14:textId="77777777" w:rsidR="000D2EB9" w:rsidRDefault="000D2EB9" w:rsidP="008265B2">
      <w:pPr>
        <w:pStyle w:val="ListParagraph"/>
        <w:numPr>
          <w:ilvl w:val="0"/>
          <w:numId w:val="57"/>
        </w:numPr>
        <w:spacing w:after="160" w:line="259" w:lineRule="auto"/>
      </w:pPr>
      <w:r w:rsidRPr="00302B9C">
        <w:t>Review VR and PE results for individual survey questions by selecting a category.</w:t>
      </w:r>
    </w:p>
    <w:p w14:paraId="58450065" w14:textId="77777777" w:rsidR="000D2EB9" w:rsidRPr="00302B9C" w:rsidRDefault="000D2EB9" w:rsidP="008265B2">
      <w:pPr>
        <w:pStyle w:val="ListParagraph"/>
        <w:numPr>
          <w:ilvl w:val="0"/>
          <w:numId w:val="57"/>
        </w:numPr>
        <w:spacing w:after="160" w:line="259" w:lineRule="auto"/>
      </w:pPr>
      <w:r w:rsidRPr="00302B9C">
        <w:lastRenderedPageBreak/>
        <w:t>Review VR distribution of survey responses by selecting a consumer demographic.</w:t>
      </w:r>
    </w:p>
    <w:p w14:paraId="6A2D0C43" w14:textId="77777777" w:rsidR="000D2EB9" w:rsidRPr="00A70F50" w:rsidRDefault="000D2EB9" w:rsidP="008265B2">
      <w:pPr>
        <w:pStyle w:val="ListParagraph"/>
        <w:numPr>
          <w:ilvl w:val="0"/>
          <w:numId w:val="57"/>
        </w:numPr>
        <w:spacing w:after="160" w:line="259" w:lineRule="auto"/>
      </w:pPr>
      <w:r w:rsidRPr="00302B9C">
        <w:t>Available now on DOR Intranet: 2020/21 Dashboard (2021/22 VR and PE Dashboards available pending approval)</w:t>
      </w:r>
    </w:p>
    <w:p w14:paraId="70D218B1" w14:textId="468D472E" w:rsidR="000D2EB9" w:rsidRDefault="000D2EB9" w:rsidP="008265B2">
      <w:pPr>
        <w:pStyle w:val="Heading2"/>
      </w:pPr>
      <w:r>
        <w:t>SLIDE 14</w:t>
      </w:r>
      <w:r w:rsidR="008265B2">
        <w:t xml:space="preserve">: </w:t>
      </w:r>
      <w:r>
        <w:t>Visit the VR Dashboard to Explore Consumer Satisfaction!</w:t>
      </w:r>
    </w:p>
    <w:p w14:paraId="470A34D6" w14:textId="77777777" w:rsidR="000D2EB9" w:rsidRPr="008265B2" w:rsidRDefault="000D2EB9" w:rsidP="000D2EB9">
      <w:pPr>
        <w:ind w:left="360"/>
      </w:pPr>
      <w:r w:rsidRPr="008265B2">
        <w:t xml:space="preserve">1) How many consumers with a psychiatric disability reported they were 40-49 years old? </w:t>
      </w:r>
    </w:p>
    <w:p w14:paraId="6D99DD5E" w14:textId="77777777" w:rsidR="000D2EB9" w:rsidRPr="008265B2" w:rsidRDefault="000D2EB9" w:rsidP="008265B2">
      <w:pPr>
        <w:pStyle w:val="ListParagraph"/>
        <w:numPr>
          <w:ilvl w:val="0"/>
          <w:numId w:val="51"/>
        </w:numPr>
        <w:spacing w:after="160" w:line="259" w:lineRule="auto"/>
      </w:pPr>
      <w:r w:rsidRPr="008265B2">
        <w:t xml:space="preserve">STEPS: Filter by Disability Type, then navigate to the Survey Responses by Consumer Demographics section, then change the demographic, and review the data in the table. </w:t>
      </w:r>
    </w:p>
    <w:p w14:paraId="42CE4101" w14:textId="77777777" w:rsidR="000D2EB9" w:rsidRPr="008265B2" w:rsidRDefault="000D2EB9" w:rsidP="008265B2">
      <w:pPr>
        <w:pStyle w:val="ListParagraph"/>
        <w:numPr>
          <w:ilvl w:val="0"/>
          <w:numId w:val="51"/>
        </w:numPr>
        <w:spacing w:after="160" w:line="259" w:lineRule="auto"/>
      </w:pPr>
      <w:r w:rsidRPr="008265B2">
        <w:t>ANSWER: 40-49 years old (57 consumers)</w:t>
      </w:r>
    </w:p>
    <w:p w14:paraId="7DA0A5E4" w14:textId="77777777" w:rsidR="000D2EB9" w:rsidRPr="008265B2" w:rsidRDefault="000D2EB9" w:rsidP="000D2EB9">
      <w:pPr>
        <w:ind w:left="360"/>
      </w:pPr>
      <w:r w:rsidRPr="008265B2">
        <w:t xml:space="preserve">2) Of those consumers, which survey category was rated the highest? </w:t>
      </w:r>
    </w:p>
    <w:p w14:paraId="17091690" w14:textId="77777777" w:rsidR="000D2EB9" w:rsidRPr="008265B2" w:rsidRDefault="000D2EB9" w:rsidP="008265B2">
      <w:pPr>
        <w:pStyle w:val="ListParagraph"/>
        <w:numPr>
          <w:ilvl w:val="0"/>
          <w:numId w:val="50"/>
        </w:numPr>
        <w:spacing w:after="160" w:line="259" w:lineRule="auto"/>
      </w:pPr>
      <w:r w:rsidRPr="008265B2">
        <w:t>STEPS: Navigate to the Filter Results by Consumer Demographics and filter by Age Range. Navigate to the Satisfaction Results section and review the data in the Satisfaction Summary table.</w:t>
      </w:r>
    </w:p>
    <w:p w14:paraId="52B35A2B" w14:textId="77777777" w:rsidR="000D2EB9" w:rsidRPr="008265B2" w:rsidRDefault="000D2EB9" w:rsidP="008265B2">
      <w:pPr>
        <w:pStyle w:val="ListParagraph"/>
        <w:numPr>
          <w:ilvl w:val="0"/>
          <w:numId w:val="50"/>
        </w:numPr>
        <w:spacing w:after="160" w:line="259" w:lineRule="auto"/>
      </w:pPr>
      <w:r w:rsidRPr="008265B2">
        <w:t>ANSWER: Current Employment (89.4% score)</w:t>
      </w:r>
    </w:p>
    <w:p w14:paraId="459704E1" w14:textId="77777777" w:rsidR="000D2EB9" w:rsidRPr="008265B2" w:rsidRDefault="000D2EB9" w:rsidP="000D2EB9">
      <w:pPr>
        <w:ind w:left="360"/>
      </w:pPr>
      <w:r w:rsidRPr="008265B2">
        <w:t>3) What aspect of Current Employment did consumers rate the highest?</w:t>
      </w:r>
    </w:p>
    <w:p w14:paraId="4DA2FCBC" w14:textId="77777777" w:rsidR="000D2EB9" w:rsidRPr="008265B2" w:rsidRDefault="000D2EB9" w:rsidP="008265B2">
      <w:pPr>
        <w:pStyle w:val="ListParagraph"/>
        <w:numPr>
          <w:ilvl w:val="0"/>
          <w:numId w:val="49"/>
        </w:numPr>
        <w:spacing w:after="160" w:line="259" w:lineRule="auto"/>
      </w:pPr>
      <w:r w:rsidRPr="008265B2">
        <w:t>STEPS: Navigate to Satisfaction Results by Question Category, change the question category and review the data in the table.</w:t>
      </w:r>
    </w:p>
    <w:p w14:paraId="00C69FB4" w14:textId="77777777" w:rsidR="000D2EB9" w:rsidRPr="008265B2" w:rsidRDefault="000D2EB9" w:rsidP="008265B2">
      <w:pPr>
        <w:pStyle w:val="ListParagraph"/>
        <w:numPr>
          <w:ilvl w:val="0"/>
          <w:numId w:val="49"/>
        </w:numPr>
        <w:spacing w:after="160" w:line="259" w:lineRule="auto"/>
      </w:pPr>
      <w:r w:rsidRPr="008265B2">
        <w:t>ANSWER: Type of Work (91.3% score)</w:t>
      </w:r>
    </w:p>
    <w:p w14:paraId="3A86FF91" w14:textId="5A760345" w:rsidR="000D2EB9" w:rsidRDefault="000D2EB9" w:rsidP="008265B2">
      <w:pPr>
        <w:pStyle w:val="Heading2"/>
      </w:pPr>
      <w:r>
        <w:t>SLIDE 15</w:t>
      </w:r>
      <w:r w:rsidR="008265B2">
        <w:t xml:space="preserve">: </w:t>
      </w:r>
      <w:r>
        <w:t>Visit the PE Dashboard to Explore Consumer Satisfaction!</w:t>
      </w:r>
    </w:p>
    <w:p w14:paraId="68072E72" w14:textId="77777777" w:rsidR="000D2EB9" w:rsidRPr="008265B2" w:rsidRDefault="000D2EB9" w:rsidP="000D2EB9">
      <w:pPr>
        <w:ind w:left="360"/>
      </w:pPr>
      <w:r w:rsidRPr="008265B2">
        <w:t>1) What survey category had the highest satisfaction score?</w:t>
      </w:r>
    </w:p>
    <w:p w14:paraId="768DC445" w14:textId="77777777" w:rsidR="000D2EB9" w:rsidRPr="008265B2" w:rsidRDefault="000D2EB9" w:rsidP="008265B2">
      <w:pPr>
        <w:numPr>
          <w:ilvl w:val="1"/>
          <w:numId w:val="47"/>
        </w:numPr>
        <w:spacing w:after="160" w:line="259" w:lineRule="auto"/>
      </w:pPr>
      <w:r w:rsidRPr="008265B2">
        <w:t xml:space="preserve">STEPS: Navigate to the Satisfaction Results section and review the data in the Satisfaction Summary table. </w:t>
      </w:r>
    </w:p>
    <w:p w14:paraId="37AF8ABF" w14:textId="77777777" w:rsidR="000D2EB9" w:rsidRPr="008265B2" w:rsidRDefault="000D2EB9" w:rsidP="008265B2">
      <w:pPr>
        <w:numPr>
          <w:ilvl w:val="1"/>
          <w:numId w:val="47"/>
        </w:numPr>
        <w:spacing w:after="160" w:line="259" w:lineRule="auto"/>
      </w:pPr>
      <w:r w:rsidRPr="008265B2">
        <w:t>ANSWER: Service Providers (77.9% score)</w:t>
      </w:r>
    </w:p>
    <w:p w14:paraId="646A88A4" w14:textId="77777777" w:rsidR="000D2EB9" w:rsidRPr="008265B2" w:rsidRDefault="000D2EB9" w:rsidP="000D2EB9">
      <w:pPr>
        <w:ind w:left="360"/>
      </w:pPr>
      <w:r w:rsidRPr="008265B2">
        <w:t>2) What aspect of service providers did consumers rate the highest?</w:t>
      </w:r>
    </w:p>
    <w:p w14:paraId="6608F1D0" w14:textId="77777777" w:rsidR="000D2EB9" w:rsidRPr="008265B2" w:rsidRDefault="000D2EB9" w:rsidP="008265B2">
      <w:pPr>
        <w:numPr>
          <w:ilvl w:val="1"/>
          <w:numId w:val="48"/>
        </w:numPr>
        <w:spacing w:after="160" w:line="259" w:lineRule="auto"/>
      </w:pPr>
      <w:r w:rsidRPr="008265B2">
        <w:t>STEPS: Navigate to Satisfaction Results by Question Category, change the question category and review the data in the table.</w:t>
      </w:r>
    </w:p>
    <w:p w14:paraId="2E1DA3C6" w14:textId="331664A5" w:rsidR="008265B2" w:rsidRPr="008265B2" w:rsidRDefault="000D2EB9" w:rsidP="008265B2">
      <w:pPr>
        <w:numPr>
          <w:ilvl w:val="1"/>
          <w:numId w:val="48"/>
        </w:numPr>
        <w:spacing w:after="160" w:line="259" w:lineRule="auto"/>
      </w:pPr>
      <w:r w:rsidRPr="008265B2">
        <w:t>ANSWER: Respectful (83.8% score)</w:t>
      </w:r>
    </w:p>
    <w:p w14:paraId="0840BB8B" w14:textId="7ABAA693" w:rsidR="000D2EB9" w:rsidRDefault="000D2EB9" w:rsidP="008265B2">
      <w:pPr>
        <w:pStyle w:val="Heading2"/>
      </w:pPr>
      <w:r>
        <w:t>SLIDE 16</w:t>
      </w:r>
      <w:r w:rsidR="008265B2">
        <w:t xml:space="preserve">: </w:t>
      </w:r>
      <w:r>
        <w:t>Survey Engagement Over Time Has Declined</w:t>
      </w:r>
    </w:p>
    <w:tbl>
      <w:tblPr>
        <w:tblStyle w:val="TableGrid"/>
        <w:tblW w:w="9504" w:type="dxa"/>
        <w:tblLook w:val="0420" w:firstRow="1" w:lastRow="0" w:firstColumn="0" w:lastColumn="0" w:noHBand="0" w:noVBand="1"/>
      </w:tblPr>
      <w:tblGrid>
        <w:gridCol w:w="1584"/>
        <w:gridCol w:w="1584"/>
        <w:gridCol w:w="1584"/>
        <w:gridCol w:w="1584"/>
        <w:gridCol w:w="1584"/>
        <w:gridCol w:w="1584"/>
      </w:tblGrid>
      <w:tr w:rsidR="000D2EB9" w:rsidRPr="00A87976" w14:paraId="3765CA9C" w14:textId="77777777" w:rsidTr="00230DFA">
        <w:trPr>
          <w:trHeight w:val="584"/>
        </w:trPr>
        <w:tc>
          <w:tcPr>
            <w:tcW w:w="1584" w:type="dxa"/>
          </w:tcPr>
          <w:p w14:paraId="36677F48" w14:textId="77777777" w:rsidR="000D2EB9" w:rsidRPr="00A87976" w:rsidRDefault="000D2EB9" w:rsidP="00230DFA">
            <w:pPr>
              <w:jc w:val="center"/>
              <w:rPr>
                <w:b/>
                <w:bCs/>
              </w:rPr>
            </w:pPr>
          </w:p>
        </w:tc>
        <w:tc>
          <w:tcPr>
            <w:tcW w:w="1584" w:type="dxa"/>
            <w:hideMark/>
          </w:tcPr>
          <w:p w14:paraId="3B8AB5CA" w14:textId="77777777" w:rsidR="000D2EB9" w:rsidRPr="00A87976" w:rsidRDefault="000D2EB9" w:rsidP="00230DFA">
            <w:pPr>
              <w:jc w:val="center"/>
            </w:pPr>
            <w:r w:rsidRPr="00A87976">
              <w:rPr>
                <w:b/>
                <w:bCs/>
              </w:rPr>
              <w:t>2017-18</w:t>
            </w:r>
          </w:p>
        </w:tc>
        <w:tc>
          <w:tcPr>
            <w:tcW w:w="1584" w:type="dxa"/>
            <w:hideMark/>
          </w:tcPr>
          <w:p w14:paraId="536CE803" w14:textId="77777777" w:rsidR="000D2EB9" w:rsidRPr="00A87976" w:rsidRDefault="000D2EB9" w:rsidP="00230DFA">
            <w:pPr>
              <w:jc w:val="center"/>
            </w:pPr>
            <w:r w:rsidRPr="00A87976">
              <w:rPr>
                <w:b/>
                <w:bCs/>
              </w:rPr>
              <w:t>2018-19</w:t>
            </w:r>
          </w:p>
        </w:tc>
        <w:tc>
          <w:tcPr>
            <w:tcW w:w="1584" w:type="dxa"/>
            <w:hideMark/>
          </w:tcPr>
          <w:p w14:paraId="140DAEEF" w14:textId="77777777" w:rsidR="000D2EB9" w:rsidRPr="00A87976" w:rsidRDefault="000D2EB9" w:rsidP="00230DFA">
            <w:pPr>
              <w:jc w:val="center"/>
            </w:pPr>
            <w:r w:rsidRPr="00A87976">
              <w:rPr>
                <w:b/>
                <w:bCs/>
              </w:rPr>
              <w:t>2019-20</w:t>
            </w:r>
          </w:p>
        </w:tc>
        <w:tc>
          <w:tcPr>
            <w:tcW w:w="1584" w:type="dxa"/>
            <w:hideMark/>
          </w:tcPr>
          <w:p w14:paraId="6BFCB341" w14:textId="77777777" w:rsidR="000D2EB9" w:rsidRPr="00A87976" w:rsidRDefault="000D2EB9" w:rsidP="00230DFA">
            <w:pPr>
              <w:jc w:val="center"/>
            </w:pPr>
            <w:r w:rsidRPr="00A87976">
              <w:rPr>
                <w:b/>
                <w:bCs/>
              </w:rPr>
              <w:t>2020-21</w:t>
            </w:r>
          </w:p>
        </w:tc>
        <w:tc>
          <w:tcPr>
            <w:tcW w:w="1584" w:type="dxa"/>
            <w:hideMark/>
          </w:tcPr>
          <w:p w14:paraId="5875B9CD" w14:textId="77777777" w:rsidR="000D2EB9" w:rsidRPr="00A87976" w:rsidRDefault="000D2EB9" w:rsidP="00230DFA">
            <w:pPr>
              <w:jc w:val="center"/>
            </w:pPr>
            <w:r w:rsidRPr="00A87976">
              <w:rPr>
                <w:b/>
                <w:bCs/>
              </w:rPr>
              <w:t>2021-22</w:t>
            </w:r>
          </w:p>
        </w:tc>
      </w:tr>
      <w:tr w:rsidR="000D2EB9" w:rsidRPr="00A87976" w14:paraId="2C7D0697" w14:textId="77777777" w:rsidTr="00230DFA">
        <w:trPr>
          <w:trHeight w:val="584"/>
        </w:trPr>
        <w:tc>
          <w:tcPr>
            <w:tcW w:w="1584" w:type="dxa"/>
          </w:tcPr>
          <w:p w14:paraId="571A940B" w14:textId="77777777" w:rsidR="000D2EB9" w:rsidRPr="00A87976" w:rsidRDefault="000D2EB9" w:rsidP="00230DFA">
            <w:pPr>
              <w:rPr>
                <w:b/>
                <w:bCs/>
              </w:rPr>
            </w:pPr>
            <w:r w:rsidRPr="00A87976">
              <w:rPr>
                <w:b/>
                <w:bCs/>
              </w:rPr>
              <w:t>Response Rate</w:t>
            </w:r>
          </w:p>
        </w:tc>
        <w:tc>
          <w:tcPr>
            <w:tcW w:w="1584" w:type="dxa"/>
            <w:hideMark/>
          </w:tcPr>
          <w:p w14:paraId="31AE4DE0" w14:textId="77777777" w:rsidR="000D2EB9" w:rsidRPr="00A87976" w:rsidRDefault="000D2EB9" w:rsidP="00230DFA">
            <w:pPr>
              <w:jc w:val="right"/>
            </w:pPr>
            <w:r w:rsidRPr="00A87976">
              <w:t>23.4%</w:t>
            </w:r>
          </w:p>
        </w:tc>
        <w:tc>
          <w:tcPr>
            <w:tcW w:w="1584" w:type="dxa"/>
            <w:hideMark/>
          </w:tcPr>
          <w:p w14:paraId="06EE6917" w14:textId="77777777" w:rsidR="000D2EB9" w:rsidRPr="00A87976" w:rsidRDefault="000D2EB9" w:rsidP="00230DFA">
            <w:pPr>
              <w:jc w:val="right"/>
            </w:pPr>
            <w:r w:rsidRPr="00A87976">
              <w:t>18.7%</w:t>
            </w:r>
          </w:p>
        </w:tc>
        <w:tc>
          <w:tcPr>
            <w:tcW w:w="1584" w:type="dxa"/>
            <w:hideMark/>
          </w:tcPr>
          <w:p w14:paraId="03423B40" w14:textId="77777777" w:rsidR="000D2EB9" w:rsidRPr="00A87976" w:rsidRDefault="000D2EB9" w:rsidP="00230DFA">
            <w:pPr>
              <w:jc w:val="right"/>
            </w:pPr>
            <w:r w:rsidRPr="00A87976">
              <w:t>N/A</w:t>
            </w:r>
          </w:p>
        </w:tc>
        <w:tc>
          <w:tcPr>
            <w:tcW w:w="1584" w:type="dxa"/>
            <w:hideMark/>
          </w:tcPr>
          <w:p w14:paraId="1EE7B9F4" w14:textId="77777777" w:rsidR="000D2EB9" w:rsidRPr="00A87976" w:rsidRDefault="000D2EB9" w:rsidP="00230DFA">
            <w:pPr>
              <w:jc w:val="right"/>
            </w:pPr>
            <w:r w:rsidRPr="00A87976">
              <w:t>16.6%</w:t>
            </w:r>
          </w:p>
        </w:tc>
        <w:tc>
          <w:tcPr>
            <w:tcW w:w="1584" w:type="dxa"/>
            <w:hideMark/>
          </w:tcPr>
          <w:p w14:paraId="3AD585DB" w14:textId="77777777" w:rsidR="000D2EB9" w:rsidRPr="00A87976" w:rsidRDefault="000D2EB9" w:rsidP="00230DFA">
            <w:pPr>
              <w:jc w:val="right"/>
            </w:pPr>
            <w:r w:rsidRPr="00A87976">
              <w:t>13.7%</w:t>
            </w:r>
          </w:p>
        </w:tc>
      </w:tr>
    </w:tbl>
    <w:p w14:paraId="39C4D53F" w14:textId="77777777" w:rsidR="008265B2" w:rsidRDefault="008265B2" w:rsidP="008265B2"/>
    <w:p w14:paraId="6DD04816" w14:textId="62BAF7E4" w:rsidR="000D2EB9" w:rsidRDefault="000D2EB9" w:rsidP="008265B2">
      <w:pPr>
        <w:pStyle w:val="Heading2"/>
      </w:pPr>
      <w:r>
        <w:lastRenderedPageBreak/>
        <w:t>SLIDE 17</w:t>
      </w:r>
      <w:r w:rsidR="008265B2">
        <w:t xml:space="preserve">: </w:t>
      </w:r>
      <w:r>
        <w:t>Survey Sample Size for SFY 2022/23</w:t>
      </w:r>
    </w:p>
    <w:p w14:paraId="6A6A752B" w14:textId="77777777" w:rsidR="000D2EB9" w:rsidRPr="008265B2" w:rsidRDefault="000D2EB9" w:rsidP="008265B2">
      <w:pPr>
        <w:pStyle w:val="ListParagraph"/>
        <w:numPr>
          <w:ilvl w:val="0"/>
          <w:numId w:val="58"/>
        </w:numPr>
        <w:spacing w:after="160" w:line="259" w:lineRule="auto"/>
      </w:pPr>
      <w:r w:rsidRPr="008265B2">
        <w:t>116,584 individuals were served by DOR (VR 80,116 and PE 36,468) in SFY 2021/22 (total population)</w:t>
      </w:r>
    </w:p>
    <w:p w14:paraId="111DD228" w14:textId="77777777" w:rsidR="000D2EB9" w:rsidRPr="008265B2" w:rsidRDefault="000D2EB9" w:rsidP="008265B2">
      <w:pPr>
        <w:pStyle w:val="ListParagraph"/>
        <w:numPr>
          <w:ilvl w:val="0"/>
          <w:numId w:val="58"/>
        </w:numPr>
        <w:spacing w:after="160" w:line="259" w:lineRule="auto"/>
      </w:pPr>
      <w:r w:rsidRPr="008265B2">
        <w:t>1,173 survey responses will need to be received (VR 809 and PE 364) for the sample size to accurately represent DOR’s consumers (represents 1.0% of DOR’s total population)</w:t>
      </w:r>
    </w:p>
    <w:p w14:paraId="401412B6" w14:textId="77777777" w:rsidR="000D2EB9" w:rsidRPr="008265B2" w:rsidRDefault="000D2EB9" w:rsidP="008265B2">
      <w:pPr>
        <w:pStyle w:val="ListParagraph"/>
        <w:numPr>
          <w:ilvl w:val="0"/>
          <w:numId w:val="58"/>
        </w:numPr>
        <w:spacing w:after="160" w:line="259" w:lineRule="auto"/>
      </w:pPr>
      <w:r w:rsidRPr="008265B2">
        <w:t>8,378 survey invitations were sent (VR 5,781 and PE 2,597) to achieve the minimum sample size based on an estimated 14% response rate (represents 7.2% of DOR’s total population)</w:t>
      </w:r>
    </w:p>
    <w:p w14:paraId="7B683950" w14:textId="1F53D507" w:rsidR="000D2EB9" w:rsidRDefault="000D2EB9" w:rsidP="008265B2">
      <w:pPr>
        <w:pStyle w:val="Heading2"/>
      </w:pPr>
      <w:r w:rsidRPr="008265B2">
        <w:t>SLIDE</w:t>
      </w:r>
      <w:r>
        <w:t xml:space="preserve"> 18</w:t>
      </w:r>
      <w:r w:rsidR="008265B2">
        <w:t xml:space="preserve">: </w:t>
      </w:r>
      <w:r>
        <w:t>SFY 2022/23 Survey Progress</w:t>
      </w:r>
    </w:p>
    <w:p w14:paraId="686BA513" w14:textId="77777777" w:rsidR="000D2EB9" w:rsidRPr="00DC182C" w:rsidRDefault="000D2EB9" w:rsidP="008265B2">
      <w:pPr>
        <w:pStyle w:val="ListParagraph"/>
        <w:numPr>
          <w:ilvl w:val="0"/>
          <w:numId w:val="59"/>
        </w:numPr>
        <w:spacing w:after="160" w:line="259" w:lineRule="auto"/>
      </w:pPr>
      <w:r w:rsidRPr="00DC182C">
        <w:t>Sent Survey Monkey link and mailed surveys on May 18-19, 2023.</w:t>
      </w:r>
    </w:p>
    <w:p w14:paraId="04A8C337" w14:textId="77777777" w:rsidR="000D2EB9" w:rsidRPr="00DC182C" w:rsidRDefault="000D2EB9" w:rsidP="008265B2">
      <w:pPr>
        <w:pStyle w:val="ListParagraph"/>
        <w:numPr>
          <w:ilvl w:val="0"/>
          <w:numId w:val="59"/>
        </w:numPr>
        <w:spacing w:after="160" w:line="259" w:lineRule="auto"/>
      </w:pPr>
      <w:r w:rsidRPr="00DC182C">
        <w:t>Added Race and Ethnicity questions to better understand population that may be unserved or underserved.</w:t>
      </w:r>
    </w:p>
    <w:p w14:paraId="5955CB61" w14:textId="77777777" w:rsidR="000D2EB9" w:rsidRPr="00A87976" w:rsidRDefault="000D2EB9" w:rsidP="008265B2">
      <w:pPr>
        <w:pStyle w:val="ListParagraph"/>
        <w:numPr>
          <w:ilvl w:val="0"/>
          <w:numId w:val="59"/>
        </w:numPr>
        <w:spacing w:after="160" w:line="259" w:lineRule="auto"/>
      </w:pPr>
      <w:r w:rsidRPr="00DC182C">
        <w:t>Changed PE survey to Student Services questions previously used in Needs Assessment since many consumer questions were not relevant to students.</w:t>
      </w:r>
    </w:p>
    <w:p w14:paraId="4495F07A" w14:textId="473755D5" w:rsidR="008265B2" w:rsidRDefault="000D2EB9" w:rsidP="008265B2">
      <w:pPr>
        <w:pStyle w:val="Heading2"/>
      </w:pPr>
      <w:r>
        <w:t>SLIDE 19</w:t>
      </w:r>
      <w:r w:rsidR="008265B2">
        <w:t xml:space="preserve">: </w:t>
      </w:r>
      <w:r>
        <w:t>Q&amp;A</w:t>
      </w:r>
    </w:p>
    <w:p w14:paraId="4CFD98B5" w14:textId="77777777" w:rsidR="008265B2" w:rsidRPr="008265B2" w:rsidRDefault="008265B2" w:rsidP="008265B2"/>
    <w:p w14:paraId="56A4D8AF" w14:textId="6432C602" w:rsidR="000D2EB9" w:rsidRDefault="000D2EB9" w:rsidP="008265B2">
      <w:pPr>
        <w:pStyle w:val="Heading2"/>
      </w:pPr>
      <w:r>
        <w:t>SLIDE 20</w:t>
      </w:r>
      <w:r w:rsidR="008265B2">
        <w:t xml:space="preserve">: </w:t>
      </w:r>
      <w:r>
        <w:t>DOR’s Planning Unit Contact Information</w:t>
      </w:r>
    </w:p>
    <w:p w14:paraId="0D19868C" w14:textId="77777777" w:rsidR="000D2EB9" w:rsidRPr="00DC182C" w:rsidRDefault="000D2EB9" w:rsidP="000D2EB9">
      <w:r w:rsidRPr="00DC182C">
        <w:t>Peter Frangel</w:t>
      </w:r>
      <w:r>
        <w:t xml:space="preserve">, </w:t>
      </w:r>
      <w:r w:rsidRPr="00DC182C">
        <w:t>Strategic Initiatives Officer</w:t>
      </w:r>
    </w:p>
    <w:p w14:paraId="274B5B96" w14:textId="4DECD61B" w:rsidR="000D2EB9" w:rsidRPr="00DC182C" w:rsidRDefault="000D2EB9" w:rsidP="000D2EB9">
      <w:r w:rsidRPr="008265B2">
        <w:t>Peter.frangel@dor.ca.gov</w:t>
      </w:r>
      <w:r w:rsidRPr="00DC182C">
        <w:t xml:space="preserve"> </w:t>
      </w:r>
    </w:p>
    <w:p w14:paraId="11056236" w14:textId="77777777" w:rsidR="000D2EB9" w:rsidRPr="00DC182C" w:rsidRDefault="000D2EB9" w:rsidP="000D2EB9">
      <w:r w:rsidRPr="00DC182C">
        <w:t xml:space="preserve">Antoinette </w:t>
      </w:r>
      <w:proofErr w:type="spellStart"/>
      <w:r w:rsidRPr="00DC182C">
        <w:t>Deboisblanc</w:t>
      </w:r>
      <w:proofErr w:type="spellEnd"/>
      <w:r>
        <w:t xml:space="preserve">, </w:t>
      </w:r>
      <w:r w:rsidRPr="00DC182C">
        <w:t xml:space="preserve">Associate Governmental Program Analyst </w:t>
      </w:r>
    </w:p>
    <w:p w14:paraId="1695677E" w14:textId="28102842" w:rsidR="000D2EB9" w:rsidRPr="001F63E9" w:rsidRDefault="000D2EB9" w:rsidP="000D2EB9">
      <w:r w:rsidRPr="008265B2">
        <w:t>Antoinette.deboisblanc@dor.ca.gov</w:t>
      </w:r>
      <w:r w:rsidRPr="001F63E9">
        <w:t xml:space="preserve"> </w:t>
      </w:r>
    </w:p>
    <w:p w14:paraId="7CB01740" w14:textId="77777777" w:rsidR="000D2EB9" w:rsidRPr="00293CD6" w:rsidRDefault="000D2EB9" w:rsidP="000D2EB9">
      <w:r w:rsidRPr="00293CD6">
        <w:t xml:space="preserve">Judy Gonzalez, </w:t>
      </w:r>
      <w:r w:rsidRPr="00DC182C">
        <w:t>Research Data Analyst II</w:t>
      </w:r>
    </w:p>
    <w:p w14:paraId="0A78E139" w14:textId="0B9D6125" w:rsidR="000D2EB9" w:rsidRPr="00DC182C" w:rsidRDefault="000D2EB9" w:rsidP="000D2EB9">
      <w:r w:rsidRPr="008265B2">
        <w:t>Judy.gonzalez@dor.ca.gov</w:t>
      </w:r>
      <w:r w:rsidRPr="00DC182C">
        <w:t xml:space="preserve"> </w:t>
      </w:r>
    </w:p>
    <w:p w14:paraId="5A64FBA2" w14:textId="77777777" w:rsidR="000D2EB9" w:rsidRPr="00DC182C" w:rsidRDefault="000D2EB9" w:rsidP="000D2EB9">
      <w:r w:rsidRPr="00DC182C">
        <w:t>Marla Harper</w:t>
      </w:r>
      <w:r>
        <w:t xml:space="preserve">, </w:t>
      </w:r>
      <w:r w:rsidRPr="00DC182C">
        <w:t>Research Data Analyst II</w:t>
      </w:r>
    </w:p>
    <w:p w14:paraId="6F164AF8" w14:textId="568B7D03" w:rsidR="000D2EB9" w:rsidRPr="009225C9" w:rsidRDefault="000D2EB9" w:rsidP="000D2EB9">
      <w:r w:rsidRPr="008265B2">
        <w:t>Marla.harper@dor.ca.gov</w:t>
      </w:r>
    </w:p>
    <w:p w14:paraId="4831F109" w14:textId="77777777" w:rsidR="000D2EB9" w:rsidRPr="00730707" w:rsidRDefault="000D2EB9" w:rsidP="00730707"/>
    <w:sectPr w:rsidR="000D2EB9" w:rsidRPr="00730707" w:rsidSect="00F76E18">
      <w:footerReference w:type="default" r:id="rId15"/>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4037" w14:textId="77777777" w:rsidR="00230DFA" w:rsidRDefault="00230DFA" w:rsidP="00CC0838">
      <w:r>
        <w:separator/>
      </w:r>
    </w:p>
  </w:endnote>
  <w:endnote w:type="continuationSeparator" w:id="0">
    <w:p w14:paraId="4B6A7F58" w14:textId="77777777" w:rsidR="00230DFA" w:rsidRDefault="00230DFA"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BBD1" w14:textId="6B51A431" w:rsidR="00230DFA" w:rsidRDefault="00230DFA">
    <w:pPr>
      <w:pStyle w:val="Footer"/>
      <w:jc w:val="right"/>
    </w:pPr>
    <w:r>
      <w:t>DRAFT</w:t>
    </w:r>
    <w:r>
      <w:tab/>
    </w:r>
    <w:r>
      <w:tab/>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15EC1" w14:textId="77777777" w:rsidR="00230DFA" w:rsidRDefault="00230DFA" w:rsidP="00CC0838">
      <w:r>
        <w:separator/>
      </w:r>
    </w:p>
  </w:footnote>
  <w:footnote w:type="continuationSeparator" w:id="0">
    <w:p w14:paraId="3356E47D" w14:textId="77777777" w:rsidR="00230DFA" w:rsidRDefault="00230DFA"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C15"/>
    <w:multiLevelType w:val="hybridMultilevel"/>
    <w:tmpl w:val="ED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57C"/>
    <w:multiLevelType w:val="hybridMultilevel"/>
    <w:tmpl w:val="04D2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8434F"/>
    <w:multiLevelType w:val="hybridMultilevel"/>
    <w:tmpl w:val="D6F2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96221"/>
    <w:multiLevelType w:val="hybridMultilevel"/>
    <w:tmpl w:val="267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644"/>
    <w:multiLevelType w:val="hybridMultilevel"/>
    <w:tmpl w:val="AC0E3798"/>
    <w:lvl w:ilvl="0" w:tplc="0958D6B4">
      <w:start w:val="1"/>
      <w:numFmt w:val="bullet"/>
      <w:lvlText w:val=""/>
      <w:lvlJc w:val="left"/>
      <w:pPr>
        <w:tabs>
          <w:tab w:val="num" w:pos="720"/>
        </w:tabs>
        <w:ind w:left="720" w:hanging="360"/>
      </w:pPr>
      <w:rPr>
        <w:rFonts w:ascii="Wingdings" w:hAnsi="Wingdings" w:hint="default"/>
      </w:rPr>
    </w:lvl>
    <w:lvl w:ilvl="1" w:tplc="655AC25C" w:tentative="1">
      <w:start w:val="1"/>
      <w:numFmt w:val="bullet"/>
      <w:lvlText w:val=""/>
      <w:lvlJc w:val="left"/>
      <w:pPr>
        <w:tabs>
          <w:tab w:val="num" w:pos="1440"/>
        </w:tabs>
        <w:ind w:left="1440" w:hanging="360"/>
      </w:pPr>
      <w:rPr>
        <w:rFonts w:ascii="Wingdings" w:hAnsi="Wingdings" w:hint="default"/>
      </w:rPr>
    </w:lvl>
    <w:lvl w:ilvl="2" w:tplc="BDE0C700" w:tentative="1">
      <w:start w:val="1"/>
      <w:numFmt w:val="bullet"/>
      <w:lvlText w:val=""/>
      <w:lvlJc w:val="left"/>
      <w:pPr>
        <w:tabs>
          <w:tab w:val="num" w:pos="2160"/>
        </w:tabs>
        <w:ind w:left="2160" w:hanging="360"/>
      </w:pPr>
      <w:rPr>
        <w:rFonts w:ascii="Wingdings" w:hAnsi="Wingdings" w:hint="default"/>
      </w:rPr>
    </w:lvl>
    <w:lvl w:ilvl="3" w:tplc="D24A14AC" w:tentative="1">
      <w:start w:val="1"/>
      <w:numFmt w:val="bullet"/>
      <w:lvlText w:val=""/>
      <w:lvlJc w:val="left"/>
      <w:pPr>
        <w:tabs>
          <w:tab w:val="num" w:pos="2880"/>
        </w:tabs>
        <w:ind w:left="2880" w:hanging="360"/>
      </w:pPr>
      <w:rPr>
        <w:rFonts w:ascii="Wingdings" w:hAnsi="Wingdings" w:hint="default"/>
      </w:rPr>
    </w:lvl>
    <w:lvl w:ilvl="4" w:tplc="4992CA04" w:tentative="1">
      <w:start w:val="1"/>
      <w:numFmt w:val="bullet"/>
      <w:lvlText w:val=""/>
      <w:lvlJc w:val="left"/>
      <w:pPr>
        <w:tabs>
          <w:tab w:val="num" w:pos="3600"/>
        </w:tabs>
        <w:ind w:left="3600" w:hanging="360"/>
      </w:pPr>
      <w:rPr>
        <w:rFonts w:ascii="Wingdings" w:hAnsi="Wingdings" w:hint="default"/>
      </w:rPr>
    </w:lvl>
    <w:lvl w:ilvl="5" w:tplc="96246A28" w:tentative="1">
      <w:start w:val="1"/>
      <w:numFmt w:val="bullet"/>
      <w:lvlText w:val=""/>
      <w:lvlJc w:val="left"/>
      <w:pPr>
        <w:tabs>
          <w:tab w:val="num" w:pos="4320"/>
        </w:tabs>
        <w:ind w:left="4320" w:hanging="360"/>
      </w:pPr>
      <w:rPr>
        <w:rFonts w:ascii="Wingdings" w:hAnsi="Wingdings" w:hint="default"/>
      </w:rPr>
    </w:lvl>
    <w:lvl w:ilvl="6" w:tplc="018CB340" w:tentative="1">
      <w:start w:val="1"/>
      <w:numFmt w:val="bullet"/>
      <w:lvlText w:val=""/>
      <w:lvlJc w:val="left"/>
      <w:pPr>
        <w:tabs>
          <w:tab w:val="num" w:pos="5040"/>
        </w:tabs>
        <w:ind w:left="5040" w:hanging="360"/>
      </w:pPr>
      <w:rPr>
        <w:rFonts w:ascii="Wingdings" w:hAnsi="Wingdings" w:hint="default"/>
      </w:rPr>
    </w:lvl>
    <w:lvl w:ilvl="7" w:tplc="3A60C90E" w:tentative="1">
      <w:start w:val="1"/>
      <w:numFmt w:val="bullet"/>
      <w:lvlText w:val=""/>
      <w:lvlJc w:val="left"/>
      <w:pPr>
        <w:tabs>
          <w:tab w:val="num" w:pos="5760"/>
        </w:tabs>
        <w:ind w:left="5760" w:hanging="360"/>
      </w:pPr>
      <w:rPr>
        <w:rFonts w:ascii="Wingdings" w:hAnsi="Wingdings" w:hint="default"/>
      </w:rPr>
    </w:lvl>
    <w:lvl w:ilvl="8" w:tplc="A746D4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53CFC"/>
    <w:multiLevelType w:val="hybridMultilevel"/>
    <w:tmpl w:val="B318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91BFA"/>
    <w:multiLevelType w:val="hybridMultilevel"/>
    <w:tmpl w:val="3ADA105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105E1586"/>
    <w:multiLevelType w:val="hybridMultilevel"/>
    <w:tmpl w:val="D5FE25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4256C8" w:tentative="1">
      <w:start w:val="1"/>
      <w:numFmt w:val="bullet"/>
      <w:lvlText w:val=""/>
      <w:lvlJc w:val="left"/>
      <w:pPr>
        <w:tabs>
          <w:tab w:val="num" w:pos="2160"/>
        </w:tabs>
        <w:ind w:left="2160" w:hanging="360"/>
      </w:pPr>
      <w:rPr>
        <w:rFonts w:ascii="Wingdings" w:hAnsi="Wingdings" w:hint="default"/>
      </w:rPr>
    </w:lvl>
    <w:lvl w:ilvl="3" w:tplc="C302C528" w:tentative="1">
      <w:start w:val="1"/>
      <w:numFmt w:val="bullet"/>
      <w:lvlText w:val=""/>
      <w:lvlJc w:val="left"/>
      <w:pPr>
        <w:tabs>
          <w:tab w:val="num" w:pos="2880"/>
        </w:tabs>
        <w:ind w:left="2880" w:hanging="360"/>
      </w:pPr>
      <w:rPr>
        <w:rFonts w:ascii="Wingdings" w:hAnsi="Wingdings" w:hint="default"/>
      </w:rPr>
    </w:lvl>
    <w:lvl w:ilvl="4" w:tplc="3F3C490C" w:tentative="1">
      <w:start w:val="1"/>
      <w:numFmt w:val="bullet"/>
      <w:lvlText w:val=""/>
      <w:lvlJc w:val="left"/>
      <w:pPr>
        <w:tabs>
          <w:tab w:val="num" w:pos="3600"/>
        </w:tabs>
        <w:ind w:left="3600" w:hanging="360"/>
      </w:pPr>
      <w:rPr>
        <w:rFonts w:ascii="Wingdings" w:hAnsi="Wingdings" w:hint="default"/>
      </w:rPr>
    </w:lvl>
    <w:lvl w:ilvl="5" w:tplc="AD40E776" w:tentative="1">
      <w:start w:val="1"/>
      <w:numFmt w:val="bullet"/>
      <w:lvlText w:val=""/>
      <w:lvlJc w:val="left"/>
      <w:pPr>
        <w:tabs>
          <w:tab w:val="num" w:pos="4320"/>
        </w:tabs>
        <w:ind w:left="4320" w:hanging="360"/>
      </w:pPr>
      <w:rPr>
        <w:rFonts w:ascii="Wingdings" w:hAnsi="Wingdings" w:hint="default"/>
      </w:rPr>
    </w:lvl>
    <w:lvl w:ilvl="6" w:tplc="3A204F8C" w:tentative="1">
      <w:start w:val="1"/>
      <w:numFmt w:val="bullet"/>
      <w:lvlText w:val=""/>
      <w:lvlJc w:val="left"/>
      <w:pPr>
        <w:tabs>
          <w:tab w:val="num" w:pos="5040"/>
        </w:tabs>
        <w:ind w:left="5040" w:hanging="360"/>
      </w:pPr>
      <w:rPr>
        <w:rFonts w:ascii="Wingdings" w:hAnsi="Wingdings" w:hint="default"/>
      </w:rPr>
    </w:lvl>
    <w:lvl w:ilvl="7" w:tplc="35ECED9A" w:tentative="1">
      <w:start w:val="1"/>
      <w:numFmt w:val="bullet"/>
      <w:lvlText w:val=""/>
      <w:lvlJc w:val="left"/>
      <w:pPr>
        <w:tabs>
          <w:tab w:val="num" w:pos="5760"/>
        </w:tabs>
        <w:ind w:left="5760" w:hanging="360"/>
      </w:pPr>
      <w:rPr>
        <w:rFonts w:ascii="Wingdings" w:hAnsi="Wingdings" w:hint="default"/>
      </w:rPr>
    </w:lvl>
    <w:lvl w:ilvl="8" w:tplc="EA5A21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22320"/>
    <w:multiLevelType w:val="hybridMultilevel"/>
    <w:tmpl w:val="F7287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444144"/>
    <w:multiLevelType w:val="hybridMultilevel"/>
    <w:tmpl w:val="1F98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645FA"/>
    <w:multiLevelType w:val="hybridMultilevel"/>
    <w:tmpl w:val="A9C0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640F9"/>
    <w:multiLevelType w:val="hybridMultilevel"/>
    <w:tmpl w:val="A4DE535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F29C5"/>
    <w:multiLevelType w:val="hybridMultilevel"/>
    <w:tmpl w:val="EA0A4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92FAA"/>
    <w:multiLevelType w:val="hybridMultilevel"/>
    <w:tmpl w:val="9B12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C695D"/>
    <w:multiLevelType w:val="hybridMultilevel"/>
    <w:tmpl w:val="E92E1912"/>
    <w:lvl w:ilvl="0" w:tplc="494EC4C4">
      <w:start w:val="1"/>
      <w:numFmt w:val="bullet"/>
      <w:lvlText w:val=""/>
      <w:lvlJc w:val="left"/>
      <w:pPr>
        <w:tabs>
          <w:tab w:val="num" w:pos="720"/>
        </w:tabs>
        <w:ind w:left="720" w:hanging="360"/>
      </w:pPr>
      <w:rPr>
        <w:rFonts w:ascii="Symbol" w:hAnsi="Symbol" w:hint="default"/>
      </w:rPr>
    </w:lvl>
    <w:lvl w:ilvl="1" w:tplc="432EA8B8">
      <w:numFmt w:val="bullet"/>
      <w:lvlText w:val=""/>
      <w:lvlJc w:val="left"/>
      <w:pPr>
        <w:tabs>
          <w:tab w:val="num" w:pos="1440"/>
        </w:tabs>
        <w:ind w:left="1440" w:hanging="360"/>
      </w:pPr>
      <w:rPr>
        <w:rFonts w:ascii="Symbol" w:hAnsi="Symbol" w:hint="default"/>
      </w:rPr>
    </w:lvl>
    <w:lvl w:ilvl="2" w:tplc="1236FC1E" w:tentative="1">
      <w:start w:val="1"/>
      <w:numFmt w:val="bullet"/>
      <w:lvlText w:val=""/>
      <w:lvlJc w:val="left"/>
      <w:pPr>
        <w:tabs>
          <w:tab w:val="num" w:pos="2160"/>
        </w:tabs>
        <w:ind w:left="2160" w:hanging="360"/>
      </w:pPr>
      <w:rPr>
        <w:rFonts w:ascii="Symbol" w:hAnsi="Symbol" w:hint="default"/>
      </w:rPr>
    </w:lvl>
    <w:lvl w:ilvl="3" w:tplc="BA246E6C" w:tentative="1">
      <w:start w:val="1"/>
      <w:numFmt w:val="bullet"/>
      <w:lvlText w:val=""/>
      <w:lvlJc w:val="left"/>
      <w:pPr>
        <w:tabs>
          <w:tab w:val="num" w:pos="2880"/>
        </w:tabs>
        <w:ind w:left="2880" w:hanging="360"/>
      </w:pPr>
      <w:rPr>
        <w:rFonts w:ascii="Symbol" w:hAnsi="Symbol" w:hint="default"/>
      </w:rPr>
    </w:lvl>
    <w:lvl w:ilvl="4" w:tplc="C3D2F694" w:tentative="1">
      <w:start w:val="1"/>
      <w:numFmt w:val="bullet"/>
      <w:lvlText w:val=""/>
      <w:lvlJc w:val="left"/>
      <w:pPr>
        <w:tabs>
          <w:tab w:val="num" w:pos="3600"/>
        </w:tabs>
        <w:ind w:left="3600" w:hanging="360"/>
      </w:pPr>
      <w:rPr>
        <w:rFonts w:ascii="Symbol" w:hAnsi="Symbol" w:hint="default"/>
      </w:rPr>
    </w:lvl>
    <w:lvl w:ilvl="5" w:tplc="203E6ED8" w:tentative="1">
      <w:start w:val="1"/>
      <w:numFmt w:val="bullet"/>
      <w:lvlText w:val=""/>
      <w:lvlJc w:val="left"/>
      <w:pPr>
        <w:tabs>
          <w:tab w:val="num" w:pos="4320"/>
        </w:tabs>
        <w:ind w:left="4320" w:hanging="360"/>
      </w:pPr>
      <w:rPr>
        <w:rFonts w:ascii="Symbol" w:hAnsi="Symbol" w:hint="default"/>
      </w:rPr>
    </w:lvl>
    <w:lvl w:ilvl="6" w:tplc="E6FE3D5E" w:tentative="1">
      <w:start w:val="1"/>
      <w:numFmt w:val="bullet"/>
      <w:lvlText w:val=""/>
      <w:lvlJc w:val="left"/>
      <w:pPr>
        <w:tabs>
          <w:tab w:val="num" w:pos="5040"/>
        </w:tabs>
        <w:ind w:left="5040" w:hanging="360"/>
      </w:pPr>
      <w:rPr>
        <w:rFonts w:ascii="Symbol" w:hAnsi="Symbol" w:hint="default"/>
      </w:rPr>
    </w:lvl>
    <w:lvl w:ilvl="7" w:tplc="B6902166" w:tentative="1">
      <w:start w:val="1"/>
      <w:numFmt w:val="bullet"/>
      <w:lvlText w:val=""/>
      <w:lvlJc w:val="left"/>
      <w:pPr>
        <w:tabs>
          <w:tab w:val="num" w:pos="5760"/>
        </w:tabs>
        <w:ind w:left="5760" w:hanging="360"/>
      </w:pPr>
      <w:rPr>
        <w:rFonts w:ascii="Symbol" w:hAnsi="Symbol" w:hint="default"/>
      </w:rPr>
    </w:lvl>
    <w:lvl w:ilvl="8" w:tplc="B67664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1E5291"/>
    <w:multiLevelType w:val="hybridMultilevel"/>
    <w:tmpl w:val="B882F574"/>
    <w:lvl w:ilvl="0" w:tplc="0CEE8824">
      <w:start w:val="1"/>
      <w:numFmt w:val="bullet"/>
      <w:lvlText w:val=""/>
      <w:lvlJc w:val="left"/>
      <w:pPr>
        <w:tabs>
          <w:tab w:val="num" w:pos="720"/>
        </w:tabs>
        <w:ind w:left="720" w:hanging="360"/>
      </w:pPr>
      <w:rPr>
        <w:rFonts w:ascii="Wingdings" w:hAnsi="Wingdings" w:hint="default"/>
      </w:rPr>
    </w:lvl>
    <w:lvl w:ilvl="1" w:tplc="3CA4BF38" w:tentative="1">
      <w:start w:val="1"/>
      <w:numFmt w:val="bullet"/>
      <w:lvlText w:val=""/>
      <w:lvlJc w:val="left"/>
      <w:pPr>
        <w:tabs>
          <w:tab w:val="num" w:pos="1440"/>
        </w:tabs>
        <w:ind w:left="1440" w:hanging="360"/>
      </w:pPr>
      <w:rPr>
        <w:rFonts w:ascii="Wingdings" w:hAnsi="Wingdings" w:hint="default"/>
      </w:rPr>
    </w:lvl>
    <w:lvl w:ilvl="2" w:tplc="526EBC08" w:tentative="1">
      <w:start w:val="1"/>
      <w:numFmt w:val="bullet"/>
      <w:lvlText w:val=""/>
      <w:lvlJc w:val="left"/>
      <w:pPr>
        <w:tabs>
          <w:tab w:val="num" w:pos="2160"/>
        </w:tabs>
        <w:ind w:left="2160" w:hanging="360"/>
      </w:pPr>
      <w:rPr>
        <w:rFonts w:ascii="Wingdings" w:hAnsi="Wingdings" w:hint="default"/>
      </w:rPr>
    </w:lvl>
    <w:lvl w:ilvl="3" w:tplc="3542706A" w:tentative="1">
      <w:start w:val="1"/>
      <w:numFmt w:val="bullet"/>
      <w:lvlText w:val=""/>
      <w:lvlJc w:val="left"/>
      <w:pPr>
        <w:tabs>
          <w:tab w:val="num" w:pos="2880"/>
        </w:tabs>
        <w:ind w:left="2880" w:hanging="360"/>
      </w:pPr>
      <w:rPr>
        <w:rFonts w:ascii="Wingdings" w:hAnsi="Wingdings" w:hint="default"/>
      </w:rPr>
    </w:lvl>
    <w:lvl w:ilvl="4" w:tplc="076C0406" w:tentative="1">
      <w:start w:val="1"/>
      <w:numFmt w:val="bullet"/>
      <w:lvlText w:val=""/>
      <w:lvlJc w:val="left"/>
      <w:pPr>
        <w:tabs>
          <w:tab w:val="num" w:pos="3600"/>
        </w:tabs>
        <w:ind w:left="3600" w:hanging="360"/>
      </w:pPr>
      <w:rPr>
        <w:rFonts w:ascii="Wingdings" w:hAnsi="Wingdings" w:hint="default"/>
      </w:rPr>
    </w:lvl>
    <w:lvl w:ilvl="5" w:tplc="B9E662A6" w:tentative="1">
      <w:start w:val="1"/>
      <w:numFmt w:val="bullet"/>
      <w:lvlText w:val=""/>
      <w:lvlJc w:val="left"/>
      <w:pPr>
        <w:tabs>
          <w:tab w:val="num" w:pos="4320"/>
        </w:tabs>
        <w:ind w:left="4320" w:hanging="360"/>
      </w:pPr>
      <w:rPr>
        <w:rFonts w:ascii="Wingdings" w:hAnsi="Wingdings" w:hint="default"/>
      </w:rPr>
    </w:lvl>
    <w:lvl w:ilvl="6" w:tplc="D5581E90" w:tentative="1">
      <w:start w:val="1"/>
      <w:numFmt w:val="bullet"/>
      <w:lvlText w:val=""/>
      <w:lvlJc w:val="left"/>
      <w:pPr>
        <w:tabs>
          <w:tab w:val="num" w:pos="5040"/>
        </w:tabs>
        <w:ind w:left="5040" w:hanging="360"/>
      </w:pPr>
      <w:rPr>
        <w:rFonts w:ascii="Wingdings" w:hAnsi="Wingdings" w:hint="default"/>
      </w:rPr>
    </w:lvl>
    <w:lvl w:ilvl="7" w:tplc="E16A32BE" w:tentative="1">
      <w:start w:val="1"/>
      <w:numFmt w:val="bullet"/>
      <w:lvlText w:val=""/>
      <w:lvlJc w:val="left"/>
      <w:pPr>
        <w:tabs>
          <w:tab w:val="num" w:pos="5760"/>
        </w:tabs>
        <w:ind w:left="5760" w:hanging="360"/>
      </w:pPr>
      <w:rPr>
        <w:rFonts w:ascii="Wingdings" w:hAnsi="Wingdings" w:hint="default"/>
      </w:rPr>
    </w:lvl>
    <w:lvl w:ilvl="8" w:tplc="F210EC7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95311D"/>
    <w:multiLevelType w:val="hybridMultilevel"/>
    <w:tmpl w:val="DB4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C7155"/>
    <w:multiLevelType w:val="hybridMultilevel"/>
    <w:tmpl w:val="52BEC5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D248E8A">
      <w:numFmt w:val="bullet"/>
      <w:lvlText w:val=""/>
      <w:lvlJc w:val="left"/>
      <w:pPr>
        <w:tabs>
          <w:tab w:val="num" w:pos="1800"/>
        </w:tabs>
        <w:ind w:left="1800" w:hanging="360"/>
      </w:pPr>
      <w:rPr>
        <w:rFonts w:ascii="Wingdings" w:hAnsi="Wingdings" w:hint="default"/>
      </w:rPr>
    </w:lvl>
    <w:lvl w:ilvl="3" w:tplc="D64A66B0" w:tentative="1">
      <w:start w:val="1"/>
      <w:numFmt w:val="bullet"/>
      <w:lvlText w:val=""/>
      <w:lvlJc w:val="left"/>
      <w:pPr>
        <w:tabs>
          <w:tab w:val="num" w:pos="2520"/>
        </w:tabs>
        <w:ind w:left="2520" w:hanging="360"/>
      </w:pPr>
      <w:rPr>
        <w:rFonts w:ascii="Wingdings" w:hAnsi="Wingdings" w:hint="default"/>
      </w:rPr>
    </w:lvl>
    <w:lvl w:ilvl="4" w:tplc="DF44CD5C" w:tentative="1">
      <w:start w:val="1"/>
      <w:numFmt w:val="bullet"/>
      <w:lvlText w:val=""/>
      <w:lvlJc w:val="left"/>
      <w:pPr>
        <w:tabs>
          <w:tab w:val="num" w:pos="3240"/>
        </w:tabs>
        <w:ind w:left="3240" w:hanging="360"/>
      </w:pPr>
      <w:rPr>
        <w:rFonts w:ascii="Wingdings" w:hAnsi="Wingdings" w:hint="default"/>
      </w:rPr>
    </w:lvl>
    <w:lvl w:ilvl="5" w:tplc="B9F0E17A" w:tentative="1">
      <w:start w:val="1"/>
      <w:numFmt w:val="bullet"/>
      <w:lvlText w:val=""/>
      <w:lvlJc w:val="left"/>
      <w:pPr>
        <w:tabs>
          <w:tab w:val="num" w:pos="3960"/>
        </w:tabs>
        <w:ind w:left="3960" w:hanging="360"/>
      </w:pPr>
      <w:rPr>
        <w:rFonts w:ascii="Wingdings" w:hAnsi="Wingdings" w:hint="default"/>
      </w:rPr>
    </w:lvl>
    <w:lvl w:ilvl="6" w:tplc="879620EA" w:tentative="1">
      <w:start w:val="1"/>
      <w:numFmt w:val="bullet"/>
      <w:lvlText w:val=""/>
      <w:lvlJc w:val="left"/>
      <w:pPr>
        <w:tabs>
          <w:tab w:val="num" w:pos="4680"/>
        </w:tabs>
        <w:ind w:left="4680" w:hanging="360"/>
      </w:pPr>
      <w:rPr>
        <w:rFonts w:ascii="Wingdings" w:hAnsi="Wingdings" w:hint="default"/>
      </w:rPr>
    </w:lvl>
    <w:lvl w:ilvl="7" w:tplc="0262DE4C" w:tentative="1">
      <w:start w:val="1"/>
      <w:numFmt w:val="bullet"/>
      <w:lvlText w:val=""/>
      <w:lvlJc w:val="left"/>
      <w:pPr>
        <w:tabs>
          <w:tab w:val="num" w:pos="5400"/>
        </w:tabs>
        <w:ind w:left="5400" w:hanging="360"/>
      </w:pPr>
      <w:rPr>
        <w:rFonts w:ascii="Wingdings" w:hAnsi="Wingdings" w:hint="default"/>
      </w:rPr>
    </w:lvl>
    <w:lvl w:ilvl="8" w:tplc="BCC2EAE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A07787"/>
    <w:multiLevelType w:val="hybridMultilevel"/>
    <w:tmpl w:val="D93A1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333261"/>
    <w:multiLevelType w:val="hybridMultilevel"/>
    <w:tmpl w:val="8AF66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C90A92"/>
    <w:multiLevelType w:val="hybridMultilevel"/>
    <w:tmpl w:val="8F508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4E63D9"/>
    <w:multiLevelType w:val="hybridMultilevel"/>
    <w:tmpl w:val="B5AE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37B53"/>
    <w:multiLevelType w:val="hybridMultilevel"/>
    <w:tmpl w:val="E026A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13707D"/>
    <w:multiLevelType w:val="hybridMultilevel"/>
    <w:tmpl w:val="0CBCCA0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3B750F"/>
    <w:multiLevelType w:val="hybridMultilevel"/>
    <w:tmpl w:val="FE0E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7318B"/>
    <w:multiLevelType w:val="hybridMultilevel"/>
    <w:tmpl w:val="80582452"/>
    <w:lvl w:ilvl="0" w:tplc="04090001">
      <w:start w:val="1"/>
      <w:numFmt w:val="bullet"/>
      <w:lvlText w:val=""/>
      <w:lvlJc w:val="left"/>
      <w:pPr>
        <w:tabs>
          <w:tab w:val="num" w:pos="360"/>
        </w:tabs>
        <w:ind w:left="360" w:hanging="360"/>
      </w:pPr>
      <w:rPr>
        <w:rFonts w:ascii="Symbol" w:hAnsi="Symbol" w:hint="default"/>
      </w:rPr>
    </w:lvl>
    <w:lvl w:ilvl="1" w:tplc="9E92E876">
      <w:numFmt w:val="bullet"/>
      <w:lvlText w:val=""/>
      <w:lvlJc w:val="left"/>
      <w:pPr>
        <w:tabs>
          <w:tab w:val="num" w:pos="1080"/>
        </w:tabs>
        <w:ind w:left="1080" w:hanging="360"/>
      </w:pPr>
      <w:rPr>
        <w:rFonts w:ascii="Wingdings" w:hAnsi="Wingdings" w:hint="default"/>
      </w:rPr>
    </w:lvl>
    <w:lvl w:ilvl="2" w:tplc="72C0B60C" w:tentative="1">
      <w:start w:val="1"/>
      <w:numFmt w:val="bullet"/>
      <w:lvlText w:val=""/>
      <w:lvlJc w:val="left"/>
      <w:pPr>
        <w:tabs>
          <w:tab w:val="num" w:pos="1800"/>
        </w:tabs>
        <w:ind w:left="1800" w:hanging="360"/>
      </w:pPr>
      <w:rPr>
        <w:rFonts w:ascii="Wingdings" w:hAnsi="Wingdings" w:hint="default"/>
      </w:rPr>
    </w:lvl>
    <w:lvl w:ilvl="3" w:tplc="61383C42" w:tentative="1">
      <w:start w:val="1"/>
      <w:numFmt w:val="bullet"/>
      <w:lvlText w:val=""/>
      <w:lvlJc w:val="left"/>
      <w:pPr>
        <w:tabs>
          <w:tab w:val="num" w:pos="2520"/>
        </w:tabs>
        <w:ind w:left="2520" w:hanging="360"/>
      </w:pPr>
      <w:rPr>
        <w:rFonts w:ascii="Wingdings" w:hAnsi="Wingdings" w:hint="default"/>
      </w:rPr>
    </w:lvl>
    <w:lvl w:ilvl="4" w:tplc="1B62D4EE" w:tentative="1">
      <w:start w:val="1"/>
      <w:numFmt w:val="bullet"/>
      <w:lvlText w:val=""/>
      <w:lvlJc w:val="left"/>
      <w:pPr>
        <w:tabs>
          <w:tab w:val="num" w:pos="3240"/>
        </w:tabs>
        <w:ind w:left="3240" w:hanging="360"/>
      </w:pPr>
      <w:rPr>
        <w:rFonts w:ascii="Wingdings" w:hAnsi="Wingdings" w:hint="default"/>
      </w:rPr>
    </w:lvl>
    <w:lvl w:ilvl="5" w:tplc="480C5BE0" w:tentative="1">
      <w:start w:val="1"/>
      <w:numFmt w:val="bullet"/>
      <w:lvlText w:val=""/>
      <w:lvlJc w:val="left"/>
      <w:pPr>
        <w:tabs>
          <w:tab w:val="num" w:pos="3960"/>
        </w:tabs>
        <w:ind w:left="3960" w:hanging="360"/>
      </w:pPr>
      <w:rPr>
        <w:rFonts w:ascii="Wingdings" w:hAnsi="Wingdings" w:hint="default"/>
      </w:rPr>
    </w:lvl>
    <w:lvl w:ilvl="6" w:tplc="3A58D3CE" w:tentative="1">
      <w:start w:val="1"/>
      <w:numFmt w:val="bullet"/>
      <w:lvlText w:val=""/>
      <w:lvlJc w:val="left"/>
      <w:pPr>
        <w:tabs>
          <w:tab w:val="num" w:pos="4680"/>
        </w:tabs>
        <w:ind w:left="4680" w:hanging="360"/>
      </w:pPr>
      <w:rPr>
        <w:rFonts w:ascii="Wingdings" w:hAnsi="Wingdings" w:hint="default"/>
      </w:rPr>
    </w:lvl>
    <w:lvl w:ilvl="7" w:tplc="31029070" w:tentative="1">
      <w:start w:val="1"/>
      <w:numFmt w:val="bullet"/>
      <w:lvlText w:val=""/>
      <w:lvlJc w:val="left"/>
      <w:pPr>
        <w:tabs>
          <w:tab w:val="num" w:pos="5400"/>
        </w:tabs>
        <w:ind w:left="5400" w:hanging="360"/>
      </w:pPr>
      <w:rPr>
        <w:rFonts w:ascii="Wingdings" w:hAnsi="Wingdings" w:hint="default"/>
      </w:rPr>
    </w:lvl>
    <w:lvl w:ilvl="8" w:tplc="AE44D51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777FFA"/>
    <w:multiLevelType w:val="hybridMultilevel"/>
    <w:tmpl w:val="6EC02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F30EBB"/>
    <w:multiLevelType w:val="hybridMultilevel"/>
    <w:tmpl w:val="AB9AC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494C2F"/>
    <w:multiLevelType w:val="hybridMultilevel"/>
    <w:tmpl w:val="CAB8B2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D50633"/>
    <w:multiLevelType w:val="hybridMultilevel"/>
    <w:tmpl w:val="F630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4E73AD"/>
    <w:multiLevelType w:val="hybridMultilevel"/>
    <w:tmpl w:val="0C2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A57A9"/>
    <w:multiLevelType w:val="hybridMultilevel"/>
    <w:tmpl w:val="5218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7F3699"/>
    <w:multiLevelType w:val="hybridMultilevel"/>
    <w:tmpl w:val="7A3E1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114E3"/>
    <w:multiLevelType w:val="hybridMultilevel"/>
    <w:tmpl w:val="D7E2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7108D"/>
    <w:multiLevelType w:val="hybridMultilevel"/>
    <w:tmpl w:val="230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956E0E"/>
    <w:multiLevelType w:val="hybridMultilevel"/>
    <w:tmpl w:val="D164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A0E4F"/>
    <w:multiLevelType w:val="hybridMultilevel"/>
    <w:tmpl w:val="51CC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F40B67"/>
    <w:multiLevelType w:val="hybridMultilevel"/>
    <w:tmpl w:val="C18E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E709D"/>
    <w:multiLevelType w:val="hybridMultilevel"/>
    <w:tmpl w:val="17824BEA"/>
    <w:lvl w:ilvl="0" w:tplc="C48A7E76">
      <w:start w:val="1"/>
      <w:numFmt w:val="bullet"/>
      <w:lvlText w:val=""/>
      <w:lvlJc w:val="left"/>
      <w:pPr>
        <w:tabs>
          <w:tab w:val="num" w:pos="720"/>
        </w:tabs>
        <w:ind w:left="720" w:hanging="360"/>
      </w:pPr>
      <w:rPr>
        <w:rFonts w:ascii="Symbol" w:hAnsi="Symbol" w:hint="default"/>
      </w:rPr>
    </w:lvl>
    <w:lvl w:ilvl="1" w:tplc="D21025F2">
      <w:numFmt w:val="bullet"/>
      <w:lvlText w:val=""/>
      <w:lvlJc w:val="left"/>
      <w:pPr>
        <w:tabs>
          <w:tab w:val="num" w:pos="1440"/>
        </w:tabs>
        <w:ind w:left="1440" w:hanging="360"/>
      </w:pPr>
      <w:rPr>
        <w:rFonts w:ascii="Symbol" w:hAnsi="Symbol" w:hint="default"/>
      </w:rPr>
    </w:lvl>
    <w:lvl w:ilvl="2" w:tplc="1E2CEA1E" w:tentative="1">
      <w:start w:val="1"/>
      <w:numFmt w:val="bullet"/>
      <w:lvlText w:val=""/>
      <w:lvlJc w:val="left"/>
      <w:pPr>
        <w:tabs>
          <w:tab w:val="num" w:pos="2160"/>
        </w:tabs>
        <w:ind w:left="2160" w:hanging="360"/>
      </w:pPr>
      <w:rPr>
        <w:rFonts w:ascii="Symbol" w:hAnsi="Symbol" w:hint="default"/>
      </w:rPr>
    </w:lvl>
    <w:lvl w:ilvl="3" w:tplc="39CCC514" w:tentative="1">
      <w:start w:val="1"/>
      <w:numFmt w:val="bullet"/>
      <w:lvlText w:val=""/>
      <w:lvlJc w:val="left"/>
      <w:pPr>
        <w:tabs>
          <w:tab w:val="num" w:pos="2880"/>
        </w:tabs>
        <w:ind w:left="2880" w:hanging="360"/>
      </w:pPr>
      <w:rPr>
        <w:rFonts w:ascii="Symbol" w:hAnsi="Symbol" w:hint="default"/>
      </w:rPr>
    </w:lvl>
    <w:lvl w:ilvl="4" w:tplc="26D66376" w:tentative="1">
      <w:start w:val="1"/>
      <w:numFmt w:val="bullet"/>
      <w:lvlText w:val=""/>
      <w:lvlJc w:val="left"/>
      <w:pPr>
        <w:tabs>
          <w:tab w:val="num" w:pos="3600"/>
        </w:tabs>
        <w:ind w:left="3600" w:hanging="360"/>
      </w:pPr>
      <w:rPr>
        <w:rFonts w:ascii="Symbol" w:hAnsi="Symbol" w:hint="default"/>
      </w:rPr>
    </w:lvl>
    <w:lvl w:ilvl="5" w:tplc="21229B80" w:tentative="1">
      <w:start w:val="1"/>
      <w:numFmt w:val="bullet"/>
      <w:lvlText w:val=""/>
      <w:lvlJc w:val="left"/>
      <w:pPr>
        <w:tabs>
          <w:tab w:val="num" w:pos="4320"/>
        </w:tabs>
        <w:ind w:left="4320" w:hanging="360"/>
      </w:pPr>
      <w:rPr>
        <w:rFonts w:ascii="Symbol" w:hAnsi="Symbol" w:hint="default"/>
      </w:rPr>
    </w:lvl>
    <w:lvl w:ilvl="6" w:tplc="FC841DB2" w:tentative="1">
      <w:start w:val="1"/>
      <w:numFmt w:val="bullet"/>
      <w:lvlText w:val=""/>
      <w:lvlJc w:val="left"/>
      <w:pPr>
        <w:tabs>
          <w:tab w:val="num" w:pos="5040"/>
        </w:tabs>
        <w:ind w:left="5040" w:hanging="360"/>
      </w:pPr>
      <w:rPr>
        <w:rFonts w:ascii="Symbol" w:hAnsi="Symbol" w:hint="default"/>
      </w:rPr>
    </w:lvl>
    <w:lvl w:ilvl="7" w:tplc="A1A4836A" w:tentative="1">
      <w:start w:val="1"/>
      <w:numFmt w:val="bullet"/>
      <w:lvlText w:val=""/>
      <w:lvlJc w:val="left"/>
      <w:pPr>
        <w:tabs>
          <w:tab w:val="num" w:pos="5760"/>
        </w:tabs>
        <w:ind w:left="5760" w:hanging="360"/>
      </w:pPr>
      <w:rPr>
        <w:rFonts w:ascii="Symbol" w:hAnsi="Symbol" w:hint="default"/>
      </w:rPr>
    </w:lvl>
    <w:lvl w:ilvl="8" w:tplc="D87C9DB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09E7355"/>
    <w:multiLevelType w:val="hybridMultilevel"/>
    <w:tmpl w:val="CC6254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E478A7"/>
    <w:multiLevelType w:val="hybridMultilevel"/>
    <w:tmpl w:val="F314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2206094"/>
    <w:multiLevelType w:val="hybridMultilevel"/>
    <w:tmpl w:val="D5584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3E6A92"/>
    <w:multiLevelType w:val="hybridMultilevel"/>
    <w:tmpl w:val="18D05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776F82C" w:tentative="1">
      <w:start w:val="1"/>
      <w:numFmt w:val="bullet"/>
      <w:lvlText w:val=""/>
      <w:lvlJc w:val="left"/>
      <w:pPr>
        <w:tabs>
          <w:tab w:val="num" w:pos="2160"/>
        </w:tabs>
        <w:ind w:left="2160" w:hanging="360"/>
      </w:pPr>
      <w:rPr>
        <w:rFonts w:ascii="Wingdings" w:hAnsi="Wingdings" w:hint="default"/>
      </w:rPr>
    </w:lvl>
    <w:lvl w:ilvl="3" w:tplc="76341D2C" w:tentative="1">
      <w:start w:val="1"/>
      <w:numFmt w:val="bullet"/>
      <w:lvlText w:val=""/>
      <w:lvlJc w:val="left"/>
      <w:pPr>
        <w:tabs>
          <w:tab w:val="num" w:pos="2880"/>
        </w:tabs>
        <w:ind w:left="2880" w:hanging="360"/>
      </w:pPr>
      <w:rPr>
        <w:rFonts w:ascii="Wingdings" w:hAnsi="Wingdings" w:hint="default"/>
      </w:rPr>
    </w:lvl>
    <w:lvl w:ilvl="4" w:tplc="89367590" w:tentative="1">
      <w:start w:val="1"/>
      <w:numFmt w:val="bullet"/>
      <w:lvlText w:val=""/>
      <w:lvlJc w:val="left"/>
      <w:pPr>
        <w:tabs>
          <w:tab w:val="num" w:pos="3600"/>
        </w:tabs>
        <w:ind w:left="3600" w:hanging="360"/>
      </w:pPr>
      <w:rPr>
        <w:rFonts w:ascii="Wingdings" w:hAnsi="Wingdings" w:hint="default"/>
      </w:rPr>
    </w:lvl>
    <w:lvl w:ilvl="5" w:tplc="9A4CEF18" w:tentative="1">
      <w:start w:val="1"/>
      <w:numFmt w:val="bullet"/>
      <w:lvlText w:val=""/>
      <w:lvlJc w:val="left"/>
      <w:pPr>
        <w:tabs>
          <w:tab w:val="num" w:pos="4320"/>
        </w:tabs>
        <w:ind w:left="4320" w:hanging="360"/>
      </w:pPr>
      <w:rPr>
        <w:rFonts w:ascii="Wingdings" w:hAnsi="Wingdings" w:hint="default"/>
      </w:rPr>
    </w:lvl>
    <w:lvl w:ilvl="6" w:tplc="0B7E31AC" w:tentative="1">
      <w:start w:val="1"/>
      <w:numFmt w:val="bullet"/>
      <w:lvlText w:val=""/>
      <w:lvlJc w:val="left"/>
      <w:pPr>
        <w:tabs>
          <w:tab w:val="num" w:pos="5040"/>
        </w:tabs>
        <w:ind w:left="5040" w:hanging="360"/>
      </w:pPr>
      <w:rPr>
        <w:rFonts w:ascii="Wingdings" w:hAnsi="Wingdings" w:hint="default"/>
      </w:rPr>
    </w:lvl>
    <w:lvl w:ilvl="7" w:tplc="E25C5DEC" w:tentative="1">
      <w:start w:val="1"/>
      <w:numFmt w:val="bullet"/>
      <w:lvlText w:val=""/>
      <w:lvlJc w:val="left"/>
      <w:pPr>
        <w:tabs>
          <w:tab w:val="num" w:pos="5760"/>
        </w:tabs>
        <w:ind w:left="5760" w:hanging="360"/>
      </w:pPr>
      <w:rPr>
        <w:rFonts w:ascii="Wingdings" w:hAnsi="Wingdings" w:hint="default"/>
      </w:rPr>
    </w:lvl>
    <w:lvl w:ilvl="8" w:tplc="8868972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4618A7"/>
    <w:multiLevelType w:val="hybridMultilevel"/>
    <w:tmpl w:val="03EC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00000"/>
    <w:multiLevelType w:val="hybridMultilevel"/>
    <w:tmpl w:val="67E6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80F95"/>
    <w:multiLevelType w:val="hybridMultilevel"/>
    <w:tmpl w:val="E3B8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7F16F9"/>
    <w:multiLevelType w:val="hybridMultilevel"/>
    <w:tmpl w:val="1978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82DF2"/>
    <w:multiLevelType w:val="hybridMultilevel"/>
    <w:tmpl w:val="D356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CA1766"/>
    <w:multiLevelType w:val="hybridMultilevel"/>
    <w:tmpl w:val="C0C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E113E2"/>
    <w:multiLevelType w:val="hybridMultilevel"/>
    <w:tmpl w:val="F10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F944F0"/>
    <w:multiLevelType w:val="hybridMultilevel"/>
    <w:tmpl w:val="C1B0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304E5"/>
    <w:multiLevelType w:val="hybridMultilevel"/>
    <w:tmpl w:val="03309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8E1964"/>
    <w:multiLevelType w:val="hybridMultilevel"/>
    <w:tmpl w:val="8EE20A5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3" w15:restartNumberingAfterBreak="0">
    <w:nsid w:val="67207911"/>
    <w:multiLevelType w:val="hybridMultilevel"/>
    <w:tmpl w:val="5ADC3448"/>
    <w:lvl w:ilvl="0" w:tplc="04090001">
      <w:start w:val="1"/>
      <w:numFmt w:val="bullet"/>
      <w:lvlText w:val=""/>
      <w:lvlJc w:val="left"/>
      <w:pPr>
        <w:tabs>
          <w:tab w:val="num" w:pos="720"/>
        </w:tabs>
        <w:ind w:left="720" w:hanging="360"/>
      </w:pPr>
      <w:rPr>
        <w:rFonts w:ascii="Symbol" w:hAnsi="Symbol" w:hint="default"/>
      </w:rPr>
    </w:lvl>
    <w:lvl w:ilvl="1" w:tplc="1C729696" w:tentative="1">
      <w:start w:val="1"/>
      <w:numFmt w:val="bullet"/>
      <w:lvlText w:val=""/>
      <w:lvlJc w:val="left"/>
      <w:pPr>
        <w:tabs>
          <w:tab w:val="num" w:pos="1440"/>
        </w:tabs>
        <w:ind w:left="1440" w:hanging="360"/>
      </w:pPr>
      <w:rPr>
        <w:rFonts w:ascii="Wingdings" w:hAnsi="Wingdings" w:hint="default"/>
      </w:rPr>
    </w:lvl>
    <w:lvl w:ilvl="2" w:tplc="6854BD52" w:tentative="1">
      <w:start w:val="1"/>
      <w:numFmt w:val="bullet"/>
      <w:lvlText w:val=""/>
      <w:lvlJc w:val="left"/>
      <w:pPr>
        <w:tabs>
          <w:tab w:val="num" w:pos="2160"/>
        </w:tabs>
        <w:ind w:left="2160" w:hanging="360"/>
      </w:pPr>
      <w:rPr>
        <w:rFonts w:ascii="Wingdings" w:hAnsi="Wingdings" w:hint="default"/>
      </w:rPr>
    </w:lvl>
    <w:lvl w:ilvl="3" w:tplc="AC969CF4" w:tentative="1">
      <w:start w:val="1"/>
      <w:numFmt w:val="bullet"/>
      <w:lvlText w:val=""/>
      <w:lvlJc w:val="left"/>
      <w:pPr>
        <w:tabs>
          <w:tab w:val="num" w:pos="2880"/>
        </w:tabs>
        <w:ind w:left="2880" w:hanging="360"/>
      </w:pPr>
      <w:rPr>
        <w:rFonts w:ascii="Wingdings" w:hAnsi="Wingdings" w:hint="default"/>
      </w:rPr>
    </w:lvl>
    <w:lvl w:ilvl="4" w:tplc="B4800B42" w:tentative="1">
      <w:start w:val="1"/>
      <w:numFmt w:val="bullet"/>
      <w:lvlText w:val=""/>
      <w:lvlJc w:val="left"/>
      <w:pPr>
        <w:tabs>
          <w:tab w:val="num" w:pos="3600"/>
        </w:tabs>
        <w:ind w:left="3600" w:hanging="360"/>
      </w:pPr>
      <w:rPr>
        <w:rFonts w:ascii="Wingdings" w:hAnsi="Wingdings" w:hint="default"/>
      </w:rPr>
    </w:lvl>
    <w:lvl w:ilvl="5" w:tplc="6888C9A2" w:tentative="1">
      <w:start w:val="1"/>
      <w:numFmt w:val="bullet"/>
      <w:lvlText w:val=""/>
      <w:lvlJc w:val="left"/>
      <w:pPr>
        <w:tabs>
          <w:tab w:val="num" w:pos="4320"/>
        </w:tabs>
        <w:ind w:left="4320" w:hanging="360"/>
      </w:pPr>
      <w:rPr>
        <w:rFonts w:ascii="Wingdings" w:hAnsi="Wingdings" w:hint="default"/>
      </w:rPr>
    </w:lvl>
    <w:lvl w:ilvl="6" w:tplc="E02A33AE" w:tentative="1">
      <w:start w:val="1"/>
      <w:numFmt w:val="bullet"/>
      <w:lvlText w:val=""/>
      <w:lvlJc w:val="left"/>
      <w:pPr>
        <w:tabs>
          <w:tab w:val="num" w:pos="5040"/>
        </w:tabs>
        <w:ind w:left="5040" w:hanging="360"/>
      </w:pPr>
      <w:rPr>
        <w:rFonts w:ascii="Wingdings" w:hAnsi="Wingdings" w:hint="default"/>
      </w:rPr>
    </w:lvl>
    <w:lvl w:ilvl="7" w:tplc="25582E58" w:tentative="1">
      <w:start w:val="1"/>
      <w:numFmt w:val="bullet"/>
      <w:lvlText w:val=""/>
      <w:lvlJc w:val="left"/>
      <w:pPr>
        <w:tabs>
          <w:tab w:val="num" w:pos="5760"/>
        </w:tabs>
        <w:ind w:left="5760" w:hanging="360"/>
      </w:pPr>
      <w:rPr>
        <w:rFonts w:ascii="Wingdings" w:hAnsi="Wingdings" w:hint="default"/>
      </w:rPr>
    </w:lvl>
    <w:lvl w:ilvl="8" w:tplc="4F34ED0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E55CAB"/>
    <w:multiLevelType w:val="hybridMultilevel"/>
    <w:tmpl w:val="4C84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5B6C06"/>
    <w:multiLevelType w:val="hybridMultilevel"/>
    <w:tmpl w:val="E9A6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FD6629"/>
    <w:multiLevelType w:val="hybridMultilevel"/>
    <w:tmpl w:val="008A1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1B7B3B"/>
    <w:multiLevelType w:val="hybridMultilevel"/>
    <w:tmpl w:val="C32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884422"/>
    <w:multiLevelType w:val="hybridMultilevel"/>
    <w:tmpl w:val="04C8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01E2D"/>
    <w:multiLevelType w:val="hybridMultilevel"/>
    <w:tmpl w:val="9260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396548"/>
    <w:multiLevelType w:val="hybridMultilevel"/>
    <w:tmpl w:val="A854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BC6008"/>
    <w:multiLevelType w:val="hybridMultilevel"/>
    <w:tmpl w:val="3D2AD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B3876F9"/>
    <w:multiLevelType w:val="hybridMultilevel"/>
    <w:tmpl w:val="210E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C81D7F"/>
    <w:multiLevelType w:val="hybridMultilevel"/>
    <w:tmpl w:val="81FC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61"/>
  </w:num>
  <w:num w:numId="4">
    <w:abstractNumId w:val="28"/>
  </w:num>
  <w:num w:numId="5">
    <w:abstractNumId w:val="19"/>
  </w:num>
  <w:num w:numId="6">
    <w:abstractNumId w:val="63"/>
  </w:num>
  <w:num w:numId="7">
    <w:abstractNumId w:val="11"/>
  </w:num>
  <w:num w:numId="8">
    <w:abstractNumId w:val="37"/>
  </w:num>
  <w:num w:numId="9">
    <w:abstractNumId w:val="29"/>
  </w:num>
  <w:num w:numId="10">
    <w:abstractNumId w:val="9"/>
  </w:num>
  <w:num w:numId="11">
    <w:abstractNumId w:val="52"/>
  </w:num>
  <w:num w:numId="12">
    <w:abstractNumId w:val="48"/>
  </w:num>
  <w:num w:numId="13">
    <w:abstractNumId w:val="6"/>
  </w:num>
  <w:num w:numId="14">
    <w:abstractNumId w:val="47"/>
  </w:num>
  <w:num w:numId="15">
    <w:abstractNumId w:val="24"/>
  </w:num>
  <w:num w:numId="16">
    <w:abstractNumId w:val="4"/>
  </w:num>
  <w:num w:numId="17">
    <w:abstractNumId w:val="5"/>
  </w:num>
  <w:num w:numId="18">
    <w:abstractNumId w:val="7"/>
  </w:num>
  <w:num w:numId="19">
    <w:abstractNumId w:val="53"/>
  </w:num>
  <w:num w:numId="20">
    <w:abstractNumId w:val="42"/>
  </w:num>
  <w:num w:numId="21">
    <w:abstractNumId w:val="15"/>
  </w:num>
  <w:num w:numId="22">
    <w:abstractNumId w:val="12"/>
  </w:num>
  <w:num w:numId="23">
    <w:abstractNumId w:val="13"/>
  </w:num>
  <w:num w:numId="24">
    <w:abstractNumId w:val="17"/>
  </w:num>
  <w:num w:numId="25">
    <w:abstractNumId w:val="25"/>
  </w:num>
  <w:num w:numId="26">
    <w:abstractNumId w:val="23"/>
  </w:num>
  <w:num w:numId="27">
    <w:abstractNumId w:val="20"/>
  </w:num>
  <w:num w:numId="28">
    <w:abstractNumId w:val="44"/>
  </w:num>
  <w:num w:numId="29">
    <w:abstractNumId w:val="34"/>
  </w:num>
  <w:num w:numId="30">
    <w:abstractNumId w:val="30"/>
  </w:num>
  <w:num w:numId="31">
    <w:abstractNumId w:val="31"/>
  </w:num>
  <w:num w:numId="32">
    <w:abstractNumId w:val="60"/>
  </w:num>
  <w:num w:numId="33">
    <w:abstractNumId w:val="32"/>
  </w:num>
  <w:num w:numId="34">
    <w:abstractNumId w:val="3"/>
  </w:num>
  <w:num w:numId="35">
    <w:abstractNumId w:val="10"/>
  </w:num>
  <w:num w:numId="36">
    <w:abstractNumId w:val="58"/>
  </w:num>
  <w:num w:numId="37">
    <w:abstractNumId w:val="0"/>
  </w:num>
  <w:num w:numId="38">
    <w:abstractNumId w:val="49"/>
  </w:num>
  <w:num w:numId="39">
    <w:abstractNumId w:val="55"/>
  </w:num>
  <w:num w:numId="40">
    <w:abstractNumId w:val="1"/>
  </w:num>
  <w:num w:numId="41">
    <w:abstractNumId w:val="45"/>
  </w:num>
  <w:num w:numId="42">
    <w:abstractNumId w:val="59"/>
  </w:num>
  <w:num w:numId="43">
    <w:abstractNumId w:val="39"/>
  </w:num>
  <w:num w:numId="44">
    <w:abstractNumId w:val="35"/>
  </w:num>
  <w:num w:numId="45">
    <w:abstractNumId w:val="22"/>
  </w:num>
  <w:num w:numId="46">
    <w:abstractNumId w:val="40"/>
  </w:num>
  <w:num w:numId="47">
    <w:abstractNumId w:val="38"/>
  </w:num>
  <w:num w:numId="48">
    <w:abstractNumId w:val="14"/>
  </w:num>
  <w:num w:numId="49">
    <w:abstractNumId w:val="18"/>
  </w:num>
  <w:num w:numId="50">
    <w:abstractNumId w:val="51"/>
  </w:num>
  <w:num w:numId="51">
    <w:abstractNumId w:val="27"/>
  </w:num>
  <w:num w:numId="52">
    <w:abstractNumId w:val="43"/>
  </w:num>
  <w:num w:numId="53">
    <w:abstractNumId w:val="54"/>
  </w:num>
  <w:num w:numId="54">
    <w:abstractNumId w:val="46"/>
  </w:num>
  <w:num w:numId="55">
    <w:abstractNumId w:val="16"/>
  </w:num>
  <w:num w:numId="56">
    <w:abstractNumId w:val="33"/>
  </w:num>
  <w:num w:numId="57">
    <w:abstractNumId w:val="50"/>
  </w:num>
  <w:num w:numId="58">
    <w:abstractNumId w:val="57"/>
  </w:num>
  <w:num w:numId="59">
    <w:abstractNumId w:val="21"/>
  </w:num>
  <w:num w:numId="60">
    <w:abstractNumId w:val="56"/>
  </w:num>
  <w:num w:numId="61">
    <w:abstractNumId w:val="41"/>
  </w:num>
  <w:num w:numId="62">
    <w:abstractNumId w:val="62"/>
  </w:num>
  <w:num w:numId="63">
    <w:abstractNumId w:val="36"/>
  </w:num>
  <w:num w:numId="64">
    <w:abstractNumId w:val="2"/>
  </w:num>
  <w:num w:numId="65">
    <w:abstractNumId w:val="59"/>
    <w:lvlOverride w:ilvl="0"/>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076"/>
    <w:rsid w:val="000005AF"/>
    <w:rsid w:val="00001843"/>
    <w:rsid w:val="00002B82"/>
    <w:rsid w:val="0000479C"/>
    <w:rsid w:val="00005508"/>
    <w:rsid w:val="00005CFB"/>
    <w:rsid w:val="00006501"/>
    <w:rsid w:val="00011A42"/>
    <w:rsid w:val="00013D29"/>
    <w:rsid w:val="0001467F"/>
    <w:rsid w:val="00014EA3"/>
    <w:rsid w:val="00017080"/>
    <w:rsid w:val="000173C3"/>
    <w:rsid w:val="00020617"/>
    <w:rsid w:val="00020F39"/>
    <w:rsid w:val="00021E23"/>
    <w:rsid w:val="00022840"/>
    <w:rsid w:val="00023124"/>
    <w:rsid w:val="0002384B"/>
    <w:rsid w:val="00023A2A"/>
    <w:rsid w:val="00023FCB"/>
    <w:rsid w:val="0002563C"/>
    <w:rsid w:val="000269BE"/>
    <w:rsid w:val="00031ECA"/>
    <w:rsid w:val="00031FD8"/>
    <w:rsid w:val="00032A68"/>
    <w:rsid w:val="00033EE2"/>
    <w:rsid w:val="00042860"/>
    <w:rsid w:val="00042B4A"/>
    <w:rsid w:val="000432A4"/>
    <w:rsid w:val="0004351E"/>
    <w:rsid w:val="00043D02"/>
    <w:rsid w:val="0004617F"/>
    <w:rsid w:val="000461CF"/>
    <w:rsid w:val="0004643B"/>
    <w:rsid w:val="00046863"/>
    <w:rsid w:val="00047550"/>
    <w:rsid w:val="00050302"/>
    <w:rsid w:val="00050B21"/>
    <w:rsid w:val="00057CAB"/>
    <w:rsid w:val="0006039D"/>
    <w:rsid w:val="000621AD"/>
    <w:rsid w:val="00065C98"/>
    <w:rsid w:val="0006605C"/>
    <w:rsid w:val="000706D1"/>
    <w:rsid w:val="000726EC"/>
    <w:rsid w:val="00072F04"/>
    <w:rsid w:val="00073092"/>
    <w:rsid w:val="00073CDD"/>
    <w:rsid w:val="00075159"/>
    <w:rsid w:val="00080BAE"/>
    <w:rsid w:val="0008694B"/>
    <w:rsid w:val="00086D09"/>
    <w:rsid w:val="0008752D"/>
    <w:rsid w:val="00087B2E"/>
    <w:rsid w:val="00090BCA"/>
    <w:rsid w:val="000910BF"/>
    <w:rsid w:val="000961C1"/>
    <w:rsid w:val="000A0B98"/>
    <w:rsid w:val="000A1148"/>
    <w:rsid w:val="000A2215"/>
    <w:rsid w:val="000A28BC"/>
    <w:rsid w:val="000A370D"/>
    <w:rsid w:val="000A3F54"/>
    <w:rsid w:val="000A523A"/>
    <w:rsid w:val="000A6189"/>
    <w:rsid w:val="000A7098"/>
    <w:rsid w:val="000A727D"/>
    <w:rsid w:val="000A7B54"/>
    <w:rsid w:val="000B164E"/>
    <w:rsid w:val="000B1BC5"/>
    <w:rsid w:val="000B280E"/>
    <w:rsid w:val="000B4C8B"/>
    <w:rsid w:val="000B62F4"/>
    <w:rsid w:val="000C087A"/>
    <w:rsid w:val="000C09C7"/>
    <w:rsid w:val="000C13A7"/>
    <w:rsid w:val="000C1CDC"/>
    <w:rsid w:val="000C2A82"/>
    <w:rsid w:val="000C2DAD"/>
    <w:rsid w:val="000C4BF4"/>
    <w:rsid w:val="000C4F55"/>
    <w:rsid w:val="000C6591"/>
    <w:rsid w:val="000C6EB8"/>
    <w:rsid w:val="000D005A"/>
    <w:rsid w:val="000D18A1"/>
    <w:rsid w:val="000D2EB9"/>
    <w:rsid w:val="000D4B03"/>
    <w:rsid w:val="000E0EDB"/>
    <w:rsid w:val="000E3940"/>
    <w:rsid w:val="000E3EEE"/>
    <w:rsid w:val="000E5FCB"/>
    <w:rsid w:val="000F5DB4"/>
    <w:rsid w:val="00101A0E"/>
    <w:rsid w:val="00104976"/>
    <w:rsid w:val="00105026"/>
    <w:rsid w:val="001057F1"/>
    <w:rsid w:val="001062B6"/>
    <w:rsid w:val="0010634C"/>
    <w:rsid w:val="00111422"/>
    <w:rsid w:val="00111D34"/>
    <w:rsid w:val="001122F7"/>
    <w:rsid w:val="00115292"/>
    <w:rsid w:val="00115DDE"/>
    <w:rsid w:val="00116CD2"/>
    <w:rsid w:val="0012006A"/>
    <w:rsid w:val="001204F5"/>
    <w:rsid w:val="00122375"/>
    <w:rsid w:val="00122D07"/>
    <w:rsid w:val="00124536"/>
    <w:rsid w:val="00131B27"/>
    <w:rsid w:val="00134C05"/>
    <w:rsid w:val="00136AB4"/>
    <w:rsid w:val="00137356"/>
    <w:rsid w:val="00144CB3"/>
    <w:rsid w:val="00144CE4"/>
    <w:rsid w:val="00144E2C"/>
    <w:rsid w:val="001478E7"/>
    <w:rsid w:val="00152C97"/>
    <w:rsid w:val="001530F3"/>
    <w:rsid w:val="00153B58"/>
    <w:rsid w:val="00155A53"/>
    <w:rsid w:val="00161C9C"/>
    <w:rsid w:val="00162498"/>
    <w:rsid w:val="00163DE8"/>
    <w:rsid w:val="0016672A"/>
    <w:rsid w:val="00174A16"/>
    <w:rsid w:val="00174A6D"/>
    <w:rsid w:val="0017645D"/>
    <w:rsid w:val="00180DCA"/>
    <w:rsid w:val="00180E8F"/>
    <w:rsid w:val="0018117C"/>
    <w:rsid w:val="00182166"/>
    <w:rsid w:val="00182514"/>
    <w:rsid w:val="00183084"/>
    <w:rsid w:val="001840B4"/>
    <w:rsid w:val="00185E53"/>
    <w:rsid w:val="00186A3E"/>
    <w:rsid w:val="0018771A"/>
    <w:rsid w:val="00191D98"/>
    <w:rsid w:val="001936FB"/>
    <w:rsid w:val="00193C17"/>
    <w:rsid w:val="00195A97"/>
    <w:rsid w:val="00196474"/>
    <w:rsid w:val="0019754A"/>
    <w:rsid w:val="0019795F"/>
    <w:rsid w:val="00197D54"/>
    <w:rsid w:val="001A307A"/>
    <w:rsid w:val="001A5F85"/>
    <w:rsid w:val="001A6940"/>
    <w:rsid w:val="001A6FBF"/>
    <w:rsid w:val="001A76B9"/>
    <w:rsid w:val="001B0382"/>
    <w:rsid w:val="001B091F"/>
    <w:rsid w:val="001B5768"/>
    <w:rsid w:val="001C0F9C"/>
    <w:rsid w:val="001C2211"/>
    <w:rsid w:val="001C3E50"/>
    <w:rsid w:val="001C4AAF"/>
    <w:rsid w:val="001C5DC1"/>
    <w:rsid w:val="001C6EF6"/>
    <w:rsid w:val="001D4AB2"/>
    <w:rsid w:val="001D4C3D"/>
    <w:rsid w:val="001D69BE"/>
    <w:rsid w:val="001D6B32"/>
    <w:rsid w:val="001D7F76"/>
    <w:rsid w:val="001E0B65"/>
    <w:rsid w:val="001E350A"/>
    <w:rsid w:val="001E4346"/>
    <w:rsid w:val="001E49C2"/>
    <w:rsid w:val="001E5AC6"/>
    <w:rsid w:val="001E62AC"/>
    <w:rsid w:val="001E7698"/>
    <w:rsid w:val="001F029C"/>
    <w:rsid w:val="001F09C5"/>
    <w:rsid w:val="001F1727"/>
    <w:rsid w:val="001F1E33"/>
    <w:rsid w:val="00200A55"/>
    <w:rsid w:val="00201C76"/>
    <w:rsid w:val="00206199"/>
    <w:rsid w:val="00206405"/>
    <w:rsid w:val="00207A75"/>
    <w:rsid w:val="00213167"/>
    <w:rsid w:val="00214B38"/>
    <w:rsid w:val="00214B4F"/>
    <w:rsid w:val="00215F5E"/>
    <w:rsid w:val="002213B4"/>
    <w:rsid w:val="0022153A"/>
    <w:rsid w:val="002216E9"/>
    <w:rsid w:val="0022265E"/>
    <w:rsid w:val="0022705B"/>
    <w:rsid w:val="002272F9"/>
    <w:rsid w:val="00230BD9"/>
    <w:rsid w:val="00230DFA"/>
    <w:rsid w:val="00231A7A"/>
    <w:rsid w:val="00231EB1"/>
    <w:rsid w:val="00237E77"/>
    <w:rsid w:val="00240A46"/>
    <w:rsid w:val="00243937"/>
    <w:rsid w:val="00246F62"/>
    <w:rsid w:val="00247619"/>
    <w:rsid w:val="00247724"/>
    <w:rsid w:val="00253CAA"/>
    <w:rsid w:val="002552E8"/>
    <w:rsid w:val="002557B9"/>
    <w:rsid w:val="00255B13"/>
    <w:rsid w:val="0026129F"/>
    <w:rsid w:val="00263B31"/>
    <w:rsid w:val="00277272"/>
    <w:rsid w:val="00281468"/>
    <w:rsid w:val="0028381A"/>
    <w:rsid w:val="002844D5"/>
    <w:rsid w:val="002873BD"/>
    <w:rsid w:val="00290A13"/>
    <w:rsid w:val="002914EE"/>
    <w:rsid w:val="002939BA"/>
    <w:rsid w:val="002951C5"/>
    <w:rsid w:val="00295877"/>
    <w:rsid w:val="00295BA1"/>
    <w:rsid w:val="002A17CF"/>
    <w:rsid w:val="002A310B"/>
    <w:rsid w:val="002A329B"/>
    <w:rsid w:val="002A4343"/>
    <w:rsid w:val="002A7CF9"/>
    <w:rsid w:val="002B1936"/>
    <w:rsid w:val="002B4CC9"/>
    <w:rsid w:val="002B6FDD"/>
    <w:rsid w:val="002B7720"/>
    <w:rsid w:val="002B7AB7"/>
    <w:rsid w:val="002B7CD0"/>
    <w:rsid w:val="002B7F3C"/>
    <w:rsid w:val="002C14B5"/>
    <w:rsid w:val="002C321D"/>
    <w:rsid w:val="002C4583"/>
    <w:rsid w:val="002C5DE9"/>
    <w:rsid w:val="002C73B8"/>
    <w:rsid w:val="002C7958"/>
    <w:rsid w:val="002D1053"/>
    <w:rsid w:val="002D18DD"/>
    <w:rsid w:val="002D1FA4"/>
    <w:rsid w:val="002D4213"/>
    <w:rsid w:val="002D55D7"/>
    <w:rsid w:val="002D5D0A"/>
    <w:rsid w:val="002D645A"/>
    <w:rsid w:val="002D6BFE"/>
    <w:rsid w:val="002E1CC8"/>
    <w:rsid w:val="002E1D37"/>
    <w:rsid w:val="002E4996"/>
    <w:rsid w:val="002E5EBE"/>
    <w:rsid w:val="002E73CF"/>
    <w:rsid w:val="002E7AD2"/>
    <w:rsid w:val="002F2998"/>
    <w:rsid w:val="002F4A98"/>
    <w:rsid w:val="002F560C"/>
    <w:rsid w:val="002F6FD1"/>
    <w:rsid w:val="003000A1"/>
    <w:rsid w:val="00302B33"/>
    <w:rsid w:val="003045B5"/>
    <w:rsid w:val="00304B0C"/>
    <w:rsid w:val="00305B93"/>
    <w:rsid w:val="00306E1C"/>
    <w:rsid w:val="00306E7D"/>
    <w:rsid w:val="00306F12"/>
    <w:rsid w:val="003070B9"/>
    <w:rsid w:val="00312A53"/>
    <w:rsid w:val="0031451F"/>
    <w:rsid w:val="00315DE4"/>
    <w:rsid w:val="003166A1"/>
    <w:rsid w:val="00316FD5"/>
    <w:rsid w:val="00317E0D"/>
    <w:rsid w:val="00320CC6"/>
    <w:rsid w:val="003213A2"/>
    <w:rsid w:val="00321741"/>
    <w:rsid w:val="0033006A"/>
    <w:rsid w:val="00330E45"/>
    <w:rsid w:val="00331EB6"/>
    <w:rsid w:val="003326B5"/>
    <w:rsid w:val="00332A16"/>
    <w:rsid w:val="00332E37"/>
    <w:rsid w:val="00334012"/>
    <w:rsid w:val="00336406"/>
    <w:rsid w:val="003429F5"/>
    <w:rsid w:val="00343DA0"/>
    <w:rsid w:val="003440BD"/>
    <w:rsid w:val="00344A9E"/>
    <w:rsid w:val="00345D0A"/>
    <w:rsid w:val="00346005"/>
    <w:rsid w:val="00353C68"/>
    <w:rsid w:val="003541B0"/>
    <w:rsid w:val="003549EF"/>
    <w:rsid w:val="00356216"/>
    <w:rsid w:val="00357215"/>
    <w:rsid w:val="003576D8"/>
    <w:rsid w:val="00357878"/>
    <w:rsid w:val="00357AF6"/>
    <w:rsid w:val="00361409"/>
    <w:rsid w:val="00361586"/>
    <w:rsid w:val="0036669B"/>
    <w:rsid w:val="00367CA2"/>
    <w:rsid w:val="0037021A"/>
    <w:rsid w:val="0037041D"/>
    <w:rsid w:val="00371A20"/>
    <w:rsid w:val="00374BF3"/>
    <w:rsid w:val="003753BA"/>
    <w:rsid w:val="003777CD"/>
    <w:rsid w:val="00380286"/>
    <w:rsid w:val="00381AF6"/>
    <w:rsid w:val="00381D52"/>
    <w:rsid w:val="003861B4"/>
    <w:rsid w:val="003864D7"/>
    <w:rsid w:val="003874B2"/>
    <w:rsid w:val="00387ED8"/>
    <w:rsid w:val="00390FBB"/>
    <w:rsid w:val="00390FCF"/>
    <w:rsid w:val="003940FE"/>
    <w:rsid w:val="0039754F"/>
    <w:rsid w:val="003A49BE"/>
    <w:rsid w:val="003A4DD4"/>
    <w:rsid w:val="003B1867"/>
    <w:rsid w:val="003B21F3"/>
    <w:rsid w:val="003B47F6"/>
    <w:rsid w:val="003B6B52"/>
    <w:rsid w:val="003C00B4"/>
    <w:rsid w:val="003C20DC"/>
    <w:rsid w:val="003C4A27"/>
    <w:rsid w:val="003C63F2"/>
    <w:rsid w:val="003C7777"/>
    <w:rsid w:val="003C787F"/>
    <w:rsid w:val="003D1963"/>
    <w:rsid w:val="003D1BEE"/>
    <w:rsid w:val="003D32BE"/>
    <w:rsid w:val="003D5216"/>
    <w:rsid w:val="003D788C"/>
    <w:rsid w:val="003D7B23"/>
    <w:rsid w:val="003E0D01"/>
    <w:rsid w:val="003E1773"/>
    <w:rsid w:val="003E1EDC"/>
    <w:rsid w:val="003E330D"/>
    <w:rsid w:val="003E362B"/>
    <w:rsid w:val="003E5785"/>
    <w:rsid w:val="003E5C5C"/>
    <w:rsid w:val="003F3353"/>
    <w:rsid w:val="003F418E"/>
    <w:rsid w:val="003F4D38"/>
    <w:rsid w:val="003F76CA"/>
    <w:rsid w:val="00401E39"/>
    <w:rsid w:val="0040374C"/>
    <w:rsid w:val="0040708A"/>
    <w:rsid w:val="00410D09"/>
    <w:rsid w:val="00413865"/>
    <w:rsid w:val="00414222"/>
    <w:rsid w:val="0041567D"/>
    <w:rsid w:val="00416059"/>
    <w:rsid w:val="004173CC"/>
    <w:rsid w:val="00417E09"/>
    <w:rsid w:val="00420F9B"/>
    <w:rsid w:val="00421A8A"/>
    <w:rsid w:val="00430CAF"/>
    <w:rsid w:val="0043110C"/>
    <w:rsid w:val="00437053"/>
    <w:rsid w:val="0044082E"/>
    <w:rsid w:val="00443183"/>
    <w:rsid w:val="0044388A"/>
    <w:rsid w:val="0044416D"/>
    <w:rsid w:val="00444F8B"/>
    <w:rsid w:val="0045057F"/>
    <w:rsid w:val="00451FA2"/>
    <w:rsid w:val="0045250E"/>
    <w:rsid w:val="00452BE0"/>
    <w:rsid w:val="00452C51"/>
    <w:rsid w:val="004549FF"/>
    <w:rsid w:val="00455103"/>
    <w:rsid w:val="0045592D"/>
    <w:rsid w:val="0046451F"/>
    <w:rsid w:val="00465AB6"/>
    <w:rsid w:val="00465EAB"/>
    <w:rsid w:val="00466F50"/>
    <w:rsid w:val="0047215C"/>
    <w:rsid w:val="0048068C"/>
    <w:rsid w:val="00480E48"/>
    <w:rsid w:val="0048379A"/>
    <w:rsid w:val="0048518A"/>
    <w:rsid w:val="00486FF6"/>
    <w:rsid w:val="004953E6"/>
    <w:rsid w:val="00495EF4"/>
    <w:rsid w:val="00496850"/>
    <w:rsid w:val="00496CC9"/>
    <w:rsid w:val="00497774"/>
    <w:rsid w:val="00497C18"/>
    <w:rsid w:val="004A08AD"/>
    <w:rsid w:val="004A1605"/>
    <w:rsid w:val="004A33F6"/>
    <w:rsid w:val="004A3706"/>
    <w:rsid w:val="004A37F3"/>
    <w:rsid w:val="004A3C9A"/>
    <w:rsid w:val="004A4284"/>
    <w:rsid w:val="004A62E9"/>
    <w:rsid w:val="004A646C"/>
    <w:rsid w:val="004B2491"/>
    <w:rsid w:val="004B3F05"/>
    <w:rsid w:val="004D0159"/>
    <w:rsid w:val="004D049A"/>
    <w:rsid w:val="004D0D03"/>
    <w:rsid w:val="004D2B2C"/>
    <w:rsid w:val="004D65E8"/>
    <w:rsid w:val="004E55FA"/>
    <w:rsid w:val="004E5A9D"/>
    <w:rsid w:val="004F3298"/>
    <w:rsid w:val="004F3659"/>
    <w:rsid w:val="004F52AA"/>
    <w:rsid w:val="004F6A35"/>
    <w:rsid w:val="004F75DA"/>
    <w:rsid w:val="00500BA5"/>
    <w:rsid w:val="00501E25"/>
    <w:rsid w:val="00505FF6"/>
    <w:rsid w:val="0050638E"/>
    <w:rsid w:val="00510492"/>
    <w:rsid w:val="005138CD"/>
    <w:rsid w:val="00513AAD"/>
    <w:rsid w:val="00514295"/>
    <w:rsid w:val="00520254"/>
    <w:rsid w:val="0052173B"/>
    <w:rsid w:val="005218E2"/>
    <w:rsid w:val="00522061"/>
    <w:rsid w:val="00523FE8"/>
    <w:rsid w:val="0052475B"/>
    <w:rsid w:val="00525E97"/>
    <w:rsid w:val="00526C44"/>
    <w:rsid w:val="00527476"/>
    <w:rsid w:val="00531E3D"/>
    <w:rsid w:val="00532FBA"/>
    <w:rsid w:val="005349CC"/>
    <w:rsid w:val="00535242"/>
    <w:rsid w:val="0054004E"/>
    <w:rsid w:val="005414C6"/>
    <w:rsid w:val="00544089"/>
    <w:rsid w:val="005573D5"/>
    <w:rsid w:val="00562052"/>
    <w:rsid w:val="005625BF"/>
    <w:rsid w:val="005629BB"/>
    <w:rsid w:val="005633DD"/>
    <w:rsid w:val="005662AD"/>
    <w:rsid w:val="00570259"/>
    <w:rsid w:val="00574B6C"/>
    <w:rsid w:val="005751B0"/>
    <w:rsid w:val="00575D38"/>
    <w:rsid w:val="00576AFD"/>
    <w:rsid w:val="005777CF"/>
    <w:rsid w:val="00577BF9"/>
    <w:rsid w:val="00577F49"/>
    <w:rsid w:val="005818D4"/>
    <w:rsid w:val="00581E76"/>
    <w:rsid w:val="00585056"/>
    <w:rsid w:val="005857D2"/>
    <w:rsid w:val="00585BF5"/>
    <w:rsid w:val="005866D9"/>
    <w:rsid w:val="00586D4A"/>
    <w:rsid w:val="00586F2E"/>
    <w:rsid w:val="0058789D"/>
    <w:rsid w:val="00587F0B"/>
    <w:rsid w:val="00591978"/>
    <w:rsid w:val="005943AB"/>
    <w:rsid w:val="005978B9"/>
    <w:rsid w:val="005A1CAD"/>
    <w:rsid w:val="005A2F37"/>
    <w:rsid w:val="005A3181"/>
    <w:rsid w:val="005A349E"/>
    <w:rsid w:val="005A62F1"/>
    <w:rsid w:val="005B4908"/>
    <w:rsid w:val="005B5379"/>
    <w:rsid w:val="005B6060"/>
    <w:rsid w:val="005B6827"/>
    <w:rsid w:val="005B77A6"/>
    <w:rsid w:val="005C0C1F"/>
    <w:rsid w:val="005C1FB9"/>
    <w:rsid w:val="005C3342"/>
    <w:rsid w:val="005C6641"/>
    <w:rsid w:val="005C7C12"/>
    <w:rsid w:val="005D2BAD"/>
    <w:rsid w:val="005D61EC"/>
    <w:rsid w:val="005E14C4"/>
    <w:rsid w:val="005E38AC"/>
    <w:rsid w:val="005E3E6C"/>
    <w:rsid w:val="005E404E"/>
    <w:rsid w:val="005E612F"/>
    <w:rsid w:val="005E7AD1"/>
    <w:rsid w:val="005F0798"/>
    <w:rsid w:val="005F0E89"/>
    <w:rsid w:val="005F1368"/>
    <w:rsid w:val="005F2D14"/>
    <w:rsid w:val="005F34B5"/>
    <w:rsid w:val="005F4253"/>
    <w:rsid w:val="005F5012"/>
    <w:rsid w:val="0060020A"/>
    <w:rsid w:val="0060027D"/>
    <w:rsid w:val="00604093"/>
    <w:rsid w:val="0060419C"/>
    <w:rsid w:val="00605DA1"/>
    <w:rsid w:val="00606A18"/>
    <w:rsid w:val="00612EC0"/>
    <w:rsid w:val="00613A56"/>
    <w:rsid w:val="00614266"/>
    <w:rsid w:val="00614419"/>
    <w:rsid w:val="006173D7"/>
    <w:rsid w:val="00617439"/>
    <w:rsid w:val="00621053"/>
    <w:rsid w:val="00622205"/>
    <w:rsid w:val="00623853"/>
    <w:rsid w:val="00624FC1"/>
    <w:rsid w:val="00626001"/>
    <w:rsid w:val="00626AA6"/>
    <w:rsid w:val="0063557B"/>
    <w:rsid w:val="006367A6"/>
    <w:rsid w:val="00636ED2"/>
    <w:rsid w:val="0064035E"/>
    <w:rsid w:val="00641BA4"/>
    <w:rsid w:val="00641C4F"/>
    <w:rsid w:val="00650608"/>
    <w:rsid w:val="006525D6"/>
    <w:rsid w:val="00653184"/>
    <w:rsid w:val="0065379C"/>
    <w:rsid w:val="0065483D"/>
    <w:rsid w:val="00654CFF"/>
    <w:rsid w:val="00655571"/>
    <w:rsid w:val="00655CE7"/>
    <w:rsid w:val="00656289"/>
    <w:rsid w:val="00656298"/>
    <w:rsid w:val="00656DF4"/>
    <w:rsid w:val="006604EF"/>
    <w:rsid w:val="00662E10"/>
    <w:rsid w:val="00663C10"/>
    <w:rsid w:val="00663F8B"/>
    <w:rsid w:val="0066638D"/>
    <w:rsid w:val="006667BE"/>
    <w:rsid w:val="006707B5"/>
    <w:rsid w:val="00676155"/>
    <w:rsid w:val="00676EDD"/>
    <w:rsid w:val="0067745F"/>
    <w:rsid w:val="0068106F"/>
    <w:rsid w:val="006812E1"/>
    <w:rsid w:val="00682EC4"/>
    <w:rsid w:val="0068303B"/>
    <w:rsid w:val="006835DA"/>
    <w:rsid w:val="0068663F"/>
    <w:rsid w:val="00687902"/>
    <w:rsid w:val="00690F57"/>
    <w:rsid w:val="006962B3"/>
    <w:rsid w:val="006973FE"/>
    <w:rsid w:val="006A1C09"/>
    <w:rsid w:val="006A2507"/>
    <w:rsid w:val="006A5517"/>
    <w:rsid w:val="006B23C4"/>
    <w:rsid w:val="006B33D8"/>
    <w:rsid w:val="006B495B"/>
    <w:rsid w:val="006B4ED9"/>
    <w:rsid w:val="006B644F"/>
    <w:rsid w:val="006B7BC4"/>
    <w:rsid w:val="006C1AA9"/>
    <w:rsid w:val="006C385B"/>
    <w:rsid w:val="006C589B"/>
    <w:rsid w:val="006D1E60"/>
    <w:rsid w:val="006D3C68"/>
    <w:rsid w:val="006D66BC"/>
    <w:rsid w:val="006E1CA9"/>
    <w:rsid w:val="006E2EFE"/>
    <w:rsid w:val="006E3CE8"/>
    <w:rsid w:val="006E45D2"/>
    <w:rsid w:val="006E5459"/>
    <w:rsid w:val="006F021F"/>
    <w:rsid w:val="006F2AAF"/>
    <w:rsid w:val="006F43D5"/>
    <w:rsid w:val="006F516F"/>
    <w:rsid w:val="006F6328"/>
    <w:rsid w:val="006F711B"/>
    <w:rsid w:val="006F726F"/>
    <w:rsid w:val="006F796E"/>
    <w:rsid w:val="0070060D"/>
    <w:rsid w:val="00701043"/>
    <w:rsid w:val="0070318A"/>
    <w:rsid w:val="007053A0"/>
    <w:rsid w:val="007062D2"/>
    <w:rsid w:val="00707066"/>
    <w:rsid w:val="00710FD6"/>
    <w:rsid w:val="007149F3"/>
    <w:rsid w:val="00716D79"/>
    <w:rsid w:val="00722F13"/>
    <w:rsid w:val="0072613C"/>
    <w:rsid w:val="00727A56"/>
    <w:rsid w:val="007306D2"/>
    <w:rsid w:val="00730707"/>
    <w:rsid w:val="00731C08"/>
    <w:rsid w:val="00733AB0"/>
    <w:rsid w:val="0073756A"/>
    <w:rsid w:val="00740521"/>
    <w:rsid w:val="007470F7"/>
    <w:rsid w:val="0075063E"/>
    <w:rsid w:val="00753837"/>
    <w:rsid w:val="00753BB2"/>
    <w:rsid w:val="007549C3"/>
    <w:rsid w:val="00760B4B"/>
    <w:rsid w:val="00761325"/>
    <w:rsid w:val="00764CB8"/>
    <w:rsid w:val="00766275"/>
    <w:rsid w:val="00767326"/>
    <w:rsid w:val="00767423"/>
    <w:rsid w:val="007700B5"/>
    <w:rsid w:val="0077151C"/>
    <w:rsid w:val="00773CDF"/>
    <w:rsid w:val="00777476"/>
    <w:rsid w:val="00777CC6"/>
    <w:rsid w:val="00780D4C"/>
    <w:rsid w:val="00781E0F"/>
    <w:rsid w:val="00781F68"/>
    <w:rsid w:val="007827C5"/>
    <w:rsid w:val="0078392D"/>
    <w:rsid w:val="00784070"/>
    <w:rsid w:val="007870D5"/>
    <w:rsid w:val="00791AAF"/>
    <w:rsid w:val="00792960"/>
    <w:rsid w:val="00793ADA"/>
    <w:rsid w:val="007A0903"/>
    <w:rsid w:val="007A39B6"/>
    <w:rsid w:val="007A3D01"/>
    <w:rsid w:val="007A3D9F"/>
    <w:rsid w:val="007A46AF"/>
    <w:rsid w:val="007B18C4"/>
    <w:rsid w:val="007B2A8A"/>
    <w:rsid w:val="007B4245"/>
    <w:rsid w:val="007C37F1"/>
    <w:rsid w:val="007C5454"/>
    <w:rsid w:val="007C65EF"/>
    <w:rsid w:val="007C6EF6"/>
    <w:rsid w:val="007C7ADF"/>
    <w:rsid w:val="007D084A"/>
    <w:rsid w:val="007D1395"/>
    <w:rsid w:val="007D2BDC"/>
    <w:rsid w:val="007D332A"/>
    <w:rsid w:val="007D4EF6"/>
    <w:rsid w:val="007D5540"/>
    <w:rsid w:val="007D5AB8"/>
    <w:rsid w:val="007D6A24"/>
    <w:rsid w:val="007D6AAB"/>
    <w:rsid w:val="007E288D"/>
    <w:rsid w:val="007E406B"/>
    <w:rsid w:val="007E5B84"/>
    <w:rsid w:val="007E6CD5"/>
    <w:rsid w:val="007F1BF6"/>
    <w:rsid w:val="007F2C63"/>
    <w:rsid w:val="007F36E4"/>
    <w:rsid w:val="007F372D"/>
    <w:rsid w:val="007F3817"/>
    <w:rsid w:val="007F41C5"/>
    <w:rsid w:val="007F5B85"/>
    <w:rsid w:val="007F7952"/>
    <w:rsid w:val="008034C2"/>
    <w:rsid w:val="00804DD2"/>
    <w:rsid w:val="00807F34"/>
    <w:rsid w:val="00810872"/>
    <w:rsid w:val="00810919"/>
    <w:rsid w:val="00810F62"/>
    <w:rsid w:val="00813222"/>
    <w:rsid w:val="008145B4"/>
    <w:rsid w:val="00815EA4"/>
    <w:rsid w:val="00816084"/>
    <w:rsid w:val="008162EF"/>
    <w:rsid w:val="00816B5F"/>
    <w:rsid w:val="00817850"/>
    <w:rsid w:val="00820348"/>
    <w:rsid w:val="008217E0"/>
    <w:rsid w:val="008224FD"/>
    <w:rsid w:val="008241D6"/>
    <w:rsid w:val="00824713"/>
    <w:rsid w:val="00825E15"/>
    <w:rsid w:val="008265B2"/>
    <w:rsid w:val="00826EE8"/>
    <w:rsid w:val="00830AF0"/>
    <w:rsid w:val="00830FE9"/>
    <w:rsid w:val="00831F93"/>
    <w:rsid w:val="0083268F"/>
    <w:rsid w:val="00834A75"/>
    <w:rsid w:val="0083510A"/>
    <w:rsid w:val="00836494"/>
    <w:rsid w:val="00837144"/>
    <w:rsid w:val="00837C40"/>
    <w:rsid w:val="008411F1"/>
    <w:rsid w:val="00843761"/>
    <w:rsid w:val="00843958"/>
    <w:rsid w:val="00844A53"/>
    <w:rsid w:val="008450D5"/>
    <w:rsid w:val="008475B8"/>
    <w:rsid w:val="00847DED"/>
    <w:rsid w:val="00847E64"/>
    <w:rsid w:val="00850598"/>
    <w:rsid w:val="008520BC"/>
    <w:rsid w:val="00852B6E"/>
    <w:rsid w:val="00852CB9"/>
    <w:rsid w:val="0085359B"/>
    <w:rsid w:val="0085429F"/>
    <w:rsid w:val="00856402"/>
    <w:rsid w:val="00856973"/>
    <w:rsid w:val="0086663A"/>
    <w:rsid w:val="0086694D"/>
    <w:rsid w:val="00867F95"/>
    <w:rsid w:val="00871BA8"/>
    <w:rsid w:val="00871C3C"/>
    <w:rsid w:val="00873485"/>
    <w:rsid w:val="008755F6"/>
    <w:rsid w:val="00877F6E"/>
    <w:rsid w:val="008811AA"/>
    <w:rsid w:val="00881E9A"/>
    <w:rsid w:val="00882DC3"/>
    <w:rsid w:val="008837B8"/>
    <w:rsid w:val="00885225"/>
    <w:rsid w:val="00885F4B"/>
    <w:rsid w:val="0088639D"/>
    <w:rsid w:val="00886CB8"/>
    <w:rsid w:val="008910E6"/>
    <w:rsid w:val="00891821"/>
    <w:rsid w:val="008928D3"/>
    <w:rsid w:val="00892C99"/>
    <w:rsid w:val="008A08B2"/>
    <w:rsid w:val="008A0DBC"/>
    <w:rsid w:val="008A2955"/>
    <w:rsid w:val="008A4F91"/>
    <w:rsid w:val="008A5386"/>
    <w:rsid w:val="008B0A10"/>
    <w:rsid w:val="008B397A"/>
    <w:rsid w:val="008B3CFD"/>
    <w:rsid w:val="008B504A"/>
    <w:rsid w:val="008B6785"/>
    <w:rsid w:val="008C015A"/>
    <w:rsid w:val="008C4452"/>
    <w:rsid w:val="008C7E42"/>
    <w:rsid w:val="008D1F1B"/>
    <w:rsid w:val="008D28E2"/>
    <w:rsid w:val="008D4890"/>
    <w:rsid w:val="008D4894"/>
    <w:rsid w:val="008E50BA"/>
    <w:rsid w:val="008E6BF4"/>
    <w:rsid w:val="008F1D86"/>
    <w:rsid w:val="008F617D"/>
    <w:rsid w:val="008F6DBF"/>
    <w:rsid w:val="00900349"/>
    <w:rsid w:val="009040A0"/>
    <w:rsid w:val="009044D5"/>
    <w:rsid w:val="00906916"/>
    <w:rsid w:val="00911C92"/>
    <w:rsid w:val="0091258E"/>
    <w:rsid w:val="0091366D"/>
    <w:rsid w:val="009148CC"/>
    <w:rsid w:val="00915646"/>
    <w:rsid w:val="00916190"/>
    <w:rsid w:val="009169EC"/>
    <w:rsid w:val="009206FA"/>
    <w:rsid w:val="009215E3"/>
    <w:rsid w:val="009229C6"/>
    <w:rsid w:val="00922F72"/>
    <w:rsid w:val="00923290"/>
    <w:rsid w:val="00923CDA"/>
    <w:rsid w:val="00925139"/>
    <w:rsid w:val="00926B10"/>
    <w:rsid w:val="009313C2"/>
    <w:rsid w:val="00932530"/>
    <w:rsid w:val="00934769"/>
    <w:rsid w:val="009349D4"/>
    <w:rsid w:val="00935ACD"/>
    <w:rsid w:val="00935DF5"/>
    <w:rsid w:val="0093673E"/>
    <w:rsid w:val="00937F42"/>
    <w:rsid w:val="0094028D"/>
    <w:rsid w:val="009405A6"/>
    <w:rsid w:val="009428A9"/>
    <w:rsid w:val="009431BF"/>
    <w:rsid w:val="009434B5"/>
    <w:rsid w:val="009466C1"/>
    <w:rsid w:val="00950306"/>
    <w:rsid w:val="0095066B"/>
    <w:rsid w:val="00950E29"/>
    <w:rsid w:val="00953382"/>
    <w:rsid w:val="00953A06"/>
    <w:rsid w:val="00953B80"/>
    <w:rsid w:val="00954E93"/>
    <w:rsid w:val="00954F67"/>
    <w:rsid w:val="0095634B"/>
    <w:rsid w:val="00957675"/>
    <w:rsid w:val="00962C9C"/>
    <w:rsid w:val="00963E3B"/>
    <w:rsid w:val="0096409D"/>
    <w:rsid w:val="0096425D"/>
    <w:rsid w:val="00964840"/>
    <w:rsid w:val="00964FE3"/>
    <w:rsid w:val="0096664D"/>
    <w:rsid w:val="009666F8"/>
    <w:rsid w:val="00967C11"/>
    <w:rsid w:val="00970AF9"/>
    <w:rsid w:val="0097257C"/>
    <w:rsid w:val="00972A50"/>
    <w:rsid w:val="0097409E"/>
    <w:rsid w:val="00976411"/>
    <w:rsid w:val="00977B47"/>
    <w:rsid w:val="00981823"/>
    <w:rsid w:val="00983B30"/>
    <w:rsid w:val="009847DC"/>
    <w:rsid w:val="00993B51"/>
    <w:rsid w:val="009953EC"/>
    <w:rsid w:val="009A01E9"/>
    <w:rsid w:val="009A7D85"/>
    <w:rsid w:val="009B3B8B"/>
    <w:rsid w:val="009B4D50"/>
    <w:rsid w:val="009B4DE8"/>
    <w:rsid w:val="009C3A9C"/>
    <w:rsid w:val="009C3F65"/>
    <w:rsid w:val="009C5F5B"/>
    <w:rsid w:val="009C7508"/>
    <w:rsid w:val="009D068E"/>
    <w:rsid w:val="009D0A6A"/>
    <w:rsid w:val="009D0D4C"/>
    <w:rsid w:val="009D4373"/>
    <w:rsid w:val="009D5F20"/>
    <w:rsid w:val="009D63C4"/>
    <w:rsid w:val="009E2BD7"/>
    <w:rsid w:val="009E4214"/>
    <w:rsid w:val="009E6052"/>
    <w:rsid w:val="009E7C58"/>
    <w:rsid w:val="009F02F3"/>
    <w:rsid w:val="009F0F61"/>
    <w:rsid w:val="009F108D"/>
    <w:rsid w:val="009F5160"/>
    <w:rsid w:val="009F7F4C"/>
    <w:rsid w:val="00A02351"/>
    <w:rsid w:val="00A03478"/>
    <w:rsid w:val="00A055BD"/>
    <w:rsid w:val="00A0644C"/>
    <w:rsid w:val="00A07E09"/>
    <w:rsid w:val="00A109DB"/>
    <w:rsid w:val="00A13B02"/>
    <w:rsid w:val="00A13DC2"/>
    <w:rsid w:val="00A16A70"/>
    <w:rsid w:val="00A179B4"/>
    <w:rsid w:val="00A20D99"/>
    <w:rsid w:val="00A26478"/>
    <w:rsid w:val="00A302F7"/>
    <w:rsid w:val="00A30304"/>
    <w:rsid w:val="00A30DEC"/>
    <w:rsid w:val="00A311CF"/>
    <w:rsid w:val="00A3296E"/>
    <w:rsid w:val="00A32BD9"/>
    <w:rsid w:val="00A3453C"/>
    <w:rsid w:val="00A36789"/>
    <w:rsid w:val="00A37CD2"/>
    <w:rsid w:val="00A45923"/>
    <w:rsid w:val="00A47C25"/>
    <w:rsid w:val="00A50DC6"/>
    <w:rsid w:val="00A526AA"/>
    <w:rsid w:val="00A54FB6"/>
    <w:rsid w:val="00A566FA"/>
    <w:rsid w:val="00A57494"/>
    <w:rsid w:val="00A62F38"/>
    <w:rsid w:val="00A63EE2"/>
    <w:rsid w:val="00A641AD"/>
    <w:rsid w:val="00A64883"/>
    <w:rsid w:val="00A650A6"/>
    <w:rsid w:val="00A666DD"/>
    <w:rsid w:val="00A706B4"/>
    <w:rsid w:val="00A741CE"/>
    <w:rsid w:val="00A74EDF"/>
    <w:rsid w:val="00A75EEF"/>
    <w:rsid w:val="00A761EA"/>
    <w:rsid w:val="00A81BD2"/>
    <w:rsid w:val="00A83FD1"/>
    <w:rsid w:val="00A84435"/>
    <w:rsid w:val="00A84948"/>
    <w:rsid w:val="00A84FFE"/>
    <w:rsid w:val="00A90237"/>
    <w:rsid w:val="00A911AC"/>
    <w:rsid w:val="00A9177B"/>
    <w:rsid w:val="00A97340"/>
    <w:rsid w:val="00A9743C"/>
    <w:rsid w:val="00A979C9"/>
    <w:rsid w:val="00A979E4"/>
    <w:rsid w:val="00AA09BA"/>
    <w:rsid w:val="00AA15CD"/>
    <w:rsid w:val="00AA58B1"/>
    <w:rsid w:val="00AA679A"/>
    <w:rsid w:val="00AA7AE7"/>
    <w:rsid w:val="00AA7F16"/>
    <w:rsid w:val="00AB111B"/>
    <w:rsid w:val="00AB164B"/>
    <w:rsid w:val="00AB2F4F"/>
    <w:rsid w:val="00AB335B"/>
    <w:rsid w:val="00AB40B1"/>
    <w:rsid w:val="00AB66D7"/>
    <w:rsid w:val="00AC0376"/>
    <w:rsid w:val="00AC1E4C"/>
    <w:rsid w:val="00AC1F86"/>
    <w:rsid w:val="00AC2797"/>
    <w:rsid w:val="00AC5353"/>
    <w:rsid w:val="00AC5425"/>
    <w:rsid w:val="00AC6E7C"/>
    <w:rsid w:val="00AD7FF8"/>
    <w:rsid w:val="00AE0334"/>
    <w:rsid w:val="00AE0D8D"/>
    <w:rsid w:val="00AE784B"/>
    <w:rsid w:val="00AF06C1"/>
    <w:rsid w:val="00AF178F"/>
    <w:rsid w:val="00AF2BFD"/>
    <w:rsid w:val="00AF2D61"/>
    <w:rsid w:val="00AF32CE"/>
    <w:rsid w:val="00AF3704"/>
    <w:rsid w:val="00AF3CD1"/>
    <w:rsid w:val="00AF58BD"/>
    <w:rsid w:val="00AF6C72"/>
    <w:rsid w:val="00AF7595"/>
    <w:rsid w:val="00B00D20"/>
    <w:rsid w:val="00B01C06"/>
    <w:rsid w:val="00B05828"/>
    <w:rsid w:val="00B07ADE"/>
    <w:rsid w:val="00B102B2"/>
    <w:rsid w:val="00B106E8"/>
    <w:rsid w:val="00B10CE4"/>
    <w:rsid w:val="00B10ED3"/>
    <w:rsid w:val="00B11EF8"/>
    <w:rsid w:val="00B17141"/>
    <w:rsid w:val="00B209C1"/>
    <w:rsid w:val="00B234D9"/>
    <w:rsid w:val="00B245FA"/>
    <w:rsid w:val="00B25B22"/>
    <w:rsid w:val="00B268D9"/>
    <w:rsid w:val="00B332DE"/>
    <w:rsid w:val="00B33407"/>
    <w:rsid w:val="00B33AA8"/>
    <w:rsid w:val="00B33E49"/>
    <w:rsid w:val="00B36648"/>
    <w:rsid w:val="00B37921"/>
    <w:rsid w:val="00B405E6"/>
    <w:rsid w:val="00B42476"/>
    <w:rsid w:val="00B473EE"/>
    <w:rsid w:val="00B50619"/>
    <w:rsid w:val="00B5086C"/>
    <w:rsid w:val="00B51F78"/>
    <w:rsid w:val="00B523CE"/>
    <w:rsid w:val="00B54BA8"/>
    <w:rsid w:val="00B55D54"/>
    <w:rsid w:val="00B56A38"/>
    <w:rsid w:val="00B60544"/>
    <w:rsid w:val="00B60D29"/>
    <w:rsid w:val="00B66F05"/>
    <w:rsid w:val="00B70D93"/>
    <w:rsid w:val="00B71ADD"/>
    <w:rsid w:val="00B72137"/>
    <w:rsid w:val="00B72AEB"/>
    <w:rsid w:val="00B73C25"/>
    <w:rsid w:val="00B73DDB"/>
    <w:rsid w:val="00B74A22"/>
    <w:rsid w:val="00B77E7D"/>
    <w:rsid w:val="00B80233"/>
    <w:rsid w:val="00B8032E"/>
    <w:rsid w:val="00B8150F"/>
    <w:rsid w:val="00B83D60"/>
    <w:rsid w:val="00B8457B"/>
    <w:rsid w:val="00B84A7D"/>
    <w:rsid w:val="00B866E8"/>
    <w:rsid w:val="00B92B03"/>
    <w:rsid w:val="00B93BAA"/>
    <w:rsid w:val="00B952CF"/>
    <w:rsid w:val="00BA0D2A"/>
    <w:rsid w:val="00BA1340"/>
    <w:rsid w:val="00BA4C99"/>
    <w:rsid w:val="00BA6744"/>
    <w:rsid w:val="00BB03BA"/>
    <w:rsid w:val="00BB0C62"/>
    <w:rsid w:val="00BB4B29"/>
    <w:rsid w:val="00BC522F"/>
    <w:rsid w:val="00BC5360"/>
    <w:rsid w:val="00BD2292"/>
    <w:rsid w:val="00BD2475"/>
    <w:rsid w:val="00BD3424"/>
    <w:rsid w:val="00BD35AE"/>
    <w:rsid w:val="00BE4778"/>
    <w:rsid w:val="00BE56B4"/>
    <w:rsid w:val="00BF0596"/>
    <w:rsid w:val="00BF06D0"/>
    <w:rsid w:val="00BF275F"/>
    <w:rsid w:val="00BF35C7"/>
    <w:rsid w:val="00BF484D"/>
    <w:rsid w:val="00BF693B"/>
    <w:rsid w:val="00C02430"/>
    <w:rsid w:val="00C057C3"/>
    <w:rsid w:val="00C065B5"/>
    <w:rsid w:val="00C10E5E"/>
    <w:rsid w:val="00C1403B"/>
    <w:rsid w:val="00C212CC"/>
    <w:rsid w:val="00C25501"/>
    <w:rsid w:val="00C25B22"/>
    <w:rsid w:val="00C26726"/>
    <w:rsid w:val="00C30F29"/>
    <w:rsid w:val="00C3143D"/>
    <w:rsid w:val="00C32759"/>
    <w:rsid w:val="00C34BF1"/>
    <w:rsid w:val="00C35B39"/>
    <w:rsid w:val="00C36E12"/>
    <w:rsid w:val="00C37F1D"/>
    <w:rsid w:val="00C406EF"/>
    <w:rsid w:val="00C40E4B"/>
    <w:rsid w:val="00C418D5"/>
    <w:rsid w:val="00C424F3"/>
    <w:rsid w:val="00C476E4"/>
    <w:rsid w:val="00C4782A"/>
    <w:rsid w:val="00C47B93"/>
    <w:rsid w:val="00C54D74"/>
    <w:rsid w:val="00C556EB"/>
    <w:rsid w:val="00C60381"/>
    <w:rsid w:val="00C60D2D"/>
    <w:rsid w:val="00C62B4F"/>
    <w:rsid w:val="00C64361"/>
    <w:rsid w:val="00C66125"/>
    <w:rsid w:val="00C66A9A"/>
    <w:rsid w:val="00C70E5F"/>
    <w:rsid w:val="00C71603"/>
    <w:rsid w:val="00C72398"/>
    <w:rsid w:val="00C72A73"/>
    <w:rsid w:val="00C74E9A"/>
    <w:rsid w:val="00C80686"/>
    <w:rsid w:val="00C80BDD"/>
    <w:rsid w:val="00C8164B"/>
    <w:rsid w:val="00C824B8"/>
    <w:rsid w:val="00C83125"/>
    <w:rsid w:val="00C83600"/>
    <w:rsid w:val="00C8524F"/>
    <w:rsid w:val="00C95C46"/>
    <w:rsid w:val="00C95E49"/>
    <w:rsid w:val="00C95EB8"/>
    <w:rsid w:val="00C9669C"/>
    <w:rsid w:val="00CA34D6"/>
    <w:rsid w:val="00CA754F"/>
    <w:rsid w:val="00CB1097"/>
    <w:rsid w:val="00CB20D9"/>
    <w:rsid w:val="00CB21AB"/>
    <w:rsid w:val="00CB2F8B"/>
    <w:rsid w:val="00CB6E93"/>
    <w:rsid w:val="00CC0838"/>
    <w:rsid w:val="00CC1536"/>
    <w:rsid w:val="00CC44C1"/>
    <w:rsid w:val="00CC6ED5"/>
    <w:rsid w:val="00CD01B2"/>
    <w:rsid w:val="00CD16E1"/>
    <w:rsid w:val="00CD24C0"/>
    <w:rsid w:val="00CD272D"/>
    <w:rsid w:val="00CD61B5"/>
    <w:rsid w:val="00CD63C5"/>
    <w:rsid w:val="00CE2F4E"/>
    <w:rsid w:val="00CE33D7"/>
    <w:rsid w:val="00CE3C55"/>
    <w:rsid w:val="00CE5075"/>
    <w:rsid w:val="00CE6580"/>
    <w:rsid w:val="00CE6E6B"/>
    <w:rsid w:val="00CF0074"/>
    <w:rsid w:val="00CF1137"/>
    <w:rsid w:val="00CF1CE3"/>
    <w:rsid w:val="00CF2F46"/>
    <w:rsid w:val="00CF3557"/>
    <w:rsid w:val="00CF5129"/>
    <w:rsid w:val="00CF51EA"/>
    <w:rsid w:val="00CF5A39"/>
    <w:rsid w:val="00CF6C69"/>
    <w:rsid w:val="00D0005C"/>
    <w:rsid w:val="00D0202A"/>
    <w:rsid w:val="00D02C33"/>
    <w:rsid w:val="00D033C4"/>
    <w:rsid w:val="00D043F3"/>
    <w:rsid w:val="00D048A9"/>
    <w:rsid w:val="00D11473"/>
    <w:rsid w:val="00D11D3E"/>
    <w:rsid w:val="00D1277C"/>
    <w:rsid w:val="00D12A4D"/>
    <w:rsid w:val="00D12E5D"/>
    <w:rsid w:val="00D14684"/>
    <w:rsid w:val="00D1586F"/>
    <w:rsid w:val="00D16A16"/>
    <w:rsid w:val="00D1761F"/>
    <w:rsid w:val="00D17EAF"/>
    <w:rsid w:val="00D20FF5"/>
    <w:rsid w:val="00D21244"/>
    <w:rsid w:val="00D21273"/>
    <w:rsid w:val="00D21621"/>
    <w:rsid w:val="00D227BC"/>
    <w:rsid w:val="00D23AD2"/>
    <w:rsid w:val="00D25B3E"/>
    <w:rsid w:val="00D25B60"/>
    <w:rsid w:val="00D26BA9"/>
    <w:rsid w:val="00D26E91"/>
    <w:rsid w:val="00D30D7D"/>
    <w:rsid w:val="00D31DA0"/>
    <w:rsid w:val="00D33715"/>
    <w:rsid w:val="00D37DB2"/>
    <w:rsid w:val="00D37F9A"/>
    <w:rsid w:val="00D42470"/>
    <w:rsid w:val="00D443E9"/>
    <w:rsid w:val="00D447F8"/>
    <w:rsid w:val="00D46896"/>
    <w:rsid w:val="00D503AD"/>
    <w:rsid w:val="00D50D4B"/>
    <w:rsid w:val="00D513A7"/>
    <w:rsid w:val="00D537CB"/>
    <w:rsid w:val="00D55A5D"/>
    <w:rsid w:val="00D609C6"/>
    <w:rsid w:val="00D611FD"/>
    <w:rsid w:val="00D63052"/>
    <w:rsid w:val="00D662D9"/>
    <w:rsid w:val="00D77608"/>
    <w:rsid w:val="00D8135D"/>
    <w:rsid w:val="00D81703"/>
    <w:rsid w:val="00D82CDA"/>
    <w:rsid w:val="00D86AEE"/>
    <w:rsid w:val="00D87185"/>
    <w:rsid w:val="00D91628"/>
    <w:rsid w:val="00D93B52"/>
    <w:rsid w:val="00D94C26"/>
    <w:rsid w:val="00D95669"/>
    <w:rsid w:val="00D96FA4"/>
    <w:rsid w:val="00DA1589"/>
    <w:rsid w:val="00DB0DD8"/>
    <w:rsid w:val="00DB1EB0"/>
    <w:rsid w:val="00DB2DAC"/>
    <w:rsid w:val="00DB48C9"/>
    <w:rsid w:val="00DB5FC2"/>
    <w:rsid w:val="00DB6406"/>
    <w:rsid w:val="00DB6A20"/>
    <w:rsid w:val="00DC0977"/>
    <w:rsid w:val="00DC09A7"/>
    <w:rsid w:val="00DC0F31"/>
    <w:rsid w:val="00DC2300"/>
    <w:rsid w:val="00DD1638"/>
    <w:rsid w:val="00DD3FF0"/>
    <w:rsid w:val="00DD5095"/>
    <w:rsid w:val="00DD545D"/>
    <w:rsid w:val="00DD6418"/>
    <w:rsid w:val="00DE0E14"/>
    <w:rsid w:val="00DE4076"/>
    <w:rsid w:val="00DE47C2"/>
    <w:rsid w:val="00DE578D"/>
    <w:rsid w:val="00DE7713"/>
    <w:rsid w:val="00DE7CA8"/>
    <w:rsid w:val="00DF66C3"/>
    <w:rsid w:val="00DF7158"/>
    <w:rsid w:val="00E00250"/>
    <w:rsid w:val="00E00295"/>
    <w:rsid w:val="00E0126F"/>
    <w:rsid w:val="00E01AED"/>
    <w:rsid w:val="00E039FF"/>
    <w:rsid w:val="00E041E6"/>
    <w:rsid w:val="00E051EC"/>
    <w:rsid w:val="00E065A5"/>
    <w:rsid w:val="00E11B14"/>
    <w:rsid w:val="00E1455E"/>
    <w:rsid w:val="00E14BAD"/>
    <w:rsid w:val="00E15B96"/>
    <w:rsid w:val="00E15D67"/>
    <w:rsid w:val="00E1670F"/>
    <w:rsid w:val="00E17128"/>
    <w:rsid w:val="00E173A1"/>
    <w:rsid w:val="00E22EC6"/>
    <w:rsid w:val="00E24B34"/>
    <w:rsid w:val="00E27944"/>
    <w:rsid w:val="00E326AD"/>
    <w:rsid w:val="00E357FE"/>
    <w:rsid w:val="00E4099A"/>
    <w:rsid w:val="00E43A31"/>
    <w:rsid w:val="00E462FF"/>
    <w:rsid w:val="00E47549"/>
    <w:rsid w:val="00E50497"/>
    <w:rsid w:val="00E50EC1"/>
    <w:rsid w:val="00E5524A"/>
    <w:rsid w:val="00E6048C"/>
    <w:rsid w:val="00E615E0"/>
    <w:rsid w:val="00E633E0"/>
    <w:rsid w:val="00E64E27"/>
    <w:rsid w:val="00E677D9"/>
    <w:rsid w:val="00E70529"/>
    <w:rsid w:val="00E70559"/>
    <w:rsid w:val="00E70BB1"/>
    <w:rsid w:val="00E7201A"/>
    <w:rsid w:val="00E7251A"/>
    <w:rsid w:val="00E81D20"/>
    <w:rsid w:val="00E81F14"/>
    <w:rsid w:val="00E82882"/>
    <w:rsid w:val="00E84D68"/>
    <w:rsid w:val="00E85B3A"/>
    <w:rsid w:val="00E86293"/>
    <w:rsid w:val="00E862E3"/>
    <w:rsid w:val="00E911F5"/>
    <w:rsid w:val="00E91553"/>
    <w:rsid w:val="00E921C9"/>
    <w:rsid w:val="00E93E34"/>
    <w:rsid w:val="00E95FA1"/>
    <w:rsid w:val="00EA2192"/>
    <w:rsid w:val="00EA220D"/>
    <w:rsid w:val="00EA7266"/>
    <w:rsid w:val="00EA7630"/>
    <w:rsid w:val="00EA7C8F"/>
    <w:rsid w:val="00EB1122"/>
    <w:rsid w:val="00EB370F"/>
    <w:rsid w:val="00EB6058"/>
    <w:rsid w:val="00EC2768"/>
    <w:rsid w:val="00EC39F0"/>
    <w:rsid w:val="00EC3DA1"/>
    <w:rsid w:val="00EC54D0"/>
    <w:rsid w:val="00EC5C21"/>
    <w:rsid w:val="00ED0E83"/>
    <w:rsid w:val="00ED25AB"/>
    <w:rsid w:val="00ED28CF"/>
    <w:rsid w:val="00ED4037"/>
    <w:rsid w:val="00ED5BC8"/>
    <w:rsid w:val="00ED7DE9"/>
    <w:rsid w:val="00EE3D59"/>
    <w:rsid w:val="00EE53C3"/>
    <w:rsid w:val="00EE5792"/>
    <w:rsid w:val="00EF53A2"/>
    <w:rsid w:val="00EF6DE3"/>
    <w:rsid w:val="00EF794C"/>
    <w:rsid w:val="00EF7E23"/>
    <w:rsid w:val="00F02791"/>
    <w:rsid w:val="00F0285B"/>
    <w:rsid w:val="00F02EC4"/>
    <w:rsid w:val="00F0327F"/>
    <w:rsid w:val="00F05358"/>
    <w:rsid w:val="00F07842"/>
    <w:rsid w:val="00F07D23"/>
    <w:rsid w:val="00F15BD8"/>
    <w:rsid w:val="00F16ED3"/>
    <w:rsid w:val="00F17F97"/>
    <w:rsid w:val="00F2271D"/>
    <w:rsid w:val="00F2341C"/>
    <w:rsid w:val="00F276AE"/>
    <w:rsid w:val="00F353AC"/>
    <w:rsid w:val="00F37E3E"/>
    <w:rsid w:val="00F40625"/>
    <w:rsid w:val="00F415B0"/>
    <w:rsid w:val="00F43656"/>
    <w:rsid w:val="00F466B2"/>
    <w:rsid w:val="00F5030F"/>
    <w:rsid w:val="00F5089C"/>
    <w:rsid w:val="00F5302A"/>
    <w:rsid w:val="00F53446"/>
    <w:rsid w:val="00F544AA"/>
    <w:rsid w:val="00F57873"/>
    <w:rsid w:val="00F60332"/>
    <w:rsid w:val="00F627CE"/>
    <w:rsid w:val="00F628E0"/>
    <w:rsid w:val="00F63161"/>
    <w:rsid w:val="00F6528D"/>
    <w:rsid w:val="00F67806"/>
    <w:rsid w:val="00F706AE"/>
    <w:rsid w:val="00F70C78"/>
    <w:rsid w:val="00F71297"/>
    <w:rsid w:val="00F716CD"/>
    <w:rsid w:val="00F71C1D"/>
    <w:rsid w:val="00F7357E"/>
    <w:rsid w:val="00F74A8A"/>
    <w:rsid w:val="00F764DA"/>
    <w:rsid w:val="00F76E18"/>
    <w:rsid w:val="00F8069F"/>
    <w:rsid w:val="00F817B5"/>
    <w:rsid w:val="00F8437B"/>
    <w:rsid w:val="00F84D6F"/>
    <w:rsid w:val="00F856D3"/>
    <w:rsid w:val="00F86539"/>
    <w:rsid w:val="00F8671A"/>
    <w:rsid w:val="00F87EE4"/>
    <w:rsid w:val="00F904DD"/>
    <w:rsid w:val="00F90E2F"/>
    <w:rsid w:val="00F91E0F"/>
    <w:rsid w:val="00F91F56"/>
    <w:rsid w:val="00F92393"/>
    <w:rsid w:val="00F96F82"/>
    <w:rsid w:val="00F97411"/>
    <w:rsid w:val="00F97BCA"/>
    <w:rsid w:val="00FA0D5E"/>
    <w:rsid w:val="00FA1606"/>
    <w:rsid w:val="00FA4405"/>
    <w:rsid w:val="00FA460F"/>
    <w:rsid w:val="00FA5440"/>
    <w:rsid w:val="00FA6264"/>
    <w:rsid w:val="00FA6556"/>
    <w:rsid w:val="00FB0134"/>
    <w:rsid w:val="00FB4A54"/>
    <w:rsid w:val="00FC2EC7"/>
    <w:rsid w:val="00FC30F7"/>
    <w:rsid w:val="00FC310B"/>
    <w:rsid w:val="00FD1F40"/>
    <w:rsid w:val="00FD7B8F"/>
    <w:rsid w:val="00FE0226"/>
    <w:rsid w:val="00FE162A"/>
    <w:rsid w:val="00FE31FD"/>
    <w:rsid w:val="00FE5541"/>
    <w:rsid w:val="00FE595E"/>
    <w:rsid w:val="00FE6EF4"/>
    <w:rsid w:val="00FF4042"/>
    <w:rsid w:val="00FF4885"/>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692E"/>
  <w15:docId w15:val="{E5F8DAFA-1DA8-4C49-A41D-5E3CB830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46863"/>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046863"/>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74A16"/>
    <w:rPr>
      <w:sz w:val="16"/>
      <w:szCs w:val="16"/>
    </w:rPr>
  </w:style>
  <w:style w:type="paragraph" w:styleId="CommentText">
    <w:name w:val="annotation text"/>
    <w:basedOn w:val="Normal"/>
    <w:link w:val="CommentTextChar"/>
    <w:uiPriority w:val="99"/>
    <w:unhideWhenUsed/>
    <w:rsid w:val="00174A16"/>
    <w:rPr>
      <w:sz w:val="20"/>
    </w:rPr>
  </w:style>
  <w:style w:type="character" w:customStyle="1" w:styleId="CommentTextChar">
    <w:name w:val="Comment Text Char"/>
    <w:basedOn w:val="DefaultParagraphFont"/>
    <w:link w:val="CommentText"/>
    <w:uiPriority w:val="99"/>
    <w:rsid w:val="00174A16"/>
    <w:rPr>
      <w:rFonts w:ascii="Arial" w:hAnsi="Arial"/>
    </w:rPr>
  </w:style>
  <w:style w:type="paragraph" w:styleId="CommentSubject">
    <w:name w:val="annotation subject"/>
    <w:basedOn w:val="CommentText"/>
    <w:next w:val="CommentText"/>
    <w:link w:val="CommentSubjectChar"/>
    <w:uiPriority w:val="99"/>
    <w:semiHidden/>
    <w:unhideWhenUsed/>
    <w:rsid w:val="00174A16"/>
    <w:rPr>
      <w:b/>
      <w:bCs/>
    </w:rPr>
  </w:style>
  <w:style w:type="character" w:customStyle="1" w:styleId="CommentSubjectChar">
    <w:name w:val="Comment Subject Char"/>
    <w:basedOn w:val="CommentTextChar"/>
    <w:link w:val="CommentSubject"/>
    <w:uiPriority w:val="99"/>
    <w:semiHidden/>
    <w:rsid w:val="00174A16"/>
    <w:rPr>
      <w:rFonts w:ascii="Arial" w:hAnsi="Arial"/>
      <w:b/>
      <w:bCs/>
    </w:rPr>
  </w:style>
  <w:style w:type="character" w:styleId="Strong">
    <w:name w:val="Strong"/>
    <w:basedOn w:val="DefaultParagraphFont"/>
    <w:uiPriority w:val="22"/>
    <w:qFormat/>
    <w:rsid w:val="00FB0134"/>
    <w:rPr>
      <w:b/>
      <w:bCs/>
    </w:rPr>
  </w:style>
  <w:style w:type="table" w:styleId="TableGrid">
    <w:name w:val="Table Grid"/>
    <w:basedOn w:val="TableNormal"/>
    <w:uiPriority w:val="39"/>
    <w:rsid w:val="000D2EB9"/>
    <w:rPr>
      <w:rFonts w:ascii="Arial" w:hAnsi="Arial"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584">
      <w:bodyDiv w:val="1"/>
      <w:marLeft w:val="0"/>
      <w:marRight w:val="0"/>
      <w:marTop w:val="0"/>
      <w:marBottom w:val="0"/>
      <w:divBdr>
        <w:top w:val="none" w:sz="0" w:space="0" w:color="auto"/>
        <w:left w:val="none" w:sz="0" w:space="0" w:color="auto"/>
        <w:bottom w:val="none" w:sz="0" w:space="0" w:color="auto"/>
        <w:right w:val="none" w:sz="0" w:space="0" w:color="auto"/>
      </w:divBdr>
    </w:div>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173998271">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185798956">
      <w:bodyDiv w:val="1"/>
      <w:marLeft w:val="0"/>
      <w:marRight w:val="0"/>
      <w:marTop w:val="0"/>
      <w:marBottom w:val="0"/>
      <w:divBdr>
        <w:top w:val="none" w:sz="0" w:space="0" w:color="auto"/>
        <w:left w:val="none" w:sz="0" w:space="0" w:color="auto"/>
        <w:bottom w:val="none" w:sz="0" w:space="0" w:color="auto"/>
        <w:right w:val="none" w:sz="0" w:space="0" w:color="auto"/>
      </w:divBdr>
    </w:div>
    <w:div w:id="312880017">
      <w:bodyDiv w:val="1"/>
      <w:marLeft w:val="0"/>
      <w:marRight w:val="0"/>
      <w:marTop w:val="0"/>
      <w:marBottom w:val="0"/>
      <w:divBdr>
        <w:top w:val="none" w:sz="0" w:space="0" w:color="auto"/>
        <w:left w:val="none" w:sz="0" w:space="0" w:color="auto"/>
        <w:bottom w:val="none" w:sz="0" w:space="0" w:color="auto"/>
        <w:right w:val="none" w:sz="0" w:space="0" w:color="auto"/>
      </w:divBdr>
    </w:div>
    <w:div w:id="318117693">
      <w:bodyDiv w:val="1"/>
      <w:marLeft w:val="0"/>
      <w:marRight w:val="0"/>
      <w:marTop w:val="0"/>
      <w:marBottom w:val="0"/>
      <w:divBdr>
        <w:top w:val="none" w:sz="0" w:space="0" w:color="auto"/>
        <w:left w:val="none" w:sz="0" w:space="0" w:color="auto"/>
        <w:bottom w:val="none" w:sz="0" w:space="0" w:color="auto"/>
        <w:right w:val="none" w:sz="0" w:space="0" w:color="auto"/>
      </w:divBdr>
    </w:div>
    <w:div w:id="439178201">
      <w:bodyDiv w:val="1"/>
      <w:marLeft w:val="0"/>
      <w:marRight w:val="0"/>
      <w:marTop w:val="0"/>
      <w:marBottom w:val="0"/>
      <w:divBdr>
        <w:top w:val="none" w:sz="0" w:space="0" w:color="auto"/>
        <w:left w:val="none" w:sz="0" w:space="0" w:color="auto"/>
        <w:bottom w:val="none" w:sz="0" w:space="0" w:color="auto"/>
        <w:right w:val="none" w:sz="0" w:space="0" w:color="auto"/>
      </w:divBdr>
    </w:div>
    <w:div w:id="475033336">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566458001">
      <w:bodyDiv w:val="1"/>
      <w:marLeft w:val="0"/>
      <w:marRight w:val="0"/>
      <w:marTop w:val="0"/>
      <w:marBottom w:val="0"/>
      <w:divBdr>
        <w:top w:val="none" w:sz="0" w:space="0" w:color="auto"/>
        <w:left w:val="none" w:sz="0" w:space="0" w:color="auto"/>
        <w:bottom w:val="none" w:sz="0" w:space="0" w:color="auto"/>
        <w:right w:val="none" w:sz="0" w:space="0" w:color="auto"/>
      </w:divBdr>
    </w:div>
    <w:div w:id="570895446">
      <w:bodyDiv w:val="1"/>
      <w:marLeft w:val="0"/>
      <w:marRight w:val="0"/>
      <w:marTop w:val="0"/>
      <w:marBottom w:val="0"/>
      <w:divBdr>
        <w:top w:val="none" w:sz="0" w:space="0" w:color="auto"/>
        <w:left w:val="none" w:sz="0" w:space="0" w:color="auto"/>
        <w:bottom w:val="none" w:sz="0" w:space="0" w:color="auto"/>
        <w:right w:val="none" w:sz="0" w:space="0" w:color="auto"/>
      </w:divBdr>
    </w:div>
    <w:div w:id="626817093">
      <w:bodyDiv w:val="1"/>
      <w:marLeft w:val="0"/>
      <w:marRight w:val="0"/>
      <w:marTop w:val="0"/>
      <w:marBottom w:val="0"/>
      <w:divBdr>
        <w:top w:val="none" w:sz="0" w:space="0" w:color="auto"/>
        <w:left w:val="none" w:sz="0" w:space="0" w:color="auto"/>
        <w:bottom w:val="none" w:sz="0" w:space="0" w:color="auto"/>
        <w:right w:val="none" w:sz="0" w:space="0" w:color="auto"/>
      </w:divBdr>
    </w:div>
    <w:div w:id="659189179">
      <w:bodyDiv w:val="1"/>
      <w:marLeft w:val="0"/>
      <w:marRight w:val="0"/>
      <w:marTop w:val="0"/>
      <w:marBottom w:val="0"/>
      <w:divBdr>
        <w:top w:val="none" w:sz="0" w:space="0" w:color="auto"/>
        <w:left w:val="none" w:sz="0" w:space="0" w:color="auto"/>
        <w:bottom w:val="none" w:sz="0" w:space="0" w:color="auto"/>
        <w:right w:val="none" w:sz="0" w:space="0" w:color="auto"/>
      </w:divBdr>
    </w:div>
    <w:div w:id="674068704">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936791758">
      <w:bodyDiv w:val="1"/>
      <w:marLeft w:val="0"/>
      <w:marRight w:val="0"/>
      <w:marTop w:val="0"/>
      <w:marBottom w:val="0"/>
      <w:divBdr>
        <w:top w:val="none" w:sz="0" w:space="0" w:color="auto"/>
        <w:left w:val="none" w:sz="0" w:space="0" w:color="auto"/>
        <w:bottom w:val="none" w:sz="0" w:space="0" w:color="auto"/>
        <w:right w:val="none" w:sz="0" w:space="0" w:color="auto"/>
      </w:divBdr>
    </w:div>
    <w:div w:id="964507162">
      <w:bodyDiv w:val="1"/>
      <w:marLeft w:val="0"/>
      <w:marRight w:val="0"/>
      <w:marTop w:val="0"/>
      <w:marBottom w:val="0"/>
      <w:divBdr>
        <w:top w:val="none" w:sz="0" w:space="0" w:color="auto"/>
        <w:left w:val="none" w:sz="0" w:space="0" w:color="auto"/>
        <w:bottom w:val="none" w:sz="0" w:space="0" w:color="auto"/>
        <w:right w:val="none" w:sz="0" w:space="0" w:color="auto"/>
      </w:divBdr>
    </w:div>
    <w:div w:id="964578992">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88754779">
      <w:bodyDiv w:val="1"/>
      <w:marLeft w:val="0"/>
      <w:marRight w:val="0"/>
      <w:marTop w:val="0"/>
      <w:marBottom w:val="0"/>
      <w:divBdr>
        <w:top w:val="none" w:sz="0" w:space="0" w:color="auto"/>
        <w:left w:val="none" w:sz="0" w:space="0" w:color="auto"/>
        <w:bottom w:val="none" w:sz="0" w:space="0" w:color="auto"/>
        <w:right w:val="none" w:sz="0" w:space="0" w:color="auto"/>
      </w:divBdr>
    </w:div>
    <w:div w:id="1007094259">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220289047">
      <w:bodyDiv w:val="1"/>
      <w:marLeft w:val="0"/>
      <w:marRight w:val="0"/>
      <w:marTop w:val="0"/>
      <w:marBottom w:val="0"/>
      <w:divBdr>
        <w:top w:val="none" w:sz="0" w:space="0" w:color="auto"/>
        <w:left w:val="none" w:sz="0" w:space="0" w:color="auto"/>
        <w:bottom w:val="none" w:sz="0" w:space="0" w:color="auto"/>
        <w:right w:val="none" w:sz="0" w:space="0" w:color="auto"/>
      </w:divBdr>
    </w:div>
    <w:div w:id="1226332439">
      <w:bodyDiv w:val="1"/>
      <w:marLeft w:val="0"/>
      <w:marRight w:val="0"/>
      <w:marTop w:val="0"/>
      <w:marBottom w:val="0"/>
      <w:divBdr>
        <w:top w:val="none" w:sz="0" w:space="0" w:color="auto"/>
        <w:left w:val="none" w:sz="0" w:space="0" w:color="auto"/>
        <w:bottom w:val="none" w:sz="0" w:space="0" w:color="auto"/>
        <w:right w:val="none" w:sz="0" w:space="0" w:color="auto"/>
      </w:divBdr>
    </w:div>
    <w:div w:id="1229608238">
      <w:bodyDiv w:val="1"/>
      <w:marLeft w:val="0"/>
      <w:marRight w:val="0"/>
      <w:marTop w:val="0"/>
      <w:marBottom w:val="0"/>
      <w:divBdr>
        <w:top w:val="none" w:sz="0" w:space="0" w:color="auto"/>
        <w:left w:val="none" w:sz="0" w:space="0" w:color="auto"/>
        <w:bottom w:val="none" w:sz="0" w:space="0" w:color="auto"/>
        <w:right w:val="none" w:sz="0" w:space="0" w:color="auto"/>
      </w:divBdr>
    </w:div>
    <w:div w:id="1277298949">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7265158">
      <w:bodyDiv w:val="1"/>
      <w:marLeft w:val="0"/>
      <w:marRight w:val="0"/>
      <w:marTop w:val="0"/>
      <w:marBottom w:val="0"/>
      <w:divBdr>
        <w:top w:val="none" w:sz="0" w:space="0" w:color="auto"/>
        <w:left w:val="none" w:sz="0" w:space="0" w:color="auto"/>
        <w:bottom w:val="none" w:sz="0" w:space="0" w:color="auto"/>
        <w:right w:val="none" w:sz="0" w:space="0" w:color="auto"/>
      </w:divBdr>
    </w:div>
    <w:div w:id="1373387072">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55002980">
      <w:bodyDiv w:val="1"/>
      <w:marLeft w:val="0"/>
      <w:marRight w:val="0"/>
      <w:marTop w:val="0"/>
      <w:marBottom w:val="0"/>
      <w:divBdr>
        <w:top w:val="none" w:sz="0" w:space="0" w:color="auto"/>
        <w:left w:val="none" w:sz="0" w:space="0" w:color="auto"/>
        <w:bottom w:val="none" w:sz="0" w:space="0" w:color="auto"/>
        <w:right w:val="none" w:sz="0" w:space="0" w:color="auto"/>
      </w:divBdr>
    </w:div>
    <w:div w:id="1561206877">
      <w:bodyDiv w:val="1"/>
      <w:marLeft w:val="0"/>
      <w:marRight w:val="0"/>
      <w:marTop w:val="0"/>
      <w:marBottom w:val="0"/>
      <w:divBdr>
        <w:top w:val="none" w:sz="0" w:space="0" w:color="auto"/>
        <w:left w:val="none" w:sz="0" w:space="0" w:color="auto"/>
        <w:bottom w:val="none" w:sz="0" w:space="0" w:color="auto"/>
        <w:right w:val="none" w:sz="0" w:space="0" w:color="auto"/>
      </w:divBdr>
    </w:div>
    <w:div w:id="1617254042">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23250914">
      <w:bodyDiv w:val="1"/>
      <w:marLeft w:val="0"/>
      <w:marRight w:val="0"/>
      <w:marTop w:val="0"/>
      <w:marBottom w:val="0"/>
      <w:divBdr>
        <w:top w:val="none" w:sz="0" w:space="0" w:color="auto"/>
        <w:left w:val="none" w:sz="0" w:space="0" w:color="auto"/>
        <w:bottom w:val="none" w:sz="0" w:space="0" w:color="auto"/>
        <w:right w:val="none" w:sz="0" w:space="0" w:color="auto"/>
      </w:divBdr>
    </w:div>
    <w:div w:id="1942300640">
      <w:bodyDiv w:val="1"/>
      <w:marLeft w:val="0"/>
      <w:marRight w:val="0"/>
      <w:marTop w:val="0"/>
      <w:marBottom w:val="0"/>
      <w:divBdr>
        <w:top w:val="none" w:sz="0" w:space="0" w:color="auto"/>
        <w:left w:val="none" w:sz="0" w:space="0" w:color="auto"/>
        <w:bottom w:val="none" w:sz="0" w:space="0" w:color="auto"/>
        <w:right w:val="none" w:sz="0" w:space="0" w:color="auto"/>
      </w:divBdr>
    </w:div>
    <w:div w:id="1950044147">
      <w:bodyDiv w:val="1"/>
      <w:marLeft w:val="0"/>
      <w:marRight w:val="0"/>
      <w:marTop w:val="0"/>
      <w:marBottom w:val="0"/>
      <w:divBdr>
        <w:top w:val="none" w:sz="0" w:space="0" w:color="auto"/>
        <w:left w:val="none" w:sz="0" w:space="0" w:color="auto"/>
        <w:bottom w:val="none" w:sz="0" w:space="0" w:color="auto"/>
        <w:right w:val="none" w:sz="0" w:space="0" w:color="auto"/>
      </w:divBdr>
    </w:div>
    <w:div w:id="1961911390">
      <w:bodyDiv w:val="1"/>
      <w:marLeft w:val="0"/>
      <w:marRight w:val="0"/>
      <w:marTop w:val="0"/>
      <w:marBottom w:val="0"/>
      <w:divBdr>
        <w:top w:val="none" w:sz="0" w:space="0" w:color="auto"/>
        <w:left w:val="none" w:sz="0" w:space="0" w:color="auto"/>
        <w:bottom w:val="none" w:sz="0" w:space="0" w:color="auto"/>
        <w:right w:val="none" w:sz="0" w:space="0" w:color="auto"/>
      </w:divBdr>
    </w:div>
    <w:div w:id="1962296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ELaUAT2-3S0" TargetMode="External"/><Relationship Id="rId13" Type="http://schemas.openxmlformats.org/officeDocument/2006/relationships/hyperlink" Target="https://www.dor.ca.gov/Home/CalDorPayment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ELaUAT2-3S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calhr.ca.gov%2Femployees%2Fpages%2Ftravel-reimbursements.aspx&amp;data=05%7C01%7CKate.Bjerke%40dor.ca.gov%7C89fb3001c02a4a5c5dbe08dba4fc7e88%7C19ed70549d9743c792b16781b6b95b68%7C0%7C0%7C638285176587802174%7CUnknown%7CTWFpbGZsb3d8eyJWIjoiMC4wLjAwMDAiLCJQIjoiV2luMzIiLCJBTiI6Ik1haWwiLCJXVCI6Mn0%3D%7C3000%7C%7C%7C&amp;sdata=mF%2FC93P8dCbBaxkTZUwc0q4UBvqYfNAOn1vAY8odKZ8%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crtm.ed.gov/" TargetMode="External"/><Relationship Id="rId4" Type="http://schemas.openxmlformats.org/officeDocument/2006/relationships/settings" Target="settings.xml"/><Relationship Id="rId9" Type="http://schemas.openxmlformats.org/officeDocument/2006/relationships/hyperlink" Target="https://www.vrtac-qm.org/" TargetMode="External"/><Relationship Id="rId14" Type="http://schemas.openxmlformats.org/officeDocument/2006/relationships/hyperlink" Target="mailto:Caldorpaymentcard@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9F71-813D-455C-9E69-23A7D7F2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9005</TotalTime>
  <Pages>35</Pages>
  <Words>10844</Words>
  <Characters>61812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72511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Bjerke, Kate@DOR</cp:lastModifiedBy>
  <cp:revision>69</cp:revision>
  <cp:lastPrinted>2020-03-02T22:43:00Z</cp:lastPrinted>
  <dcterms:created xsi:type="dcterms:W3CDTF">2022-03-15T23:23:00Z</dcterms:created>
  <dcterms:modified xsi:type="dcterms:W3CDTF">2023-08-25T15:40:00Z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92d07-25fe-4686-909d-e15977844ff4_Enabled">
    <vt:lpwstr>true</vt:lpwstr>
  </property>
  <property fmtid="{D5CDD505-2E9C-101B-9397-08002B2CF9AE}" pid="3" name="MSIP_Label_a9492d07-25fe-4686-909d-e15977844ff4_SetDate">
    <vt:lpwstr>2023-02-07T19:31:09Z</vt:lpwstr>
  </property>
  <property fmtid="{D5CDD505-2E9C-101B-9397-08002B2CF9AE}" pid="4" name="MSIP_Label_a9492d07-25fe-4686-909d-e15977844ff4_Method">
    <vt:lpwstr>Standard</vt:lpwstr>
  </property>
  <property fmtid="{D5CDD505-2E9C-101B-9397-08002B2CF9AE}" pid="5" name="MSIP_Label_a9492d07-25fe-4686-909d-e15977844ff4_Name">
    <vt:lpwstr>defa4170-0d19-0005-0004-bc88714345d2</vt:lpwstr>
  </property>
  <property fmtid="{D5CDD505-2E9C-101B-9397-08002B2CF9AE}" pid="6" name="MSIP_Label_a9492d07-25fe-4686-909d-e15977844ff4_SiteId">
    <vt:lpwstr>19ed7054-9d97-43c7-92b1-6781b6b95b68</vt:lpwstr>
  </property>
  <property fmtid="{D5CDD505-2E9C-101B-9397-08002B2CF9AE}" pid="7" name="MSIP_Label_a9492d07-25fe-4686-909d-e15977844ff4_ActionId">
    <vt:lpwstr>581d6653-4900-4f7d-9651-1c3966f94b37</vt:lpwstr>
  </property>
  <property fmtid="{D5CDD505-2E9C-101B-9397-08002B2CF9AE}" pid="8" name="MSIP_Label_a9492d07-25fe-4686-909d-e15977844ff4_ContentBits">
    <vt:lpwstr>0</vt:lpwstr>
  </property>
</Properties>
</file>