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BACE" w14:textId="043B4EDE" w:rsidR="00D72FF4" w:rsidRDefault="00D72FF4" w:rsidP="001D1989">
      <w:pPr>
        <w:pStyle w:val="Heading1"/>
      </w:pPr>
      <w:r>
        <w:t>Slide 1</w:t>
      </w:r>
    </w:p>
    <w:p w14:paraId="724D5E15" w14:textId="0AD9E80E" w:rsidR="00D72FF4" w:rsidRDefault="00D72FF4" w:rsidP="00E36862">
      <w:pPr>
        <w:pStyle w:val="Heading2"/>
      </w:pPr>
      <w:r>
        <w:t>UC Davis Health</w:t>
      </w:r>
    </w:p>
    <w:p w14:paraId="64A8171B" w14:textId="76872665" w:rsidR="00D72FF4" w:rsidRDefault="001D1989" w:rsidP="00E36862">
      <w:pPr>
        <w:pStyle w:val="Heading3"/>
      </w:pPr>
      <w:r>
        <w:t>Violence</w:t>
      </w:r>
      <w:r w:rsidR="00D72FF4">
        <w:t xml:space="preserve"> Prevention Research Program</w:t>
      </w:r>
    </w:p>
    <w:p w14:paraId="76EBF9C2" w14:textId="7A7D12C3" w:rsidR="00D72FF4" w:rsidRDefault="00D72FF4" w:rsidP="00F56BC5">
      <w:r>
        <w:t>California Firearm Violence Research Center</w:t>
      </w:r>
    </w:p>
    <w:p w14:paraId="2B45B76E" w14:textId="54EF08B6" w:rsidR="00D72FF4" w:rsidRDefault="00D72FF4" w:rsidP="00F56BC5">
      <w:r>
        <w:t xml:space="preserve">Experiences </w:t>
      </w:r>
      <w:r w:rsidR="00942844">
        <w:t>of Violence in Californians’ Daily Life</w:t>
      </w:r>
    </w:p>
    <w:p w14:paraId="712E14D7" w14:textId="158C42B1" w:rsidR="00942844" w:rsidRDefault="003153EC" w:rsidP="00F56BC5">
      <w:r w:rsidRPr="003153EC">
        <w:t>Results from the 2020 California Safety and Wellbeing Survey (</w:t>
      </w:r>
      <w:proofErr w:type="spellStart"/>
      <w:r w:rsidRPr="003153EC">
        <w:t>CSaWS</w:t>
      </w:r>
      <w:proofErr w:type="spellEnd"/>
      <w:r w:rsidRPr="003153EC">
        <w:t>) and How Interventions Add Up to Prevent Violence</w:t>
      </w:r>
    </w:p>
    <w:p w14:paraId="0DA9B678" w14:textId="77777777" w:rsidR="003153EC" w:rsidRPr="003153EC" w:rsidRDefault="003153EC" w:rsidP="003153EC">
      <w:proofErr w:type="spellStart"/>
      <w:r w:rsidRPr="003153EC">
        <w:t>Vicka</w:t>
      </w:r>
      <w:proofErr w:type="spellEnd"/>
      <w:r w:rsidRPr="003153EC">
        <w:t xml:space="preserve"> Chaplin, M.P.H., M.A.</w:t>
      </w:r>
    </w:p>
    <w:p w14:paraId="0C78D301" w14:textId="6C83DBA8" w:rsidR="00E36862" w:rsidRDefault="003153EC" w:rsidP="00F56BC5">
      <w:r w:rsidRPr="003153EC">
        <w:t>Director of Education and Outreach</w:t>
      </w:r>
    </w:p>
    <w:p w14:paraId="40E74503" w14:textId="6A1A4292" w:rsidR="003153EC" w:rsidRDefault="003153EC" w:rsidP="00F56BC5">
      <w:r>
        <w:t xml:space="preserve">Image of UC Davis </w:t>
      </w:r>
      <w:r w:rsidR="00CD7172">
        <w:t>Medical Center</w:t>
      </w:r>
      <w:r w:rsidR="001D1989">
        <w:t xml:space="preserve"> in Sacramento, California.</w:t>
      </w:r>
    </w:p>
    <w:p w14:paraId="72E9FA59" w14:textId="62DC0281" w:rsidR="00CD7172" w:rsidRDefault="00CD7172" w:rsidP="00F56BC5">
      <w:r>
        <w:t xml:space="preserve">Slide deck </w:t>
      </w:r>
      <w:r w:rsidR="001D1989">
        <w:t>design incorporates UC Davis colors</w:t>
      </w:r>
      <w:r w:rsidR="008D4CF6">
        <w:t>,</w:t>
      </w:r>
      <w:r w:rsidR="001D1989">
        <w:t xml:space="preserve"> </w:t>
      </w:r>
      <w:r w:rsidR="008D4CF6">
        <w:t>blue and gold.</w:t>
      </w:r>
    </w:p>
    <w:p w14:paraId="78C7622D" w14:textId="140E5C26" w:rsidR="00130447" w:rsidRDefault="00130447" w:rsidP="00F56BC5"/>
    <w:p w14:paraId="05F1E4C4" w14:textId="7F1BA03B" w:rsidR="00130447" w:rsidRDefault="00130447" w:rsidP="00130447">
      <w:pPr>
        <w:pStyle w:val="Heading1"/>
      </w:pPr>
      <w:r>
        <w:t>Slide 2</w:t>
      </w:r>
    </w:p>
    <w:p w14:paraId="6EA8B271" w14:textId="1CDCDFCD" w:rsidR="00130447" w:rsidRDefault="00130447" w:rsidP="00E36862">
      <w:pPr>
        <w:pStyle w:val="Heading2"/>
      </w:pPr>
      <w:r>
        <w:t>Who we are</w:t>
      </w:r>
    </w:p>
    <w:p w14:paraId="08F03B2B" w14:textId="77777777" w:rsidR="00130447" w:rsidRPr="00130447" w:rsidRDefault="00130447" w:rsidP="00E36862">
      <w:pPr>
        <w:pStyle w:val="Heading3"/>
      </w:pPr>
      <w:r w:rsidRPr="00130447">
        <w:t>UC Davis Violence Prevention Research Program (VPRP)</w:t>
      </w:r>
    </w:p>
    <w:p w14:paraId="031A9F1E" w14:textId="77777777" w:rsidR="00130447" w:rsidRPr="00130447" w:rsidRDefault="00130447" w:rsidP="00130447">
      <w:pPr>
        <w:pStyle w:val="ListParagraph"/>
        <w:numPr>
          <w:ilvl w:val="0"/>
          <w:numId w:val="2"/>
        </w:numPr>
      </w:pPr>
      <w:r w:rsidRPr="00130447">
        <w:t>Multidisciplinary research and policy development program</w:t>
      </w:r>
    </w:p>
    <w:p w14:paraId="2F56E1BF" w14:textId="77777777" w:rsidR="00130447" w:rsidRPr="00130447" w:rsidRDefault="00130447" w:rsidP="00130447">
      <w:pPr>
        <w:pStyle w:val="ListParagraph"/>
        <w:numPr>
          <w:ilvl w:val="0"/>
          <w:numId w:val="2"/>
        </w:numPr>
      </w:pPr>
      <w:r w:rsidRPr="00130447">
        <w:t>Focused on the causes, consequences, and prevention of violence</w:t>
      </w:r>
    </w:p>
    <w:p w14:paraId="331F176F" w14:textId="77777777" w:rsidR="00130447" w:rsidRPr="00130447" w:rsidRDefault="00130447" w:rsidP="00130447">
      <w:pPr>
        <w:pStyle w:val="ListParagraph"/>
        <w:numPr>
          <w:ilvl w:val="0"/>
          <w:numId w:val="2"/>
        </w:numPr>
      </w:pPr>
      <w:r w:rsidRPr="00130447">
        <w:t>Public health approach</w:t>
      </w:r>
    </w:p>
    <w:p w14:paraId="4AD2CCE6" w14:textId="77777777" w:rsidR="00130447" w:rsidRPr="00130447" w:rsidRDefault="00130447" w:rsidP="00130447">
      <w:pPr>
        <w:pStyle w:val="ListParagraph"/>
        <w:numPr>
          <w:ilvl w:val="0"/>
          <w:numId w:val="2"/>
        </w:numPr>
      </w:pPr>
      <w:r w:rsidRPr="00130447">
        <w:t>Established in 1991</w:t>
      </w:r>
    </w:p>
    <w:p w14:paraId="140B69A6" w14:textId="77777777" w:rsidR="00130447" w:rsidRPr="00130447" w:rsidRDefault="00130447" w:rsidP="00130447">
      <w:pPr>
        <w:pStyle w:val="ListParagraph"/>
        <w:numPr>
          <w:ilvl w:val="0"/>
          <w:numId w:val="2"/>
        </w:numPr>
      </w:pPr>
      <w:r w:rsidRPr="00130447">
        <w:t>Home of CA FVRC</w:t>
      </w:r>
    </w:p>
    <w:p w14:paraId="14E0D3D5" w14:textId="77777777" w:rsidR="00130447" w:rsidRPr="00130447" w:rsidRDefault="00130447" w:rsidP="00130447"/>
    <w:p w14:paraId="102B53A5" w14:textId="77777777" w:rsidR="00130447" w:rsidRPr="00130447" w:rsidRDefault="00130447" w:rsidP="00E36862">
      <w:pPr>
        <w:pStyle w:val="Heading3"/>
      </w:pPr>
      <w:r w:rsidRPr="00130447">
        <w:t>The California Firearm Violence Research Center (CA FVRC)</w:t>
      </w:r>
    </w:p>
    <w:p w14:paraId="69349C6F" w14:textId="77777777" w:rsidR="00130447" w:rsidRPr="00130447" w:rsidRDefault="00130447" w:rsidP="00130447">
      <w:pPr>
        <w:pStyle w:val="ListParagraph"/>
        <w:numPr>
          <w:ilvl w:val="0"/>
          <w:numId w:val="3"/>
        </w:numPr>
      </w:pPr>
      <w:r w:rsidRPr="00130447">
        <w:t>First state-funded center for firearm violence research</w:t>
      </w:r>
    </w:p>
    <w:p w14:paraId="226230B5" w14:textId="77777777" w:rsidR="00130447" w:rsidRPr="00130447" w:rsidRDefault="00130447" w:rsidP="00130447">
      <w:pPr>
        <w:pStyle w:val="ListParagraph"/>
        <w:numPr>
          <w:ilvl w:val="0"/>
          <w:numId w:val="3"/>
        </w:numPr>
      </w:pPr>
      <w:r w:rsidRPr="00130447">
        <w:t>Conducting and disseminating research on firearm violence and its prevention</w:t>
      </w:r>
    </w:p>
    <w:p w14:paraId="1E65D15E" w14:textId="3E9822FE" w:rsidR="00130447" w:rsidRDefault="00130447" w:rsidP="00130447">
      <w:pPr>
        <w:pStyle w:val="ListParagraph"/>
        <w:numPr>
          <w:ilvl w:val="0"/>
          <w:numId w:val="3"/>
        </w:numPr>
      </w:pPr>
      <w:r w:rsidRPr="00130447">
        <w:t>Founded in 2017</w:t>
      </w:r>
    </w:p>
    <w:p w14:paraId="6D8338DF" w14:textId="679DE405" w:rsidR="006F6DD8" w:rsidRDefault="006F6DD8" w:rsidP="006F6DD8"/>
    <w:p w14:paraId="2F41729A" w14:textId="69165CCA" w:rsidR="006F6DD8" w:rsidRPr="006F6DD8" w:rsidRDefault="006F6DD8" w:rsidP="0052212E">
      <w:pPr>
        <w:pStyle w:val="Heading1"/>
      </w:pPr>
      <w:r w:rsidRPr="006F6DD8">
        <w:t>Slide 3</w:t>
      </w:r>
    </w:p>
    <w:p w14:paraId="19F299C3" w14:textId="26E51F7E" w:rsidR="006F6DD8" w:rsidRDefault="006F6DD8" w:rsidP="00E36862">
      <w:pPr>
        <w:pStyle w:val="Heading2"/>
      </w:pPr>
      <w:r w:rsidRPr="006F6DD8">
        <w:t>This presentation will:</w:t>
      </w:r>
    </w:p>
    <w:p w14:paraId="3255C649" w14:textId="77777777" w:rsidR="006F6DD8" w:rsidRPr="006F6DD8" w:rsidRDefault="006F6DD8" w:rsidP="006F6DD8">
      <w:pPr>
        <w:numPr>
          <w:ilvl w:val="0"/>
          <w:numId w:val="4"/>
        </w:numPr>
      </w:pPr>
      <w:r w:rsidRPr="006F6DD8">
        <w:t xml:space="preserve">Highlight epidemiology of firearm injury </w:t>
      </w:r>
    </w:p>
    <w:p w14:paraId="1FA4A986" w14:textId="77777777" w:rsidR="006F6DD8" w:rsidRPr="006F6DD8" w:rsidRDefault="006F6DD8" w:rsidP="006F6DD8">
      <w:pPr>
        <w:numPr>
          <w:ilvl w:val="0"/>
          <w:numId w:val="4"/>
        </w:numPr>
      </w:pPr>
      <w:r w:rsidRPr="006F6DD8">
        <w:t>Share data from the California Safety and Wellbeing Survey (</w:t>
      </w:r>
      <w:proofErr w:type="spellStart"/>
      <w:r w:rsidRPr="006F6DD8">
        <w:t>CSaWS</w:t>
      </w:r>
      <w:proofErr w:type="spellEnd"/>
      <w:r w:rsidRPr="006F6DD8">
        <w:t xml:space="preserve">) </w:t>
      </w:r>
    </w:p>
    <w:p w14:paraId="0B084CB4" w14:textId="77777777" w:rsidR="006F6DD8" w:rsidRPr="006F6DD8" w:rsidRDefault="006F6DD8" w:rsidP="006F6DD8">
      <w:pPr>
        <w:numPr>
          <w:ilvl w:val="0"/>
          <w:numId w:val="4"/>
        </w:numPr>
      </w:pPr>
      <w:r w:rsidRPr="006F6DD8">
        <w:t>Introduce the “Swiss cheese model” of prevention</w:t>
      </w:r>
    </w:p>
    <w:p w14:paraId="3EF5DC72" w14:textId="4D5A3AB0" w:rsidR="006F6DD8" w:rsidRDefault="006F6DD8" w:rsidP="006F6DD8"/>
    <w:p w14:paraId="198A3F6B" w14:textId="0AF4E243" w:rsidR="006F6DD8" w:rsidRDefault="006F6DD8" w:rsidP="0052212E">
      <w:pPr>
        <w:pStyle w:val="Heading1"/>
      </w:pPr>
      <w:r>
        <w:t>Slide 4</w:t>
      </w:r>
    </w:p>
    <w:p w14:paraId="6F98CBE6" w14:textId="5E9B712E" w:rsidR="0052212E" w:rsidRDefault="0052212E" w:rsidP="00E36862">
      <w:pPr>
        <w:pStyle w:val="Heading2"/>
      </w:pPr>
      <w:r w:rsidRPr="0052212E">
        <w:t>Epidemiology: Direct experiences of firearm violence</w:t>
      </w:r>
    </w:p>
    <w:p w14:paraId="2836BB61" w14:textId="77777777" w:rsidR="0052212E" w:rsidRPr="0052212E" w:rsidRDefault="0052212E" w:rsidP="0052212E">
      <w:pPr>
        <w:pStyle w:val="ListParagraph"/>
        <w:numPr>
          <w:ilvl w:val="0"/>
          <w:numId w:val="6"/>
        </w:numPr>
      </w:pPr>
      <w:r w:rsidRPr="0052212E">
        <w:t>Fatal firearm injury, 2020, in the US: 45,222 people</w:t>
      </w:r>
    </w:p>
    <w:p w14:paraId="56BF5273" w14:textId="77777777" w:rsidR="0052212E" w:rsidRPr="0052212E" w:rsidRDefault="0052212E" w:rsidP="0052212E">
      <w:pPr>
        <w:pStyle w:val="ListParagraph"/>
        <w:numPr>
          <w:ilvl w:val="1"/>
          <w:numId w:val="6"/>
        </w:numPr>
      </w:pPr>
      <w:r w:rsidRPr="0052212E">
        <w:t>California: 3,449 people died by firearm injury in 2020</w:t>
      </w:r>
    </w:p>
    <w:p w14:paraId="04CAFA4B" w14:textId="77777777" w:rsidR="0052212E" w:rsidRPr="0052212E" w:rsidRDefault="0052212E" w:rsidP="0052212E">
      <w:pPr>
        <w:pStyle w:val="ListParagraph"/>
        <w:numPr>
          <w:ilvl w:val="0"/>
          <w:numId w:val="6"/>
        </w:numPr>
      </w:pPr>
      <w:r w:rsidRPr="0052212E">
        <w:t>Nonfatal firearm injury data are widely underestimated</w:t>
      </w:r>
    </w:p>
    <w:p w14:paraId="79F0D407" w14:textId="77777777" w:rsidR="0052212E" w:rsidRPr="0052212E" w:rsidRDefault="0052212E" w:rsidP="0052212E">
      <w:pPr>
        <w:pStyle w:val="ListParagraph"/>
        <w:numPr>
          <w:ilvl w:val="1"/>
          <w:numId w:val="6"/>
        </w:numPr>
      </w:pPr>
      <w:r w:rsidRPr="0052212E">
        <w:lastRenderedPageBreak/>
        <w:t>Best estimates: 2-3x higher than number of deaths</w:t>
      </w:r>
    </w:p>
    <w:p w14:paraId="27030702" w14:textId="77777777" w:rsidR="0052212E" w:rsidRPr="0052212E" w:rsidRDefault="0052212E" w:rsidP="0052212E">
      <w:pPr>
        <w:pStyle w:val="ListParagraph"/>
        <w:numPr>
          <w:ilvl w:val="0"/>
          <w:numId w:val="6"/>
        </w:numPr>
      </w:pPr>
      <w:r w:rsidRPr="0052212E">
        <w:t>Significant disparities in populations impacted</w:t>
      </w:r>
    </w:p>
    <w:p w14:paraId="3A3091F2" w14:textId="77777777" w:rsidR="0052212E" w:rsidRPr="0052212E" w:rsidRDefault="0052212E" w:rsidP="0052212E">
      <w:pPr>
        <w:pStyle w:val="ListParagraph"/>
        <w:numPr>
          <w:ilvl w:val="1"/>
          <w:numId w:val="6"/>
        </w:numPr>
      </w:pPr>
      <w:r w:rsidRPr="0052212E">
        <w:t>Victims are more likely to be young, Black, males living in low-income, structurally disadvantaged neighborhoods</w:t>
      </w:r>
    </w:p>
    <w:p w14:paraId="745BCFEC" w14:textId="52E9E333" w:rsidR="0052212E" w:rsidRDefault="0052212E" w:rsidP="0052212E">
      <w:pPr>
        <w:pStyle w:val="ListParagraph"/>
        <w:numPr>
          <w:ilvl w:val="0"/>
          <w:numId w:val="6"/>
        </w:numPr>
      </w:pPr>
      <w:r w:rsidRPr="0052212E">
        <w:t>Long-term physical and psychological impacts, including long-term disability</w:t>
      </w:r>
    </w:p>
    <w:p w14:paraId="71BE0433" w14:textId="7E5DD10F" w:rsidR="005D00C6" w:rsidRDefault="005D00C6" w:rsidP="005D00C6"/>
    <w:p w14:paraId="702A296D" w14:textId="607701F6" w:rsidR="005D00C6" w:rsidRDefault="005D00C6" w:rsidP="00412086">
      <w:pPr>
        <w:pStyle w:val="Heading1"/>
      </w:pPr>
      <w:r>
        <w:t xml:space="preserve">Slide 5 </w:t>
      </w:r>
    </w:p>
    <w:p w14:paraId="50931D7F" w14:textId="45A7C973" w:rsidR="00412086" w:rsidRDefault="00412086" w:rsidP="00E36862">
      <w:pPr>
        <w:pStyle w:val="Heading2"/>
      </w:pPr>
      <w:r w:rsidRPr="00412086">
        <w:t>California Safety and Wellbeing Survey</w:t>
      </w:r>
    </w:p>
    <w:p w14:paraId="3787C7BB" w14:textId="77777777" w:rsidR="00412086" w:rsidRPr="00412086" w:rsidRDefault="00412086" w:rsidP="00412086">
      <w:pPr>
        <w:pStyle w:val="ListParagraph"/>
        <w:numPr>
          <w:ilvl w:val="0"/>
          <w:numId w:val="7"/>
        </w:numPr>
      </w:pPr>
      <w:r w:rsidRPr="00412086">
        <w:t>Repeated cross-sectional, all-online survey</w:t>
      </w:r>
    </w:p>
    <w:p w14:paraId="6F062FDD" w14:textId="77777777" w:rsidR="00412086" w:rsidRPr="00412086" w:rsidRDefault="00412086" w:rsidP="00412086">
      <w:pPr>
        <w:pStyle w:val="ListParagraph"/>
        <w:numPr>
          <w:ilvl w:val="0"/>
          <w:numId w:val="7"/>
        </w:numPr>
      </w:pPr>
      <w:r w:rsidRPr="00412086">
        <w:t>Wave 1 fielded Sept-Oct 2018 (N=2558)</w:t>
      </w:r>
    </w:p>
    <w:p w14:paraId="5B6736CE" w14:textId="77777777" w:rsidR="00412086" w:rsidRPr="00412086" w:rsidRDefault="00412086" w:rsidP="00412086">
      <w:pPr>
        <w:pStyle w:val="ListParagraph"/>
        <w:numPr>
          <w:ilvl w:val="0"/>
          <w:numId w:val="7"/>
        </w:numPr>
      </w:pPr>
      <w:r w:rsidRPr="00412086">
        <w:t>Wave 2 fielded July 2020 (N=2870)</w:t>
      </w:r>
    </w:p>
    <w:p w14:paraId="21AE710D" w14:textId="77777777" w:rsidR="00412086" w:rsidRPr="00412086" w:rsidRDefault="00412086" w:rsidP="00412086">
      <w:pPr>
        <w:pStyle w:val="ListParagraph"/>
        <w:numPr>
          <w:ilvl w:val="0"/>
          <w:numId w:val="7"/>
        </w:numPr>
      </w:pPr>
      <w:r w:rsidRPr="00412086">
        <w:t>Responses are weighted to be statistically representative of the adult population of California</w:t>
      </w:r>
    </w:p>
    <w:p w14:paraId="50E81C30" w14:textId="6D6790FC" w:rsidR="00412086" w:rsidRDefault="00412086" w:rsidP="00412086">
      <w:pPr>
        <w:pStyle w:val="ListParagraph"/>
        <w:numPr>
          <w:ilvl w:val="0"/>
          <w:numId w:val="7"/>
        </w:numPr>
      </w:pPr>
      <w:r w:rsidRPr="00412086">
        <w:t xml:space="preserve">Topics: perceptions of safety, exposure to </w:t>
      </w:r>
      <w:r w:rsidRPr="00412086">
        <w:br/>
        <w:t>violence, firearm ownership, and more</w:t>
      </w:r>
    </w:p>
    <w:p w14:paraId="1BF3453B" w14:textId="77777777" w:rsidR="00E36862" w:rsidRDefault="00E36862" w:rsidP="00412086"/>
    <w:p w14:paraId="3931F601" w14:textId="2D59058D" w:rsidR="00412086" w:rsidRPr="0052212E" w:rsidRDefault="00412086" w:rsidP="00412086">
      <w:r>
        <w:t>Image – outline of California in gold with “</w:t>
      </w:r>
      <w:proofErr w:type="spellStart"/>
      <w:r>
        <w:t>CSaWS</w:t>
      </w:r>
      <w:proofErr w:type="spellEnd"/>
      <w:r>
        <w:t>” across the middle in navy font</w:t>
      </w:r>
      <w:r w:rsidR="008D4CF6">
        <w:t>.</w:t>
      </w:r>
      <w:r>
        <w:t xml:space="preserve"> </w:t>
      </w:r>
    </w:p>
    <w:p w14:paraId="1E73910F" w14:textId="77777777" w:rsidR="00D72FF4" w:rsidRDefault="00D72FF4" w:rsidP="00F56BC5"/>
    <w:p w14:paraId="235AA225" w14:textId="3893B1F2" w:rsidR="00EA6F8C" w:rsidRDefault="00F56BC5" w:rsidP="005B7DA7">
      <w:pPr>
        <w:pStyle w:val="Heading1"/>
      </w:pPr>
      <w:r>
        <w:t xml:space="preserve">Slide 6 </w:t>
      </w:r>
    </w:p>
    <w:p w14:paraId="34C5AC55" w14:textId="121FD840" w:rsidR="00F56BC5" w:rsidRDefault="00F56BC5" w:rsidP="00E36862">
      <w:pPr>
        <w:pStyle w:val="Heading2"/>
      </w:pPr>
      <w:r w:rsidRPr="00F56BC5">
        <w:t>Socioemotional effects of violence are worsened by firearms</w:t>
      </w:r>
    </w:p>
    <w:p w14:paraId="6AB7C69F" w14:textId="77777777" w:rsidR="00E36862" w:rsidRDefault="00E36862" w:rsidP="00F56BC5"/>
    <w:p w14:paraId="4C786D45" w14:textId="5C11FA89" w:rsidR="00F56BC5" w:rsidRDefault="00166901" w:rsidP="00E36862">
      <w:pPr>
        <w:pStyle w:val="Heading3"/>
      </w:pPr>
      <w:r>
        <w:t>Distress</w:t>
      </w:r>
    </w:p>
    <w:p w14:paraId="50757A44" w14:textId="25D9B1BB" w:rsidR="008303EE" w:rsidRDefault="00F56BC5" w:rsidP="00EA6F8C">
      <w:pPr>
        <w:pStyle w:val="ListParagraph"/>
        <w:numPr>
          <w:ilvl w:val="0"/>
          <w:numId w:val="8"/>
        </w:numPr>
      </w:pPr>
      <w:r>
        <w:t>50% of people exposed to violence felt the event was severely distressing</w:t>
      </w:r>
    </w:p>
    <w:p w14:paraId="4BE759D5" w14:textId="7A6A370E" w:rsidR="00F56BC5" w:rsidRDefault="00F56BC5" w:rsidP="00F56BC5">
      <w:pPr>
        <w:pStyle w:val="ListParagraph"/>
        <w:numPr>
          <w:ilvl w:val="0"/>
          <w:numId w:val="8"/>
        </w:numPr>
      </w:pPr>
      <w:r>
        <w:t>Pie chart</w:t>
      </w:r>
      <w:r w:rsidR="00EA6F8C">
        <w:t xml:space="preserve">: </w:t>
      </w:r>
      <w:r>
        <w:t>50% severely</w:t>
      </w:r>
      <w:r w:rsidR="00EA6F8C">
        <w:t xml:space="preserve">; </w:t>
      </w:r>
      <w:r>
        <w:t>24% moderately</w:t>
      </w:r>
      <w:r w:rsidR="00EA6F8C">
        <w:t xml:space="preserve">; </w:t>
      </w:r>
      <w:r>
        <w:t>24% mildly</w:t>
      </w:r>
      <w:r w:rsidR="00EA6F8C">
        <w:t xml:space="preserve">; </w:t>
      </w:r>
      <w:r>
        <w:t>2% not at all</w:t>
      </w:r>
      <w:r w:rsidR="008D4CF6">
        <w:t>.</w:t>
      </w:r>
    </w:p>
    <w:p w14:paraId="43163F87" w14:textId="77777777" w:rsidR="00514139" w:rsidRDefault="00514139" w:rsidP="00B90C52"/>
    <w:p w14:paraId="732A8EA7" w14:textId="038A149F" w:rsidR="00B90C52" w:rsidRDefault="00166901" w:rsidP="00E36862">
      <w:pPr>
        <w:pStyle w:val="Heading3"/>
      </w:pPr>
      <w:r>
        <w:t>Social Functioning Problems</w:t>
      </w:r>
    </w:p>
    <w:p w14:paraId="2DA14743" w14:textId="214089FF" w:rsidR="00B54A7D" w:rsidRDefault="00B54A7D" w:rsidP="008D4CF6">
      <w:pPr>
        <w:pStyle w:val="ListParagraph"/>
        <w:numPr>
          <w:ilvl w:val="0"/>
          <w:numId w:val="25"/>
        </w:numPr>
      </w:pPr>
      <w:r>
        <w:t>Bar chart: 47% said the violence led to problems with their family, friends, and/or school; 12</w:t>
      </w:r>
      <w:r w:rsidR="00514139">
        <w:t>% of people not exposed to violence had such problems in the past year.</w:t>
      </w:r>
    </w:p>
    <w:p w14:paraId="4AC44A4B" w14:textId="77777777" w:rsidR="00B90C52" w:rsidRDefault="00B90C52" w:rsidP="00B90C52"/>
    <w:p w14:paraId="1174FFAE" w14:textId="63FC88D0" w:rsidR="00941ED1" w:rsidRDefault="00941ED1" w:rsidP="00E36862">
      <w:pPr>
        <w:pStyle w:val="Heading3"/>
      </w:pPr>
      <w:r>
        <w:t xml:space="preserve">Firearms &amp; Other Weapons </w:t>
      </w:r>
      <w:r w:rsidR="00A134C0">
        <w:t>Worsened</w:t>
      </w:r>
      <w:r>
        <w:t xml:space="preserve"> </w:t>
      </w:r>
      <w:r w:rsidR="00A134C0">
        <w:t>Outcomes</w:t>
      </w:r>
    </w:p>
    <w:p w14:paraId="3F2AED12" w14:textId="1130340F" w:rsidR="00941ED1" w:rsidRDefault="00941ED1" w:rsidP="00B90C52">
      <w:pPr>
        <w:pStyle w:val="ListParagraph"/>
        <w:numPr>
          <w:ilvl w:val="0"/>
          <w:numId w:val="9"/>
        </w:numPr>
      </w:pPr>
      <w:r>
        <w:t>When a weapon was present:</w:t>
      </w:r>
    </w:p>
    <w:p w14:paraId="0149D8BA" w14:textId="478FF33C" w:rsidR="00941ED1" w:rsidRDefault="00A42084" w:rsidP="00B90C52">
      <w:pPr>
        <w:pStyle w:val="ListParagraph"/>
        <w:numPr>
          <w:ilvl w:val="0"/>
          <w:numId w:val="9"/>
        </w:numPr>
      </w:pPr>
      <w:r>
        <w:t xml:space="preserve">Respondents who experienced severe distress were more </w:t>
      </w:r>
      <w:r w:rsidR="00381F91">
        <w:t>likely to report that a weapon other than a firearm was involved.</w:t>
      </w:r>
    </w:p>
    <w:p w14:paraId="787332CA" w14:textId="702209F7" w:rsidR="00514139" w:rsidRDefault="00514139" w:rsidP="00514139"/>
    <w:p w14:paraId="2246FBCB" w14:textId="77777777" w:rsidR="00514139" w:rsidRPr="00514139" w:rsidRDefault="00514139" w:rsidP="00514139">
      <w:proofErr w:type="spellStart"/>
      <w:r w:rsidRPr="00514139">
        <w:lastRenderedPageBreak/>
        <w:t>CSaWS</w:t>
      </w:r>
      <w:proofErr w:type="spellEnd"/>
      <w:r w:rsidRPr="00514139">
        <w:t xml:space="preserve"> found that 4.1% (1.2M) California adults said they or a household member had experienced violence while living in their current neighborhood</w:t>
      </w:r>
    </w:p>
    <w:p w14:paraId="18366EAB" w14:textId="77777777" w:rsidR="00514139" w:rsidRPr="00514139" w:rsidRDefault="00514139" w:rsidP="00514139">
      <w:pPr>
        <w:pStyle w:val="ListParagraph"/>
        <w:numPr>
          <w:ilvl w:val="0"/>
          <w:numId w:val="10"/>
        </w:numPr>
      </w:pPr>
      <w:r w:rsidRPr="00514139">
        <w:t>50% involved directly</w:t>
      </w:r>
    </w:p>
    <w:p w14:paraId="7B405A61" w14:textId="77777777" w:rsidR="00514139" w:rsidRPr="00514139" w:rsidRDefault="00514139" w:rsidP="00514139">
      <w:pPr>
        <w:pStyle w:val="ListParagraph"/>
        <w:numPr>
          <w:ilvl w:val="0"/>
          <w:numId w:val="10"/>
        </w:numPr>
      </w:pPr>
      <w:r w:rsidRPr="00514139">
        <w:t>43% involved a household member</w:t>
      </w:r>
    </w:p>
    <w:p w14:paraId="64E533E0" w14:textId="442F5379" w:rsidR="00514139" w:rsidRDefault="00514139" w:rsidP="00514139">
      <w:pPr>
        <w:pStyle w:val="ListParagraph"/>
        <w:numPr>
          <w:ilvl w:val="0"/>
          <w:numId w:val="10"/>
        </w:numPr>
      </w:pPr>
      <w:r w:rsidRPr="00514139">
        <w:t>7% didn’t specify</w:t>
      </w:r>
    </w:p>
    <w:p w14:paraId="66A20F03" w14:textId="142054EF" w:rsidR="005B7DA7" w:rsidRDefault="005B7DA7" w:rsidP="005B7DA7"/>
    <w:p w14:paraId="376717D0" w14:textId="1A7190FD" w:rsidR="005B7DA7" w:rsidRDefault="005B7DA7" w:rsidP="00E36862">
      <w:pPr>
        <w:pStyle w:val="Heading3"/>
      </w:pPr>
      <w:r>
        <w:t xml:space="preserve">Citations: </w:t>
      </w:r>
    </w:p>
    <w:p w14:paraId="160EE911" w14:textId="6AEC7104" w:rsidR="005B7DA7" w:rsidRPr="005B7DA7" w:rsidRDefault="005B7DA7" w:rsidP="008941DF">
      <w:pPr>
        <w:pStyle w:val="ListParagraph"/>
        <w:numPr>
          <w:ilvl w:val="0"/>
          <w:numId w:val="26"/>
        </w:numPr>
      </w:pPr>
      <w:r w:rsidRPr="005B7DA7">
        <w:t xml:space="preserve">Graphic from </w:t>
      </w:r>
      <w:proofErr w:type="spellStart"/>
      <w:r w:rsidRPr="005B7DA7">
        <w:t>CSaWS</w:t>
      </w:r>
      <w:proofErr w:type="spellEnd"/>
      <w:r w:rsidRPr="005B7DA7">
        <w:t xml:space="preserve"> fact sheet: </w:t>
      </w:r>
      <w:hyperlink r:id="rId8" w:history="1">
        <w:r w:rsidRPr="005B7DA7">
          <w:rPr>
            <w:rStyle w:val="Hyperlink"/>
          </w:rPr>
          <w:t>https://health.ucdavis.edu/vprp/UCFC/Fact_Sheets/CSaWSBrief_JInterpersViol_Aubel.pdf</w:t>
        </w:r>
      </w:hyperlink>
      <w:r>
        <w:t xml:space="preserve"> </w:t>
      </w:r>
    </w:p>
    <w:p w14:paraId="550FF86E" w14:textId="7AF646A2" w:rsidR="005B7DA7" w:rsidRDefault="005B7DA7" w:rsidP="008941DF">
      <w:pPr>
        <w:pStyle w:val="ListParagraph"/>
        <w:numPr>
          <w:ilvl w:val="0"/>
          <w:numId w:val="26"/>
        </w:numPr>
      </w:pPr>
      <w:r w:rsidRPr="005B7DA7">
        <w:t xml:space="preserve">Source: </w:t>
      </w:r>
      <w:proofErr w:type="spellStart"/>
      <w:r w:rsidRPr="005B7DA7">
        <w:t>Aubel</w:t>
      </w:r>
      <w:proofErr w:type="spellEnd"/>
      <w:r w:rsidRPr="005B7DA7">
        <w:t xml:space="preserve"> AJ, </w:t>
      </w:r>
      <w:proofErr w:type="spellStart"/>
      <w:r w:rsidRPr="005B7DA7">
        <w:t>Pallin</w:t>
      </w:r>
      <w:proofErr w:type="spellEnd"/>
      <w:r w:rsidRPr="005B7DA7">
        <w:t xml:space="preserve"> R, Wintemute GJ, Kravitz-Wirtz N. Exposure to Violence, Firearm Involvement, and Socioemotional Consequences Among California Adults. J </w:t>
      </w:r>
      <w:proofErr w:type="spellStart"/>
      <w:r w:rsidRPr="005B7DA7">
        <w:t>Interpers</w:t>
      </w:r>
      <w:proofErr w:type="spellEnd"/>
      <w:r w:rsidRPr="005B7DA7">
        <w:t xml:space="preserve"> Violence. 2021 Dec;36(23-24):11822-11838. </w:t>
      </w:r>
      <w:proofErr w:type="spellStart"/>
      <w:r w:rsidRPr="005B7DA7">
        <w:t>doi</w:t>
      </w:r>
      <w:proofErr w:type="spellEnd"/>
      <w:r w:rsidRPr="005B7DA7">
        <w:t xml:space="preserve">: 10.1177/0886260520983924. </w:t>
      </w:r>
      <w:proofErr w:type="spellStart"/>
      <w:r w:rsidRPr="005B7DA7">
        <w:t>Epub</w:t>
      </w:r>
      <w:proofErr w:type="spellEnd"/>
      <w:r w:rsidRPr="005B7DA7">
        <w:t xml:space="preserve"> 2020 Dec 31. PMID: 33380237.</w:t>
      </w:r>
    </w:p>
    <w:p w14:paraId="5500B7FA" w14:textId="179EC6DE" w:rsidR="005B7DA7" w:rsidRDefault="005B7DA7" w:rsidP="005B7DA7"/>
    <w:p w14:paraId="413FEC58" w14:textId="4C0841A2" w:rsidR="005B7DA7" w:rsidRDefault="005B7DA7" w:rsidP="00F93AF4">
      <w:pPr>
        <w:pStyle w:val="Heading1"/>
      </w:pPr>
      <w:r>
        <w:t>Slide 7</w:t>
      </w:r>
    </w:p>
    <w:p w14:paraId="73CACF12" w14:textId="663E75C0" w:rsidR="00454A7C" w:rsidRDefault="00454A7C" w:rsidP="00E36862">
      <w:pPr>
        <w:pStyle w:val="Heading2"/>
      </w:pPr>
      <w:r>
        <w:t xml:space="preserve">Worry </w:t>
      </w:r>
      <w:r w:rsidRPr="00E36862">
        <w:t>about</w:t>
      </w:r>
      <w:r>
        <w:t xml:space="preserve"> violence</w:t>
      </w:r>
    </w:p>
    <w:p w14:paraId="34171DFB" w14:textId="029B93DF" w:rsidR="00454A7C" w:rsidRPr="00514C0F" w:rsidRDefault="00454A7C" w:rsidP="00454A7C">
      <w:r w:rsidRPr="00514C0F">
        <w:t xml:space="preserve">“[In general, </w:t>
      </w:r>
      <w:r w:rsidRPr="00514C0F">
        <w:rPr>
          <w:u w:val="single"/>
        </w:rPr>
        <w:t>before</w:t>
      </w:r>
      <w:r w:rsidRPr="00514C0F">
        <w:t xml:space="preserve"> the coronavirus epidemic/These days, </w:t>
      </w:r>
      <w:r w:rsidRPr="00514C0F">
        <w:rPr>
          <w:u w:val="single"/>
        </w:rPr>
        <w:t>during</w:t>
      </w:r>
      <w:r w:rsidRPr="00514C0F">
        <w:t xml:space="preserve"> the coronavirus epidemic], how worried [were/are] you about each of the following violent events happening to </w:t>
      </w:r>
      <w:r w:rsidRPr="00514C0F">
        <w:rPr>
          <w:u w:val="single"/>
        </w:rPr>
        <w:t>you</w:t>
      </w:r>
      <w:r w:rsidRPr="00514C0F">
        <w:t xml:space="preserve">?” </w:t>
      </w:r>
    </w:p>
    <w:p w14:paraId="49B72876" w14:textId="77777777" w:rsidR="00FC32F6" w:rsidRDefault="00FC32F6" w:rsidP="00454A7C"/>
    <w:p w14:paraId="7CE7B4A5" w14:textId="0D6426B6" w:rsidR="00C72A2A" w:rsidRPr="00C72A2A" w:rsidRDefault="00FC32F6" w:rsidP="00C72A2A">
      <w:r>
        <w:t xml:space="preserve">The following bar charts are </w:t>
      </w:r>
      <w:r w:rsidR="003E1046">
        <w:t>included on the slide</w:t>
      </w:r>
      <w:r w:rsidR="00C72A2A">
        <w:t xml:space="preserve">. Percentages in bold </w:t>
      </w:r>
      <w:r w:rsidR="00C72A2A" w:rsidRPr="00C72A2A">
        <w:t>equal p</w:t>
      </w:r>
      <w:r w:rsidR="00C72A2A">
        <w:t xml:space="preserve"> </w:t>
      </w:r>
      <w:r w:rsidR="00C72A2A" w:rsidRPr="00C72A2A">
        <w:t>&lt;.05, compared to pre-COVID</w:t>
      </w:r>
      <w:r w:rsidR="00C72A2A">
        <w:t xml:space="preserve">. Percentages in italics equal </w:t>
      </w:r>
      <w:r w:rsidR="00C72A2A" w:rsidRPr="00C72A2A">
        <w:t>=p</w:t>
      </w:r>
      <w:r w:rsidR="00C72A2A">
        <w:t xml:space="preserve"> </w:t>
      </w:r>
      <w:r w:rsidR="00C72A2A" w:rsidRPr="00C72A2A">
        <w:t>&lt;.10, compared to pre-COVID</w:t>
      </w:r>
      <w:r w:rsidR="00C72A2A">
        <w:t>.</w:t>
      </w:r>
    </w:p>
    <w:p w14:paraId="4D404E5F" w14:textId="77777777" w:rsidR="00727947" w:rsidRDefault="00727947" w:rsidP="005B7DA7"/>
    <w:p w14:paraId="05383B44" w14:textId="75F18320" w:rsidR="00454A7C" w:rsidRPr="006D5965" w:rsidRDefault="00454A7C" w:rsidP="00E36862">
      <w:pPr>
        <w:pStyle w:val="Heading3"/>
      </w:pPr>
      <w:r w:rsidRPr="006D5965">
        <w:t>Homicide</w:t>
      </w:r>
    </w:p>
    <w:p w14:paraId="16FADEC3" w14:textId="026AA85C" w:rsidR="00454A7C" w:rsidRDefault="00454A7C" w:rsidP="00727947">
      <w:pPr>
        <w:pStyle w:val="ListParagraph"/>
        <w:numPr>
          <w:ilvl w:val="0"/>
          <w:numId w:val="11"/>
        </w:numPr>
      </w:pPr>
      <w:r>
        <w:t>Pre-COVID</w:t>
      </w:r>
      <w:r w:rsidR="00FC32F6">
        <w:t>,</w:t>
      </w:r>
      <w:r>
        <w:t xml:space="preserve"> </w:t>
      </w:r>
      <w:r w:rsidR="00D13CB9">
        <w:t>n</w:t>
      </w:r>
      <w:r>
        <w:t xml:space="preserve">ot </w:t>
      </w:r>
      <w:r w:rsidR="00D13CB9">
        <w:t>w</w:t>
      </w:r>
      <w:r>
        <w:t>orried</w:t>
      </w:r>
      <w:r w:rsidR="00846E37">
        <w:t xml:space="preserve"> </w:t>
      </w:r>
      <w:r w:rsidR="00FC32F6">
        <w:t xml:space="preserve">= </w:t>
      </w:r>
      <w:r w:rsidR="00846E37">
        <w:t>54.7%</w:t>
      </w:r>
      <w:r w:rsidR="0097068B">
        <w:t xml:space="preserve">; </w:t>
      </w:r>
      <w:r w:rsidR="00020968">
        <w:t>d</w:t>
      </w:r>
      <w:r w:rsidR="0097068B">
        <w:t>uring COVID</w:t>
      </w:r>
      <w:r w:rsidR="00FC32F6">
        <w:t>,</w:t>
      </w:r>
      <w:r w:rsidR="0097068B">
        <w:t xml:space="preserve"> not worried</w:t>
      </w:r>
      <w:r w:rsidR="00D13CB9">
        <w:t xml:space="preserve"> </w:t>
      </w:r>
      <w:r w:rsidR="00FC32F6">
        <w:t xml:space="preserve">= </w:t>
      </w:r>
      <w:r w:rsidR="00D13CB9">
        <w:t>51.2%</w:t>
      </w:r>
      <w:r w:rsidR="002F0397">
        <w:t xml:space="preserve"> (in italics)</w:t>
      </w:r>
      <w:r w:rsidR="00020968">
        <w:t>.</w:t>
      </w:r>
      <w:r w:rsidR="002F0397">
        <w:t xml:space="preserve"> </w:t>
      </w:r>
    </w:p>
    <w:p w14:paraId="622AF58D" w14:textId="299CCBCD" w:rsidR="0097068B" w:rsidRDefault="0097068B" w:rsidP="00727947">
      <w:pPr>
        <w:pStyle w:val="ListParagraph"/>
        <w:numPr>
          <w:ilvl w:val="0"/>
          <w:numId w:val="11"/>
        </w:numPr>
      </w:pPr>
      <w:r>
        <w:t>Pre-COVID</w:t>
      </w:r>
      <w:r w:rsidR="00FC32F6">
        <w:t xml:space="preserve">, </w:t>
      </w:r>
      <w:r w:rsidR="00D13CB9">
        <w:t>s</w:t>
      </w:r>
      <w:r>
        <w:t>omewhat worried</w:t>
      </w:r>
      <w:r w:rsidR="00081776">
        <w:t xml:space="preserve"> </w:t>
      </w:r>
      <w:r w:rsidR="00FC32F6">
        <w:t xml:space="preserve">= </w:t>
      </w:r>
      <w:r w:rsidR="00081776">
        <w:t>32.1%</w:t>
      </w:r>
      <w:r>
        <w:t xml:space="preserve">; </w:t>
      </w:r>
      <w:r w:rsidR="00020968">
        <w:t>d</w:t>
      </w:r>
      <w:r>
        <w:t>uring COVID</w:t>
      </w:r>
      <w:r w:rsidR="00020968">
        <w:t>,</w:t>
      </w:r>
      <w:r w:rsidR="005C0B8C">
        <w:t xml:space="preserve"> somewhat worried</w:t>
      </w:r>
      <w:r w:rsidR="00081776">
        <w:t xml:space="preserve"> </w:t>
      </w:r>
      <w:r w:rsidR="00FC32F6">
        <w:t xml:space="preserve">= </w:t>
      </w:r>
      <w:r w:rsidR="00081776">
        <w:t>32.5%</w:t>
      </w:r>
      <w:r w:rsidR="00020968">
        <w:t>.</w:t>
      </w:r>
    </w:p>
    <w:p w14:paraId="23F11D5E" w14:textId="0A4B9EC5" w:rsidR="0097068B" w:rsidRPr="005B7DA7" w:rsidRDefault="0097068B" w:rsidP="00727947">
      <w:pPr>
        <w:pStyle w:val="ListParagraph"/>
        <w:numPr>
          <w:ilvl w:val="0"/>
          <w:numId w:val="11"/>
        </w:numPr>
      </w:pPr>
      <w:r>
        <w:t>Pre-COVID</w:t>
      </w:r>
      <w:r w:rsidR="003E1046">
        <w:t xml:space="preserve">, </w:t>
      </w:r>
      <w:r>
        <w:t>very worried</w:t>
      </w:r>
      <w:r w:rsidR="003E1046">
        <w:t xml:space="preserve"> = 11.9%</w:t>
      </w:r>
      <w:r w:rsidR="005C0B8C">
        <w:t>; during COVID</w:t>
      </w:r>
      <w:r w:rsidR="00020968">
        <w:t>,</w:t>
      </w:r>
      <w:r w:rsidR="005C0B8C">
        <w:t xml:space="preserve"> very worried </w:t>
      </w:r>
      <w:r w:rsidR="002F0397">
        <w:t xml:space="preserve">= 15.1% (in bold). </w:t>
      </w:r>
    </w:p>
    <w:p w14:paraId="11D3EAEB" w14:textId="45B6EA1B" w:rsidR="005B7DA7" w:rsidRDefault="005B7DA7" w:rsidP="005B7DA7"/>
    <w:p w14:paraId="153FDF69" w14:textId="77FB3FA4" w:rsidR="006D5965" w:rsidRDefault="006D5965" w:rsidP="00E36862">
      <w:pPr>
        <w:pStyle w:val="Heading3"/>
      </w:pPr>
      <w:r>
        <w:t xml:space="preserve">Police Violence </w:t>
      </w:r>
    </w:p>
    <w:p w14:paraId="3BE3E594" w14:textId="57DABFD1" w:rsidR="006D5965" w:rsidRDefault="006D5965" w:rsidP="006D5965">
      <w:pPr>
        <w:pStyle w:val="ListParagraph"/>
        <w:numPr>
          <w:ilvl w:val="0"/>
          <w:numId w:val="11"/>
        </w:numPr>
      </w:pPr>
      <w:r>
        <w:t xml:space="preserve">Pre-COVID, not worried = 53.7%; </w:t>
      </w:r>
      <w:r w:rsidR="00020968">
        <w:t>d</w:t>
      </w:r>
      <w:r>
        <w:t>uring COVID, not worried = 48.1% (in bold)</w:t>
      </w:r>
      <w:r w:rsidR="00020968">
        <w:t>.</w:t>
      </w:r>
      <w:r>
        <w:t xml:space="preserve"> </w:t>
      </w:r>
    </w:p>
    <w:p w14:paraId="30EB2653" w14:textId="320AA45D" w:rsidR="006D5965" w:rsidRDefault="006D5965" w:rsidP="006D5965">
      <w:pPr>
        <w:pStyle w:val="ListParagraph"/>
        <w:numPr>
          <w:ilvl w:val="0"/>
          <w:numId w:val="11"/>
        </w:numPr>
      </w:pPr>
      <w:r>
        <w:lastRenderedPageBreak/>
        <w:t xml:space="preserve">Pre-COVID, somewhat worried = </w:t>
      </w:r>
      <w:r w:rsidR="00951FB0">
        <w:t>30.5</w:t>
      </w:r>
      <w:r>
        <w:t xml:space="preserve">%; </w:t>
      </w:r>
      <w:r w:rsidR="00020968">
        <w:t>d</w:t>
      </w:r>
      <w:r>
        <w:t>uring COVID</w:t>
      </w:r>
      <w:r w:rsidR="00020968">
        <w:t>,</w:t>
      </w:r>
      <w:r>
        <w:t xml:space="preserve"> somewhat worried = </w:t>
      </w:r>
      <w:r w:rsidR="00951FB0">
        <w:t>30.9</w:t>
      </w:r>
      <w:r>
        <w:t>%</w:t>
      </w:r>
      <w:r w:rsidR="00020968">
        <w:t>.</w:t>
      </w:r>
    </w:p>
    <w:p w14:paraId="482A0389" w14:textId="5D504605" w:rsidR="006D5965" w:rsidRPr="005B7DA7" w:rsidRDefault="006D5965" w:rsidP="006D5965">
      <w:pPr>
        <w:pStyle w:val="ListParagraph"/>
        <w:numPr>
          <w:ilvl w:val="0"/>
          <w:numId w:val="11"/>
        </w:numPr>
      </w:pPr>
      <w:r>
        <w:t xml:space="preserve">Pre-COVID, very worried = </w:t>
      </w:r>
      <w:r w:rsidR="00951FB0">
        <w:t>14.7</w:t>
      </w:r>
      <w:r>
        <w:t>%; during COVID</w:t>
      </w:r>
      <w:r w:rsidR="00020968">
        <w:t>,</w:t>
      </w:r>
      <w:r>
        <w:t xml:space="preserve"> very worried = </w:t>
      </w:r>
      <w:r w:rsidR="00951FB0">
        <w:t>19.7</w:t>
      </w:r>
      <w:r>
        <w:t xml:space="preserve">% (in bold). </w:t>
      </w:r>
    </w:p>
    <w:p w14:paraId="7CC565EB" w14:textId="6345B74E" w:rsidR="006D5965" w:rsidRDefault="006D5965" w:rsidP="005B7DA7"/>
    <w:p w14:paraId="0496173D" w14:textId="0221BD0C" w:rsidR="00166901" w:rsidRDefault="00166901" w:rsidP="00C72A2A">
      <w:pPr>
        <w:pStyle w:val="Heading3"/>
      </w:pPr>
      <w:r>
        <w:t>Assault</w:t>
      </w:r>
    </w:p>
    <w:p w14:paraId="4195B09A" w14:textId="38C8E3F1" w:rsidR="00951FB0" w:rsidRDefault="00951FB0" w:rsidP="00951FB0">
      <w:pPr>
        <w:pStyle w:val="ListParagraph"/>
        <w:numPr>
          <w:ilvl w:val="0"/>
          <w:numId w:val="11"/>
        </w:numPr>
      </w:pPr>
      <w:r>
        <w:t xml:space="preserve">Pre-COVID, not worried = </w:t>
      </w:r>
      <w:r w:rsidR="002C6F91">
        <w:t>39.9</w:t>
      </w:r>
      <w:r>
        <w:t xml:space="preserve">%; </w:t>
      </w:r>
      <w:r w:rsidR="00020968">
        <w:t>d</w:t>
      </w:r>
      <w:r>
        <w:t xml:space="preserve">uring COVID, not worried = </w:t>
      </w:r>
      <w:r w:rsidR="002C6F91">
        <w:t>36.5</w:t>
      </w:r>
      <w:r>
        <w:t xml:space="preserve">% (in </w:t>
      </w:r>
      <w:r w:rsidR="002C6F91">
        <w:t>italics</w:t>
      </w:r>
      <w:r>
        <w:t xml:space="preserve">) </w:t>
      </w:r>
    </w:p>
    <w:p w14:paraId="26A4D3E5" w14:textId="4EFCA262" w:rsidR="00951FB0" w:rsidRDefault="00951FB0" w:rsidP="00951FB0">
      <w:pPr>
        <w:pStyle w:val="ListParagraph"/>
        <w:numPr>
          <w:ilvl w:val="0"/>
          <w:numId w:val="11"/>
        </w:numPr>
      </w:pPr>
      <w:r>
        <w:t xml:space="preserve">Pre-COVID, somewhat worried = </w:t>
      </w:r>
      <w:r w:rsidR="002C6F91">
        <w:t>45.8</w:t>
      </w:r>
      <w:r>
        <w:t xml:space="preserve">%; </w:t>
      </w:r>
      <w:r w:rsidR="00020968">
        <w:t>d</w:t>
      </w:r>
      <w:r>
        <w:t>uring COVID</w:t>
      </w:r>
      <w:r w:rsidR="00020968">
        <w:t>,</w:t>
      </w:r>
      <w:r>
        <w:t xml:space="preserve"> somewhat worried = </w:t>
      </w:r>
      <w:r w:rsidR="004334A4">
        <w:t>43.9</w:t>
      </w:r>
      <w:r>
        <w:t>%</w:t>
      </w:r>
    </w:p>
    <w:p w14:paraId="1C61CAC4" w14:textId="4CEE5C9F" w:rsidR="00951FB0" w:rsidRDefault="00951FB0" w:rsidP="00951FB0">
      <w:pPr>
        <w:pStyle w:val="ListParagraph"/>
        <w:numPr>
          <w:ilvl w:val="0"/>
          <w:numId w:val="11"/>
        </w:numPr>
      </w:pPr>
      <w:r>
        <w:t xml:space="preserve">Pre-COVID, very worried = </w:t>
      </w:r>
      <w:r w:rsidR="004334A4">
        <w:t>13.3</w:t>
      </w:r>
      <w:r>
        <w:t>%; during COVID</w:t>
      </w:r>
      <w:r w:rsidR="00020968">
        <w:t>,</w:t>
      </w:r>
      <w:r>
        <w:t xml:space="preserve"> very worried = </w:t>
      </w:r>
      <w:r w:rsidR="004334A4">
        <w:t>18.6</w:t>
      </w:r>
      <w:r>
        <w:t xml:space="preserve">% (in bold). </w:t>
      </w:r>
    </w:p>
    <w:p w14:paraId="1618315C" w14:textId="0C03B508" w:rsidR="004334A4" w:rsidRDefault="004334A4" w:rsidP="004334A4"/>
    <w:p w14:paraId="0544B9F8" w14:textId="548636CA" w:rsidR="004334A4" w:rsidRDefault="004334A4" w:rsidP="00C72A2A">
      <w:pPr>
        <w:pStyle w:val="Heading3"/>
      </w:pPr>
      <w:r>
        <w:t>Robbery</w:t>
      </w:r>
    </w:p>
    <w:p w14:paraId="1DE881C3" w14:textId="129D3BB4" w:rsidR="004334A4" w:rsidRDefault="004334A4" w:rsidP="004334A4">
      <w:pPr>
        <w:pStyle w:val="ListParagraph"/>
        <w:numPr>
          <w:ilvl w:val="0"/>
          <w:numId w:val="11"/>
        </w:numPr>
      </w:pPr>
      <w:r>
        <w:t xml:space="preserve">Pre-COVID, not worried = </w:t>
      </w:r>
      <w:r w:rsidR="00611778">
        <w:t>33.5</w:t>
      </w:r>
      <w:r>
        <w:t xml:space="preserve">%; </w:t>
      </w:r>
      <w:r w:rsidR="00020968">
        <w:t>d</w:t>
      </w:r>
      <w:r>
        <w:t xml:space="preserve">uring COVID, not worried = </w:t>
      </w:r>
      <w:r w:rsidR="00611778">
        <w:t>30.8%</w:t>
      </w:r>
      <w:r w:rsidR="00020968">
        <w:t>.</w:t>
      </w:r>
    </w:p>
    <w:p w14:paraId="7BC6C890" w14:textId="766FBBE0" w:rsidR="004334A4" w:rsidRDefault="004334A4" w:rsidP="004334A4">
      <w:pPr>
        <w:pStyle w:val="ListParagraph"/>
        <w:numPr>
          <w:ilvl w:val="0"/>
          <w:numId w:val="11"/>
        </w:numPr>
      </w:pPr>
      <w:r>
        <w:t xml:space="preserve">Pre-COVID, somewhat worried = </w:t>
      </w:r>
      <w:r w:rsidR="00611778">
        <w:t>50.2</w:t>
      </w:r>
      <w:r>
        <w:t xml:space="preserve">%; </w:t>
      </w:r>
      <w:r w:rsidR="00020968">
        <w:t>d</w:t>
      </w:r>
      <w:r>
        <w:t>uring COVID</w:t>
      </w:r>
      <w:r w:rsidR="00020968">
        <w:t>,</w:t>
      </w:r>
      <w:r>
        <w:t xml:space="preserve"> somewhat worried = </w:t>
      </w:r>
      <w:r w:rsidR="00611778">
        <w:t>46.3% (in italics)</w:t>
      </w:r>
      <w:r w:rsidR="00020968">
        <w:t>.</w:t>
      </w:r>
    </w:p>
    <w:p w14:paraId="14093B65" w14:textId="37876A66" w:rsidR="004334A4" w:rsidRPr="005B7DA7" w:rsidRDefault="004334A4" w:rsidP="004334A4">
      <w:pPr>
        <w:pStyle w:val="ListParagraph"/>
        <w:numPr>
          <w:ilvl w:val="0"/>
          <w:numId w:val="11"/>
        </w:numPr>
      </w:pPr>
      <w:r>
        <w:t xml:space="preserve">Pre-COVID, very worried = </w:t>
      </w:r>
      <w:r w:rsidR="00611778">
        <w:t>15.3</w:t>
      </w:r>
      <w:r>
        <w:t>%; during COVID</w:t>
      </w:r>
      <w:r w:rsidR="00020968">
        <w:t>,</w:t>
      </w:r>
      <w:r>
        <w:t xml:space="preserve"> very worried = </w:t>
      </w:r>
      <w:r w:rsidR="00611778">
        <w:t>22</w:t>
      </w:r>
      <w:r>
        <w:t xml:space="preserve">% (in bold). </w:t>
      </w:r>
    </w:p>
    <w:p w14:paraId="3BF0BF52" w14:textId="77777777" w:rsidR="004334A4" w:rsidRPr="005B7DA7" w:rsidRDefault="004334A4" w:rsidP="004334A4"/>
    <w:p w14:paraId="635E223D" w14:textId="50549F80" w:rsidR="00166901" w:rsidRDefault="00120FB3" w:rsidP="00120FB3">
      <w:pPr>
        <w:pStyle w:val="Heading3"/>
      </w:pPr>
      <w:r>
        <w:t>Citations</w:t>
      </w:r>
    </w:p>
    <w:p w14:paraId="2B102BF8" w14:textId="77777777" w:rsidR="00120FB3" w:rsidRPr="00120FB3" w:rsidRDefault="00120FB3" w:rsidP="00020968">
      <w:pPr>
        <w:pStyle w:val="ListParagraph"/>
        <w:numPr>
          <w:ilvl w:val="0"/>
          <w:numId w:val="13"/>
        </w:numPr>
      </w:pPr>
      <w:r w:rsidRPr="00120FB3">
        <w:t xml:space="preserve">Graphics courtesy of Amanda </w:t>
      </w:r>
      <w:proofErr w:type="spellStart"/>
      <w:r w:rsidRPr="00120FB3">
        <w:t>Aubel</w:t>
      </w:r>
      <w:proofErr w:type="spellEnd"/>
      <w:r w:rsidRPr="00120FB3">
        <w:t xml:space="preserve">, MPH, </w:t>
      </w:r>
      <w:proofErr w:type="spellStart"/>
      <w:r w:rsidRPr="00120FB3">
        <w:t>CSaWS</w:t>
      </w:r>
      <w:proofErr w:type="spellEnd"/>
      <w:r w:rsidRPr="00120FB3">
        <w:t xml:space="preserve"> research team, VPRP/ CA FVRC, UC Davis.</w:t>
      </w:r>
    </w:p>
    <w:p w14:paraId="26738244" w14:textId="77777777" w:rsidR="00120FB3" w:rsidRPr="00120FB3" w:rsidRDefault="00120FB3" w:rsidP="00020968">
      <w:pPr>
        <w:pStyle w:val="ListParagraph"/>
        <w:numPr>
          <w:ilvl w:val="0"/>
          <w:numId w:val="13"/>
        </w:numPr>
      </w:pPr>
      <w:r w:rsidRPr="00120FB3">
        <w:t xml:space="preserve">Source: Kravitz-Wirtz N, </w:t>
      </w:r>
      <w:proofErr w:type="spellStart"/>
      <w:r w:rsidRPr="00120FB3">
        <w:t>Aubel</w:t>
      </w:r>
      <w:proofErr w:type="spellEnd"/>
      <w:r w:rsidRPr="00120FB3">
        <w:t xml:space="preserve"> A, </w:t>
      </w:r>
      <w:proofErr w:type="spellStart"/>
      <w:r w:rsidRPr="00120FB3">
        <w:t>Schleimer</w:t>
      </w:r>
      <w:proofErr w:type="spellEnd"/>
      <w:r w:rsidRPr="00120FB3">
        <w:t xml:space="preserve"> J, </w:t>
      </w:r>
      <w:proofErr w:type="spellStart"/>
      <w:r w:rsidRPr="00120FB3">
        <w:t>Pallin</w:t>
      </w:r>
      <w:proofErr w:type="spellEnd"/>
      <w:r w:rsidRPr="00120FB3">
        <w:t xml:space="preserve"> R, Wintemute G. Public Concern About Violence, Firearms, and the COVID-19 Pandemic in California. </w:t>
      </w:r>
      <w:r w:rsidRPr="00020968">
        <w:rPr>
          <w:i/>
          <w:iCs/>
        </w:rPr>
        <w:t xml:space="preserve">JAMA </w:t>
      </w:r>
      <w:proofErr w:type="spellStart"/>
      <w:r w:rsidRPr="00020968">
        <w:rPr>
          <w:i/>
          <w:iCs/>
        </w:rPr>
        <w:t>Netw</w:t>
      </w:r>
      <w:proofErr w:type="spellEnd"/>
      <w:r w:rsidRPr="00020968">
        <w:rPr>
          <w:i/>
          <w:iCs/>
        </w:rPr>
        <w:t xml:space="preserve"> Open.</w:t>
      </w:r>
      <w:r w:rsidRPr="00120FB3">
        <w:t> 2021;4(1</w:t>
      </w:r>
      <w:proofErr w:type="gramStart"/>
      <w:r w:rsidRPr="00120FB3">
        <w:t>):e</w:t>
      </w:r>
      <w:proofErr w:type="gramEnd"/>
      <w:r w:rsidRPr="00120FB3">
        <w:t>2033484. doi:10.1001/jamanetworkopen.2020.33484</w:t>
      </w:r>
    </w:p>
    <w:p w14:paraId="5977D41B" w14:textId="173D129C" w:rsidR="00120FB3" w:rsidRDefault="00120FB3" w:rsidP="005B7DA7"/>
    <w:p w14:paraId="1CFFB66D" w14:textId="1F92F49A" w:rsidR="00DE7B48" w:rsidRDefault="00DE7B48" w:rsidP="009F20E4">
      <w:pPr>
        <w:pStyle w:val="Heading1"/>
      </w:pPr>
      <w:r>
        <w:t>Slide 8</w:t>
      </w:r>
    </w:p>
    <w:p w14:paraId="63BE87AB" w14:textId="63F5B053" w:rsidR="00DE7B48" w:rsidRDefault="009F20E4" w:rsidP="009F20E4">
      <w:pPr>
        <w:pStyle w:val="Heading2"/>
      </w:pPr>
      <w:r w:rsidRPr="009F20E4">
        <w:t>Worry about violence</w:t>
      </w:r>
    </w:p>
    <w:p w14:paraId="637A45E7" w14:textId="68B93BA4" w:rsidR="009F20E4" w:rsidRDefault="009F20E4" w:rsidP="009F20E4">
      <w:r w:rsidRPr="009F20E4">
        <w:t>“[In general, before the coronavirus epidemic/These days, during the coronavirus epidemic], how worried [were/are] you about each of the following violent events happening to you?”</w:t>
      </w:r>
    </w:p>
    <w:p w14:paraId="2531EDCD" w14:textId="077CA88B" w:rsidR="009F20E4" w:rsidRDefault="009F20E4" w:rsidP="009F20E4"/>
    <w:p w14:paraId="31B3D0BC" w14:textId="77777777" w:rsidR="009F20E4" w:rsidRPr="00C72A2A" w:rsidRDefault="009F20E4" w:rsidP="009F20E4">
      <w:r>
        <w:t xml:space="preserve">The following bar charts are included on the slide. Percentages in bold </w:t>
      </w:r>
      <w:r w:rsidRPr="00C72A2A">
        <w:t>equal p</w:t>
      </w:r>
      <w:r>
        <w:t xml:space="preserve"> </w:t>
      </w:r>
      <w:r w:rsidRPr="00C72A2A">
        <w:t>&lt;.05, compared to pre-COVID</w:t>
      </w:r>
      <w:r>
        <w:t xml:space="preserve">. Percentages in italics equal </w:t>
      </w:r>
      <w:r w:rsidRPr="00C72A2A">
        <w:t>=p</w:t>
      </w:r>
      <w:r>
        <w:t xml:space="preserve"> </w:t>
      </w:r>
      <w:r w:rsidRPr="00C72A2A">
        <w:t>&lt;.10, compared to pre-COVID</w:t>
      </w:r>
      <w:r>
        <w:t>.</w:t>
      </w:r>
    </w:p>
    <w:p w14:paraId="545A9285" w14:textId="481A96CC" w:rsidR="009F20E4" w:rsidRDefault="009F20E4" w:rsidP="009F20E4"/>
    <w:p w14:paraId="3F17DC03" w14:textId="5878D7B9" w:rsidR="002968FC" w:rsidRDefault="002968FC" w:rsidP="006335FE">
      <w:pPr>
        <w:pStyle w:val="Heading3"/>
      </w:pPr>
      <w:r>
        <w:lastRenderedPageBreak/>
        <w:t>Suicide</w:t>
      </w:r>
    </w:p>
    <w:p w14:paraId="3A4B4B18" w14:textId="3CEEF857" w:rsidR="002968FC" w:rsidRDefault="002968FC" w:rsidP="002968FC">
      <w:pPr>
        <w:pStyle w:val="ListParagraph"/>
        <w:numPr>
          <w:ilvl w:val="0"/>
          <w:numId w:val="11"/>
        </w:numPr>
      </w:pPr>
      <w:r>
        <w:t xml:space="preserve">Pre-COVID, not worried = </w:t>
      </w:r>
      <w:r w:rsidR="00972263">
        <w:t>74.6</w:t>
      </w:r>
      <w:r>
        <w:t xml:space="preserve">%; </w:t>
      </w:r>
      <w:r w:rsidR="00020968">
        <w:t>d</w:t>
      </w:r>
      <w:r>
        <w:t xml:space="preserve">uring COVID, not worried = </w:t>
      </w:r>
      <w:r w:rsidR="00972263">
        <w:t>71</w:t>
      </w:r>
      <w:r>
        <w:t>%</w:t>
      </w:r>
      <w:r w:rsidR="00972263">
        <w:t xml:space="preserve"> (in italics)</w:t>
      </w:r>
      <w:r w:rsidR="00020968">
        <w:t>.</w:t>
      </w:r>
    </w:p>
    <w:p w14:paraId="758CB72D" w14:textId="15553418" w:rsidR="002968FC" w:rsidRDefault="002968FC" w:rsidP="002968FC">
      <w:pPr>
        <w:pStyle w:val="ListParagraph"/>
        <w:numPr>
          <w:ilvl w:val="0"/>
          <w:numId w:val="11"/>
        </w:numPr>
      </w:pPr>
      <w:r>
        <w:t xml:space="preserve">Pre-COVID, somewhat worried = </w:t>
      </w:r>
      <w:r w:rsidR="00972263">
        <w:t>16.6</w:t>
      </w:r>
      <w:r>
        <w:t xml:space="preserve">%; </w:t>
      </w:r>
      <w:r w:rsidR="00020968">
        <w:t>d</w:t>
      </w:r>
      <w:r>
        <w:t>uring COVID</w:t>
      </w:r>
      <w:r w:rsidR="00020968">
        <w:t>,</w:t>
      </w:r>
      <w:r>
        <w:t xml:space="preserve"> somewhat worried = </w:t>
      </w:r>
      <w:r w:rsidR="00972263">
        <w:t>18.7</w:t>
      </w:r>
      <w:r>
        <w:t>%</w:t>
      </w:r>
      <w:r w:rsidR="00020968">
        <w:t>.</w:t>
      </w:r>
    </w:p>
    <w:p w14:paraId="325C22EC" w14:textId="7C0FD371" w:rsidR="002968FC" w:rsidRDefault="002968FC" w:rsidP="002968FC">
      <w:pPr>
        <w:pStyle w:val="ListParagraph"/>
        <w:numPr>
          <w:ilvl w:val="0"/>
          <w:numId w:val="11"/>
        </w:numPr>
      </w:pPr>
      <w:r>
        <w:t xml:space="preserve">Pre-COVID, very worried = </w:t>
      </w:r>
      <w:r w:rsidR="00972263">
        <w:t>7.9</w:t>
      </w:r>
      <w:r>
        <w:t>%; during COVID</w:t>
      </w:r>
      <w:r w:rsidR="00020968">
        <w:t>,</w:t>
      </w:r>
      <w:r>
        <w:t xml:space="preserve"> very worried = </w:t>
      </w:r>
      <w:r w:rsidR="00972263">
        <w:t>9.1</w:t>
      </w:r>
      <w:r>
        <w:t>%</w:t>
      </w:r>
      <w:r w:rsidR="00020968">
        <w:t>.</w:t>
      </w:r>
    </w:p>
    <w:p w14:paraId="13FDFC9A" w14:textId="7AA517A6" w:rsidR="00972263" w:rsidRDefault="00972263" w:rsidP="00972263"/>
    <w:p w14:paraId="2A8946F9" w14:textId="7247D52E" w:rsidR="00972263" w:rsidRDefault="00972263" w:rsidP="006335FE">
      <w:pPr>
        <w:pStyle w:val="Heading3"/>
      </w:pPr>
      <w:r>
        <w:t>Mass shooting</w:t>
      </w:r>
    </w:p>
    <w:p w14:paraId="12F4733E" w14:textId="4E0D85C9" w:rsidR="00972263" w:rsidRDefault="00972263" w:rsidP="00972263">
      <w:pPr>
        <w:pStyle w:val="ListParagraph"/>
        <w:numPr>
          <w:ilvl w:val="0"/>
          <w:numId w:val="11"/>
        </w:numPr>
      </w:pPr>
      <w:r>
        <w:t xml:space="preserve">Pre-COVID, not worried = </w:t>
      </w:r>
      <w:r w:rsidR="008559A3">
        <w:t>39.1</w:t>
      </w:r>
      <w:r>
        <w:t xml:space="preserve">%; </w:t>
      </w:r>
      <w:r w:rsidR="00020968">
        <w:t>d</w:t>
      </w:r>
      <w:r>
        <w:t xml:space="preserve">uring COVID, not worried = </w:t>
      </w:r>
      <w:r w:rsidR="008559A3">
        <w:t>43.2</w:t>
      </w:r>
      <w:r>
        <w:t>%</w:t>
      </w:r>
      <w:r w:rsidR="008559A3">
        <w:t xml:space="preserve"> (in bold)</w:t>
      </w:r>
      <w:r w:rsidR="00020968">
        <w:t>.</w:t>
      </w:r>
    </w:p>
    <w:p w14:paraId="46F5BB09" w14:textId="5900DEB6" w:rsidR="00972263" w:rsidRDefault="00972263" w:rsidP="00972263">
      <w:pPr>
        <w:pStyle w:val="ListParagraph"/>
        <w:numPr>
          <w:ilvl w:val="0"/>
          <w:numId w:val="11"/>
        </w:numPr>
      </w:pPr>
      <w:r>
        <w:t xml:space="preserve">Pre-COVID, somewhat worried = </w:t>
      </w:r>
      <w:r w:rsidR="008559A3">
        <w:t>41.2</w:t>
      </w:r>
      <w:r>
        <w:t xml:space="preserve">%; </w:t>
      </w:r>
      <w:r w:rsidR="00020968">
        <w:t>d</w:t>
      </w:r>
      <w:r>
        <w:t>uring COVID</w:t>
      </w:r>
      <w:r w:rsidR="00020968">
        <w:t>,</w:t>
      </w:r>
      <w:r>
        <w:t xml:space="preserve"> somewhat worried = </w:t>
      </w:r>
      <w:r w:rsidR="008559A3">
        <w:t>37.4</w:t>
      </w:r>
      <w:r>
        <w:t>% (in italics)</w:t>
      </w:r>
      <w:r w:rsidR="00020968">
        <w:t>.</w:t>
      </w:r>
    </w:p>
    <w:p w14:paraId="5C1513DF" w14:textId="1E9B8E70" w:rsidR="00972263" w:rsidRDefault="00972263" w:rsidP="00972263">
      <w:pPr>
        <w:pStyle w:val="ListParagraph"/>
        <w:numPr>
          <w:ilvl w:val="0"/>
          <w:numId w:val="11"/>
        </w:numPr>
      </w:pPr>
      <w:r>
        <w:t xml:space="preserve">Pre-COVID, very worried = </w:t>
      </w:r>
      <w:r w:rsidR="008559A3">
        <w:t>18.8</w:t>
      </w:r>
      <w:r>
        <w:t>%; during COVID</w:t>
      </w:r>
      <w:r w:rsidR="00020968">
        <w:t>,</w:t>
      </w:r>
      <w:r>
        <w:t xml:space="preserve"> very worried = </w:t>
      </w:r>
      <w:r w:rsidR="008559A3">
        <w:t>18</w:t>
      </w:r>
      <w:r>
        <w:t>%</w:t>
      </w:r>
      <w:r w:rsidR="00020968">
        <w:t>.</w:t>
      </w:r>
    </w:p>
    <w:p w14:paraId="05D145D1" w14:textId="60986AC3" w:rsidR="008559A3" w:rsidRDefault="008559A3" w:rsidP="008559A3"/>
    <w:p w14:paraId="5244A5FD" w14:textId="09C9E234" w:rsidR="008559A3" w:rsidRDefault="008559A3" w:rsidP="006335FE">
      <w:pPr>
        <w:pStyle w:val="Heading3"/>
      </w:pPr>
      <w:r>
        <w:t>Getting hit by stray bullet</w:t>
      </w:r>
    </w:p>
    <w:p w14:paraId="58495808" w14:textId="18AD6EBE" w:rsidR="008559A3" w:rsidRDefault="008559A3" w:rsidP="008559A3">
      <w:pPr>
        <w:pStyle w:val="ListParagraph"/>
        <w:numPr>
          <w:ilvl w:val="0"/>
          <w:numId w:val="11"/>
        </w:numPr>
      </w:pPr>
      <w:r>
        <w:t>Pre-COVID, not worried = 54</w:t>
      </w:r>
      <w:r w:rsidR="00244906">
        <w:t>.7</w:t>
      </w:r>
      <w:r>
        <w:t xml:space="preserve">%; </w:t>
      </w:r>
      <w:r w:rsidR="00020968">
        <w:t>d</w:t>
      </w:r>
      <w:r>
        <w:t xml:space="preserve">uring COVID, not worried = </w:t>
      </w:r>
      <w:r w:rsidR="00244906">
        <w:t>48.8</w:t>
      </w:r>
      <w:r>
        <w:t>%</w:t>
      </w:r>
      <w:r w:rsidR="00307793">
        <w:t xml:space="preserve"> (in bold)</w:t>
      </w:r>
      <w:r w:rsidR="00020968">
        <w:t>.</w:t>
      </w:r>
    </w:p>
    <w:p w14:paraId="10C322FB" w14:textId="13DB84B5" w:rsidR="008559A3" w:rsidRDefault="008559A3" w:rsidP="008559A3">
      <w:pPr>
        <w:pStyle w:val="ListParagraph"/>
        <w:numPr>
          <w:ilvl w:val="0"/>
          <w:numId w:val="11"/>
        </w:numPr>
      </w:pPr>
      <w:r>
        <w:t xml:space="preserve">Pre-COVID, somewhat worried = </w:t>
      </w:r>
      <w:r w:rsidR="00244906">
        <w:t>33.7</w:t>
      </w:r>
      <w:r>
        <w:t xml:space="preserve">%; </w:t>
      </w:r>
      <w:r w:rsidR="00020968">
        <w:t>d</w:t>
      </w:r>
      <w:r>
        <w:t>uring COVID</w:t>
      </w:r>
      <w:r w:rsidR="00020968">
        <w:t>,</w:t>
      </w:r>
      <w:r>
        <w:t xml:space="preserve"> somewhat worried = </w:t>
      </w:r>
      <w:r w:rsidR="00307793">
        <w:t>35.8%</w:t>
      </w:r>
      <w:r w:rsidR="00020968">
        <w:t>.</w:t>
      </w:r>
    </w:p>
    <w:p w14:paraId="2921C0EA" w14:textId="319AA6BE" w:rsidR="008559A3" w:rsidRPr="005B7DA7" w:rsidRDefault="008559A3" w:rsidP="008559A3">
      <w:pPr>
        <w:pStyle w:val="ListParagraph"/>
        <w:numPr>
          <w:ilvl w:val="0"/>
          <w:numId w:val="11"/>
        </w:numPr>
      </w:pPr>
      <w:r>
        <w:t xml:space="preserve">Pre-COVID, very worried = </w:t>
      </w:r>
      <w:r w:rsidR="00307793">
        <w:t>10.8</w:t>
      </w:r>
      <w:r>
        <w:t>%; during COVID</w:t>
      </w:r>
      <w:r w:rsidR="00020968">
        <w:t>,</w:t>
      </w:r>
      <w:r>
        <w:t xml:space="preserve"> very worried = </w:t>
      </w:r>
      <w:r w:rsidR="00307793">
        <w:t>14.3</w:t>
      </w:r>
      <w:r>
        <w:t xml:space="preserve">% (in bold). </w:t>
      </w:r>
    </w:p>
    <w:p w14:paraId="20F7AA34" w14:textId="77777777" w:rsidR="008559A3" w:rsidRPr="005B7DA7" w:rsidRDefault="008559A3" w:rsidP="008559A3"/>
    <w:p w14:paraId="48CA4636" w14:textId="0123C4FA" w:rsidR="00972263" w:rsidRDefault="00970EB8" w:rsidP="006335FE">
      <w:pPr>
        <w:pStyle w:val="Heading3"/>
      </w:pPr>
      <w:r>
        <w:t>Accidental shooting</w:t>
      </w:r>
    </w:p>
    <w:p w14:paraId="76C6A1BF" w14:textId="40210063" w:rsidR="00970EB8" w:rsidRDefault="00970EB8" w:rsidP="00970EB8">
      <w:pPr>
        <w:pStyle w:val="ListParagraph"/>
        <w:numPr>
          <w:ilvl w:val="0"/>
          <w:numId w:val="11"/>
        </w:numPr>
      </w:pPr>
      <w:r>
        <w:t xml:space="preserve">Pre-COVID, not worried = 56.2%; </w:t>
      </w:r>
      <w:r w:rsidR="00020968">
        <w:t>d</w:t>
      </w:r>
      <w:r>
        <w:t>uring COVID, not worried = 51% (in bold)</w:t>
      </w:r>
      <w:r w:rsidR="00020968">
        <w:t>.</w:t>
      </w:r>
    </w:p>
    <w:p w14:paraId="3D380F7A" w14:textId="1A8027DF" w:rsidR="00970EB8" w:rsidRDefault="00970EB8" w:rsidP="00970EB8">
      <w:pPr>
        <w:pStyle w:val="ListParagraph"/>
        <w:numPr>
          <w:ilvl w:val="0"/>
          <w:numId w:val="11"/>
        </w:numPr>
      </w:pPr>
      <w:r>
        <w:t xml:space="preserve">Pre-COVID, somewhat worried = </w:t>
      </w:r>
      <w:r w:rsidR="00F32147">
        <w:t>32.2</w:t>
      </w:r>
      <w:r>
        <w:t xml:space="preserve">%; </w:t>
      </w:r>
      <w:r w:rsidR="00020968">
        <w:t>d</w:t>
      </w:r>
      <w:r>
        <w:t>uring COVID</w:t>
      </w:r>
      <w:r w:rsidR="00020968">
        <w:t>,</w:t>
      </w:r>
      <w:r>
        <w:t xml:space="preserve"> somewhat worried = </w:t>
      </w:r>
      <w:r w:rsidR="00F32147">
        <w:t>33.9</w:t>
      </w:r>
      <w:r>
        <w:t>%</w:t>
      </w:r>
      <w:r w:rsidR="00020968">
        <w:t>.</w:t>
      </w:r>
      <w:r>
        <w:t xml:space="preserve"> </w:t>
      </w:r>
    </w:p>
    <w:p w14:paraId="2AB69529" w14:textId="418649A3" w:rsidR="00970EB8" w:rsidRPr="005B7DA7" w:rsidRDefault="00970EB8" w:rsidP="00970EB8">
      <w:pPr>
        <w:pStyle w:val="ListParagraph"/>
        <w:numPr>
          <w:ilvl w:val="0"/>
          <w:numId w:val="11"/>
        </w:numPr>
      </w:pPr>
      <w:r>
        <w:t xml:space="preserve">Pre-COVID, very worried = </w:t>
      </w:r>
      <w:r w:rsidR="00F32147">
        <w:t>10.5</w:t>
      </w:r>
      <w:r>
        <w:t>%; during COVID</w:t>
      </w:r>
      <w:r w:rsidR="00020968">
        <w:t>,</w:t>
      </w:r>
      <w:r>
        <w:t xml:space="preserve"> very worried = </w:t>
      </w:r>
      <w:r w:rsidR="00F32147">
        <w:t>14.2</w:t>
      </w:r>
      <w:r>
        <w:t xml:space="preserve">% (in bold). </w:t>
      </w:r>
    </w:p>
    <w:p w14:paraId="54485A8C" w14:textId="4E10D63D" w:rsidR="00970EB8" w:rsidRDefault="00970EB8" w:rsidP="00972263"/>
    <w:p w14:paraId="76F7CB22" w14:textId="1E1224BD" w:rsidR="00F32147" w:rsidRDefault="00F32147" w:rsidP="006335FE">
      <w:pPr>
        <w:pStyle w:val="Heading3"/>
      </w:pPr>
      <w:r>
        <w:t>Citations</w:t>
      </w:r>
    </w:p>
    <w:p w14:paraId="227A9B94" w14:textId="77777777" w:rsidR="006335FE" w:rsidRPr="006335FE" w:rsidRDefault="006335FE" w:rsidP="00020968">
      <w:pPr>
        <w:pStyle w:val="ListParagraph"/>
        <w:numPr>
          <w:ilvl w:val="0"/>
          <w:numId w:val="14"/>
        </w:numPr>
      </w:pPr>
      <w:r w:rsidRPr="006335FE">
        <w:t xml:space="preserve">Graphics courtesy of Amanda </w:t>
      </w:r>
      <w:proofErr w:type="spellStart"/>
      <w:r w:rsidRPr="006335FE">
        <w:t>Aubel</w:t>
      </w:r>
      <w:proofErr w:type="spellEnd"/>
      <w:r w:rsidRPr="006335FE">
        <w:t xml:space="preserve">, MPH, </w:t>
      </w:r>
      <w:proofErr w:type="spellStart"/>
      <w:r w:rsidRPr="006335FE">
        <w:t>CSaWS</w:t>
      </w:r>
      <w:proofErr w:type="spellEnd"/>
      <w:r w:rsidRPr="006335FE">
        <w:t xml:space="preserve"> research team, VPRP/ CA FVRC, UC Davis.</w:t>
      </w:r>
    </w:p>
    <w:p w14:paraId="3918309D" w14:textId="3D3D2783" w:rsidR="006335FE" w:rsidRDefault="006335FE" w:rsidP="00972263">
      <w:pPr>
        <w:pStyle w:val="ListParagraph"/>
        <w:numPr>
          <w:ilvl w:val="0"/>
          <w:numId w:val="14"/>
        </w:numPr>
      </w:pPr>
      <w:r w:rsidRPr="006335FE">
        <w:t xml:space="preserve">Source: Kravitz-Wirtz N, </w:t>
      </w:r>
      <w:proofErr w:type="spellStart"/>
      <w:r w:rsidRPr="006335FE">
        <w:t>Aubel</w:t>
      </w:r>
      <w:proofErr w:type="spellEnd"/>
      <w:r w:rsidRPr="006335FE">
        <w:t xml:space="preserve"> A, </w:t>
      </w:r>
      <w:proofErr w:type="spellStart"/>
      <w:r w:rsidRPr="006335FE">
        <w:t>Schleimer</w:t>
      </w:r>
      <w:proofErr w:type="spellEnd"/>
      <w:r w:rsidRPr="006335FE">
        <w:t xml:space="preserve"> J, </w:t>
      </w:r>
      <w:proofErr w:type="spellStart"/>
      <w:r w:rsidRPr="006335FE">
        <w:t>Pallin</w:t>
      </w:r>
      <w:proofErr w:type="spellEnd"/>
      <w:r w:rsidRPr="006335FE">
        <w:t xml:space="preserve"> R, Wintemute G. Public Concern About Violence, Firearms, and the COVID-19 Pandemic in California. </w:t>
      </w:r>
      <w:r w:rsidRPr="00020968">
        <w:rPr>
          <w:i/>
          <w:iCs/>
        </w:rPr>
        <w:t xml:space="preserve">JAMA </w:t>
      </w:r>
      <w:proofErr w:type="spellStart"/>
      <w:r w:rsidRPr="00020968">
        <w:rPr>
          <w:i/>
          <w:iCs/>
        </w:rPr>
        <w:t>Netw</w:t>
      </w:r>
      <w:proofErr w:type="spellEnd"/>
      <w:r w:rsidRPr="00020968">
        <w:rPr>
          <w:i/>
          <w:iCs/>
        </w:rPr>
        <w:t xml:space="preserve"> Open.</w:t>
      </w:r>
      <w:r w:rsidRPr="006335FE">
        <w:t> 2021;4(1</w:t>
      </w:r>
      <w:proofErr w:type="gramStart"/>
      <w:r w:rsidRPr="006335FE">
        <w:t>):e</w:t>
      </w:r>
      <w:proofErr w:type="gramEnd"/>
      <w:r w:rsidRPr="006335FE">
        <w:t>2033484. doi:10.1001/jamanetworkopen.2020.33484</w:t>
      </w:r>
    </w:p>
    <w:p w14:paraId="60D4F867" w14:textId="514E3F6D" w:rsidR="006335FE" w:rsidRDefault="006335FE" w:rsidP="00F34690">
      <w:pPr>
        <w:pStyle w:val="Heading1"/>
      </w:pPr>
      <w:r>
        <w:lastRenderedPageBreak/>
        <w:t>Slide 9</w:t>
      </w:r>
    </w:p>
    <w:p w14:paraId="432A70DE" w14:textId="423F95CF" w:rsidR="00B76D27" w:rsidRDefault="00D07506" w:rsidP="003E2961">
      <w:pPr>
        <w:pStyle w:val="Heading2"/>
      </w:pPr>
      <w:r>
        <w:t>Exposure to violence</w:t>
      </w:r>
    </w:p>
    <w:p w14:paraId="4A3CDA9C" w14:textId="77777777" w:rsidR="00B76D27" w:rsidRPr="00B76D27" w:rsidRDefault="00B76D27" w:rsidP="00B76D27">
      <w:r w:rsidRPr="00B76D27">
        <w:t xml:space="preserve">“[In general, </w:t>
      </w:r>
      <w:r w:rsidRPr="00B76D27">
        <w:rPr>
          <w:u w:val="single"/>
        </w:rPr>
        <w:t>before</w:t>
      </w:r>
      <w:r w:rsidRPr="00B76D27">
        <w:t xml:space="preserve"> the coronavirus epidemic/These days, </w:t>
      </w:r>
      <w:r w:rsidRPr="00B76D27">
        <w:rPr>
          <w:u w:val="single"/>
        </w:rPr>
        <w:t>during</w:t>
      </w:r>
      <w:r w:rsidRPr="00B76D27">
        <w:t xml:space="preserve"> the coronavirus epidemic], how much of a problem [were/are] gunshots and shootings in your neighborhood?”</w:t>
      </w:r>
    </w:p>
    <w:p w14:paraId="4ECF8413" w14:textId="22874329" w:rsidR="00D07506" w:rsidRDefault="00D07506" w:rsidP="00972263"/>
    <w:p w14:paraId="3A283657" w14:textId="2541C413" w:rsidR="00B76D27" w:rsidRDefault="00B76D27" w:rsidP="00972263">
      <w:r>
        <w:t xml:space="preserve">The following bar chart is included on the slide. Percentages in bold </w:t>
      </w:r>
      <w:r w:rsidRPr="00C72A2A">
        <w:t>equal p</w:t>
      </w:r>
      <w:r>
        <w:t xml:space="preserve"> </w:t>
      </w:r>
      <w:r w:rsidRPr="00C72A2A">
        <w:t>&lt;.05, compared to pre-COVID</w:t>
      </w:r>
      <w:r>
        <w:t>.</w:t>
      </w:r>
    </w:p>
    <w:p w14:paraId="670BE3F8" w14:textId="1C63013D" w:rsidR="003E2961" w:rsidRDefault="003E2961" w:rsidP="00972263"/>
    <w:p w14:paraId="1D334F3D" w14:textId="5DA21FAB" w:rsidR="003E2961" w:rsidRDefault="003E2961" w:rsidP="00E56438">
      <w:pPr>
        <w:pStyle w:val="Heading3"/>
      </w:pPr>
      <w:r>
        <w:t>Gunshots and shootings</w:t>
      </w:r>
    </w:p>
    <w:p w14:paraId="2FA5D4F0" w14:textId="0B66C8C6" w:rsidR="003E2961" w:rsidRDefault="00020968" w:rsidP="003E2961">
      <w:pPr>
        <w:pStyle w:val="ListParagraph"/>
        <w:numPr>
          <w:ilvl w:val="0"/>
          <w:numId w:val="12"/>
        </w:numPr>
      </w:pPr>
      <w:r>
        <w:t xml:space="preserve">Pre-COVID, big problem </w:t>
      </w:r>
      <w:r w:rsidR="00E56438">
        <w:t>=</w:t>
      </w:r>
      <w:r>
        <w:t xml:space="preserve"> 7%; during COVID</w:t>
      </w:r>
      <w:r w:rsidR="00E56438">
        <w:t>, big problem = 7.4%.</w:t>
      </w:r>
    </w:p>
    <w:p w14:paraId="01310B61" w14:textId="11140896" w:rsidR="00E56438" w:rsidRDefault="00E56438" w:rsidP="003E2961">
      <w:pPr>
        <w:pStyle w:val="ListParagraph"/>
        <w:numPr>
          <w:ilvl w:val="0"/>
          <w:numId w:val="12"/>
        </w:numPr>
      </w:pPr>
      <w:r>
        <w:t xml:space="preserve">Pre-COVID, small problem = 20%; during COVID, small problem = </w:t>
      </w:r>
      <w:r w:rsidR="006C1B66">
        <w:t>21.1%.</w:t>
      </w:r>
    </w:p>
    <w:p w14:paraId="489A2FBE" w14:textId="4B49A7F7" w:rsidR="006C1B66" w:rsidRDefault="006C1B66" w:rsidP="003E2961">
      <w:pPr>
        <w:pStyle w:val="ListParagraph"/>
        <w:numPr>
          <w:ilvl w:val="0"/>
          <w:numId w:val="12"/>
        </w:numPr>
      </w:pPr>
      <w:r>
        <w:t>Pre-COVID, not a problem = 66.3%; during COVID, not a problem = 62.3%</w:t>
      </w:r>
      <w:r w:rsidR="00A82E42">
        <w:t xml:space="preserve"> (in bold).</w:t>
      </w:r>
    </w:p>
    <w:p w14:paraId="69BB875D" w14:textId="69D17956" w:rsidR="006C1B66" w:rsidRDefault="006C1B66" w:rsidP="003E2961">
      <w:pPr>
        <w:pStyle w:val="ListParagraph"/>
        <w:numPr>
          <w:ilvl w:val="0"/>
          <w:numId w:val="12"/>
        </w:numPr>
      </w:pPr>
      <w:r>
        <w:t>Pre-COVID, don’t know = 6.1%; during COVID, don’t know =</w:t>
      </w:r>
      <w:r w:rsidR="00A82E42">
        <w:t xml:space="preserve"> 8.4% (in bold). </w:t>
      </w:r>
    </w:p>
    <w:p w14:paraId="2428C0FE" w14:textId="41E333E9" w:rsidR="00A82E42" w:rsidRDefault="00A82E42" w:rsidP="00A82E42"/>
    <w:p w14:paraId="444B4437" w14:textId="1B4F1E5A" w:rsidR="00A82E42" w:rsidRDefault="00A82E42" w:rsidP="001D63BB">
      <w:pPr>
        <w:pStyle w:val="Heading3"/>
      </w:pPr>
      <w:r>
        <w:t>Citations</w:t>
      </w:r>
    </w:p>
    <w:p w14:paraId="5BBC7CDC" w14:textId="77777777" w:rsidR="00A82E42" w:rsidRPr="00A82E42" w:rsidRDefault="00A82E42" w:rsidP="00A82E42">
      <w:pPr>
        <w:pStyle w:val="ListParagraph"/>
        <w:numPr>
          <w:ilvl w:val="0"/>
          <w:numId w:val="15"/>
        </w:numPr>
      </w:pPr>
      <w:r w:rsidRPr="00A82E42">
        <w:t xml:space="preserve">Graphics courtesy of Amanda </w:t>
      </w:r>
      <w:proofErr w:type="spellStart"/>
      <w:r w:rsidRPr="00A82E42">
        <w:t>Aubel</w:t>
      </w:r>
      <w:proofErr w:type="spellEnd"/>
      <w:r w:rsidRPr="00A82E42">
        <w:t xml:space="preserve">, MPH, </w:t>
      </w:r>
      <w:proofErr w:type="spellStart"/>
      <w:r w:rsidRPr="00A82E42">
        <w:t>CSaWS</w:t>
      </w:r>
      <w:proofErr w:type="spellEnd"/>
      <w:r w:rsidRPr="00A82E42">
        <w:t xml:space="preserve"> research team, VPRP/ CA FVRC, UC Davis.</w:t>
      </w:r>
    </w:p>
    <w:p w14:paraId="690EF86F" w14:textId="77777777" w:rsidR="00A82E42" w:rsidRPr="00A82E42" w:rsidRDefault="00A82E42" w:rsidP="00A82E42">
      <w:pPr>
        <w:pStyle w:val="ListParagraph"/>
        <w:numPr>
          <w:ilvl w:val="0"/>
          <w:numId w:val="15"/>
        </w:numPr>
      </w:pPr>
      <w:r w:rsidRPr="00A82E42">
        <w:t xml:space="preserve">Source: Kravitz-Wirtz N, </w:t>
      </w:r>
      <w:proofErr w:type="spellStart"/>
      <w:r w:rsidRPr="00A82E42">
        <w:t>Aubel</w:t>
      </w:r>
      <w:proofErr w:type="spellEnd"/>
      <w:r w:rsidRPr="00A82E42">
        <w:t xml:space="preserve"> A, </w:t>
      </w:r>
      <w:proofErr w:type="spellStart"/>
      <w:r w:rsidRPr="00A82E42">
        <w:t>Schleimer</w:t>
      </w:r>
      <w:proofErr w:type="spellEnd"/>
      <w:r w:rsidRPr="00A82E42">
        <w:t xml:space="preserve"> J, </w:t>
      </w:r>
      <w:proofErr w:type="spellStart"/>
      <w:r w:rsidRPr="00A82E42">
        <w:t>Pallin</w:t>
      </w:r>
      <w:proofErr w:type="spellEnd"/>
      <w:r w:rsidRPr="00A82E42">
        <w:t xml:space="preserve"> R, Wintemute G. Public Concern About Violence, Firearms, and the COVID-19 Pandemic in California. </w:t>
      </w:r>
      <w:r w:rsidRPr="00A82E42">
        <w:rPr>
          <w:i/>
          <w:iCs/>
        </w:rPr>
        <w:t xml:space="preserve">JAMA </w:t>
      </w:r>
      <w:proofErr w:type="spellStart"/>
      <w:r w:rsidRPr="00A82E42">
        <w:rPr>
          <w:i/>
          <w:iCs/>
        </w:rPr>
        <w:t>Netw</w:t>
      </w:r>
      <w:proofErr w:type="spellEnd"/>
      <w:r w:rsidRPr="00A82E42">
        <w:rPr>
          <w:i/>
          <w:iCs/>
        </w:rPr>
        <w:t xml:space="preserve"> Open.</w:t>
      </w:r>
      <w:r w:rsidRPr="00A82E42">
        <w:t> 2021;4(1</w:t>
      </w:r>
      <w:proofErr w:type="gramStart"/>
      <w:r w:rsidRPr="00A82E42">
        <w:t>):e</w:t>
      </w:r>
      <w:proofErr w:type="gramEnd"/>
      <w:r w:rsidRPr="00A82E42">
        <w:t>2033484. doi:10.1001/jamanetworkopen.2020.33484</w:t>
      </w:r>
    </w:p>
    <w:p w14:paraId="454C1845" w14:textId="7CFD5EF0" w:rsidR="00A82E42" w:rsidRDefault="00A82E42" w:rsidP="00A82E42"/>
    <w:p w14:paraId="1F3005DD" w14:textId="718669ED" w:rsidR="00D81F5A" w:rsidRDefault="00D81F5A" w:rsidP="00A44D24">
      <w:pPr>
        <w:pStyle w:val="Heading1"/>
      </w:pPr>
      <w:r>
        <w:t>Slide 10</w:t>
      </w:r>
    </w:p>
    <w:p w14:paraId="4C9AA58E" w14:textId="1614D66C" w:rsidR="00D81F5A" w:rsidRDefault="00A44D24" w:rsidP="00A44D24">
      <w:pPr>
        <w:pStyle w:val="Heading2"/>
      </w:pPr>
      <w:r w:rsidRPr="00A44D24">
        <w:t>Violence can also be experienced more broadly, within a community or social network</w:t>
      </w:r>
    </w:p>
    <w:p w14:paraId="23740757" w14:textId="77777777" w:rsidR="00262AD1" w:rsidRDefault="00262AD1" w:rsidP="00051812"/>
    <w:p w14:paraId="5FED7DD8" w14:textId="0D7C09A2" w:rsidR="00051812" w:rsidRPr="00051812" w:rsidRDefault="00051812" w:rsidP="00051812">
      <w:proofErr w:type="spellStart"/>
      <w:r w:rsidRPr="00051812">
        <w:t>CSaWS</w:t>
      </w:r>
      <w:proofErr w:type="spellEnd"/>
      <w:r w:rsidRPr="00051812">
        <w:t xml:space="preserve"> surveyed California adults about 6 broader experiences of violence in daily life</w:t>
      </w:r>
      <w:r w:rsidR="000604E1">
        <w:t xml:space="preserve"> (the following data are displayed using smart art graphics):</w:t>
      </w:r>
    </w:p>
    <w:p w14:paraId="2868393A" w14:textId="77777777" w:rsidR="00051812" w:rsidRDefault="00051812" w:rsidP="00051812"/>
    <w:p w14:paraId="10508392" w14:textId="77777777" w:rsidR="0008290F" w:rsidRDefault="0008290F" w:rsidP="00E25F0B">
      <w:pPr>
        <w:pStyle w:val="Heading3"/>
      </w:pPr>
      <w:r>
        <w:t>2 in their community….</w:t>
      </w:r>
    </w:p>
    <w:p w14:paraId="43BEDAA2" w14:textId="77777777" w:rsidR="0008290F" w:rsidRDefault="0008290F" w:rsidP="00262AD1">
      <w:pPr>
        <w:pStyle w:val="ListParagraph"/>
        <w:numPr>
          <w:ilvl w:val="0"/>
          <w:numId w:val="16"/>
        </w:numPr>
      </w:pPr>
      <w:r>
        <w:t>40% encountered 1 or more sidewalk memorials in an average week</w:t>
      </w:r>
    </w:p>
    <w:p w14:paraId="47C61A59" w14:textId="67CE3FB9" w:rsidR="00262AD1" w:rsidRDefault="00262AD1" w:rsidP="00262AD1">
      <w:pPr>
        <w:pStyle w:val="ListParagraph"/>
        <w:numPr>
          <w:ilvl w:val="0"/>
          <w:numId w:val="16"/>
        </w:numPr>
      </w:pPr>
      <w:r>
        <w:t>7% considered gunshots and shootings to be a “big problem”</w:t>
      </w:r>
    </w:p>
    <w:p w14:paraId="5B3663D7" w14:textId="77777777" w:rsidR="00262AD1" w:rsidRDefault="00262AD1" w:rsidP="00051812"/>
    <w:p w14:paraId="461BC5B5" w14:textId="37F468EF" w:rsidR="00866327" w:rsidRDefault="00866327" w:rsidP="00E25F0B">
      <w:pPr>
        <w:pStyle w:val="Heading3"/>
      </w:pPr>
      <w:r>
        <w:t>4 in their social network…</w:t>
      </w:r>
    </w:p>
    <w:p w14:paraId="366A719D" w14:textId="054CDEE4" w:rsidR="00866327" w:rsidRDefault="00866327" w:rsidP="00866327">
      <w:pPr>
        <w:pStyle w:val="ListParagraph"/>
        <w:numPr>
          <w:ilvl w:val="0"/>
          <w:numId w:val="17"/>
        </w:numPr>
      </w:pPr>
      <w:r>
        <w:t>1 in 5 knew someone who had been shot on purpose</w:t>
      </w:r>
    </w:p>
    <w:p w14:paraId="710F7E88" w14:textId="7B7F3AC8" w:rsidR="00866327" w:rsidRDefault="00866327" w:rsidP="00866327">
      <w:pPr>
        <w:pStyle w:val="ListParagraph"/>
        <w:numPr>
          <w:ilvl w:val="0"/>
          <w:numId w:val="17"/>
        </w:numPr>
      </w:pPr>
      <w:r>
        <w:lastRenderedPageBreak/>
        <w:t>1 in 7 knew someone who had shot themselves</w:t>
      </w:r>
    </w:p>
    <w:p w14:paraId="503734FA" w14:textId="49786B76" w:rsidR="00866327" w:rsidRDefault="000604E1" w:rsidP="00866327">
      <w:pPr>
        <w:pStyle w:val="ListParagraph"/>
        <w:numPr>
          <w:ilvl w:val="0"/>
          <w:numId w:val="17"/>
        </w:numPr>
      </w:pPr>
      <w:r>
        <w:t>1 in 8 knew someone at perceived risk of violence to others</w:t>
      </w:r>
    </w:p>
    <w:p w14:paraId="2BBF57C0" w14:textId="5A432A11" w:rsidR="000604E1" w:rsidRDefault="000604E1" w:rsidP="00866327">
      <w:pPr>
        <w:pStyle w:val="ListParagraph"/>
        <w:numPr>
          <w:ilvl w:val="0"/>
          <w:numId w:val="17"/>
        </w:numPr>
      </w:pPr>
      <w:r>
        <w:t xml:space="preserve">1 in 8 knew someone at </w:t>
      </w:r>
      <w:r w:rsidR="00E25F0B">
        <w:t>perceived</w:t>
      </w:r>
      <w:r>
        <w:t xml:space="preserve"> risk of violence to themselves </w:t>
      </w:r>
    </w:p>
    <w:p w14:paraId="38729DB7" w14:textId="747F8557" w:rsidR="00051812" w:rsidRDefault="00051812" w:rsidP="00051812"/>
    <w:p w14:paraId="5B2B51AA" w14:textId="41EF2835" w:rsidR="00E25F0B" w:rsidRDefault="00E25F0B" w:rsidP="00E25F0B">
      <w:pPr>
        <w:pStyle w:val="Heading3"/>
      </w:pPr>
      <w:r>
        <w:t>Citations</w:t>
      </w:r>
    </w:p>
    <w:p w14:paraId="26F69B5F" w14:textId="77777777" w:rsidR="00E25F0B" w:rsidRPr="00E25F0B" w:rsidRDefault="00E25F0B" w:rsidP="00E25F0B">
      <w:pPr>
        <w:pStyle w:val="ListParagraph"/>
        <w:numPr>
          <w:ilvl w:val="0"/>
          <w:numId w:val="18"/>
        </w:numPr>
      </w:pPr>
      <w:r w:rsidRPr="00E25F0B">
        <w:t xml:space="preserve">Graphic from </w:t>
      </w:r>
      <w:proofErr w:type="spellStart"/>
      <w:r w:rsidRPr="00E25F0B">
        <w:t>CSaWS</w:t>
      </w:r>
      <w:proofErr w:type="spellEnd"/>
      <w:r w:rsidRPr="00E25F0B">
        <w:t xml:space="preserve"> fact sheet: </w:t>
      </w:r>
      <w:hyperlink r:id="rId9" w:history="1">
        <w:r w:rsidRPr="00E25F0B">
          <w:rPr>
            <w:rStyle w:val="Hyperlink"/>
          </w:rPr>
          <w:t>https://health.ucdavis.edu/vprp/UCFC/Fact_Sheets/CSaWSBrief_EVs.pdf</w:t>
        </w:r>
      </w:hyperlink>
    </w:p>
    <w:p w14:paraId="5DB35C95" w14:textId="77777777" w:rsidR="00E25F0B" w:rsidRPr="00E25F0B" w:rsidRDefault="00E25F0B" w:rsidP="00E25F0B">
      <w:pPr>
        <w:pStyle w:val="ListParagraph"/>
        <w:numPr>
          <w:ilvl w:val="0"/>
          <w:numId w:val="18"/>
        </w:numPr>
      </w:pPr>
      <w:r w:rsidRPr="00E25F0B">
        <w:t xml:space="preserve">Source: Wintemute, G.J., </w:t>
      </w:r>
      <w:proofErr w:type="spellStart"/>
      <w:r w:rsidRPr="00E25F0B">
        <w:t>Aubel</w:t>
      </w:r>
      <w:proofErr w:type="spellEnd"/>
      <w:r w:rsidRPr="00E25F0B">
        <w:t xml:space="preserve">, A.J., </w:t>
      </w:r>
      <w:proofErr w:type="spellStart"/>
      <w:r w:rsidRPr="00E25F0B">
        <w:t>Pallin</w:t>
      </w:r>
      <w:proofErr w:type="spellEnd"/>
      <w:r w:rsidRPr="00E25F0B">
        <w:t>, R. </w:t>
      </w:r>
      <w:r w:rsidRPr="00E25F0B">
        <w:rPr>
          <w:i/>
          <w:iCs/>
        </w:rPr>
        <w:t>et al.</w:t>
      </w:r>
      <w:r w:rsidRPr="00E25F0B">
        <w:t> Experiences of violence in daily life among adults in California: a population-representative survey. </w:t>
      </w:r>
      <w:r w:rsidRPr="00E25F0B">
        <w:rPr>
          <w:i/>
          <w:iCs/>
        </w:rPr>
        <w:t>Inj. Epidemiol.</w:t>
      </w:r>
      <w:r w:rsidRPr="00E25F0B">
        <w:t> </w:t>
      </w:r>
      <w:r w:rsidRPr="00E25F0B">
        <w:rPr>
          <w:b/>
          <w:bCs/>
        </w:rPr>
        <w:t>9</w:t>
      </w:r>
      <w:r w:rsidRPr="00E25F0B">
        <w:t>, 1 (2022). https://doi.org/10.1186/s40621-021-00367-1</w:t>
      </w:r>
    </w:p>
    <w:p w14:paraId="0EE64C5A" w14:textId="4BA9014D" w:rsidR="00E25F0B" w:rsidRDefault="00E25F0B" w:rsidP="00051812"/>
    <w:p w14:paraId="2DA3D4AB" w14:textId="0E5B73AE" w:rsidR="00FA237E" w:rsidRDefault="00FA237E" w:rsidP="003E0D5B">
      <w:pPr>
        <w:pStyle w:val="Heading1"/>
      </w:pPr>
      <w:r>
        <w:t>Slide 11</w:t>
      </w:r>
    </w:p>
    <w:p w14:paraId="65719CE5" w14:textId="2D2824EC" w:rsidR="00FA237E" w:rsidRDefault="00FA237E" w:rsidP="003E0D5B">
      <w:pPr>
        <w:pStyle w:val="Heading2"/>
      </w:pPr>
      <w:r>
        <w:t xml:space="preserve">Other topics in </w:t>
      </w:r>
      <w:proofErr w:type="spellStart"/>
      <w:r>
        <w:t>CSaWS</w:t>
      </w:r>
      <w:proofErr w:type="spellEnd"/>
    </w:p>
    <w:p w14:paraId="338D5CFD" w14:textId="77777777" w:rsidR="00FA237E" w:rsidRPr="00FA237E" w:rsidRDefault="00FA237E" w:rsidP="00FA237E">
      <w:pPr>
        <w:pStyle w:val="ListParagraph"/>
        <w:numPr>
          <w:ilvl w:val="0"/>
          <w:numId w:val="19"/>
        </w:numPr>
      </w:pPr>
      <w:r w:rsidRPr="00FA237E">
        <w:t>Risk factors for violence</w:t>
      </w:r>
    </w:p>
    <w:p w14:paraId="51351A52" w14:textId="77777777" w:rsidR="00FA237E" w:rsidRPr="00FA237E" w:rsidRDefault="00FA237E" w:rsidP="00FA237E">
      <w:pPr>
        <w:pStyle w:val="ListParagraph"/>
        <w:numPr>
          <w:ilvl w:val="0"/>
          <w:numId w:val="19"/>
        </w:numPr>
      </w:pPr>
      <w:r w:rsidRPr="00FA237E">
        <w:t>Exposure to violence</w:t>
      </w:r>
    </w:p>
    <w:p w14:paraId="7D3F8F68" w14:textId="77777777" w:rsidR="00FA237E" w:rsidRPr="00FA237E" w:rsidRDefault="00FA237E" w:rsidP="00FA237E">
      <w:pPr>
        <w:pStyle w:val="ListParagraph"/>
        <w:numPr>
          <w:ilvl w:val="0"/>
          <w:numId w:val="19"/>
        </w:numPr>
      </w:pPr>
      <w:r w:rsidRPr="00FA237E">
        <w:t>Behavioral responses to worry about/exposure to violence</w:t>
      </w:r>
    </w:p>
    <w:p w14:paraId="0A6D7DE6" w14:textId="77777777" w:rsidR="00FA237E" w:rsidRPr="00FA237E" w:rsidRDefault="00FA237E" w:rsidP="00FA237E">
      <w:pPr>
        <w:pStyle w:val="ListParagraph"/>
        <w:numPr>
          <w:ilvl w:val="0"/>
          <w:numId w:val="19"/>
        </w:numPr>
      </w:pPr>
      <w:r w:rsidRPr="00FA237E">
        <w:t>Firearm and ammunition purchasing, including reasons for purchasing</w:t>
      </w:r>
    </w:p>
    <w:p w14:paraId="25839070" w14:textId="77777777" w:rsidR="00FA237E" w:rsidRPr="00FA237E" w:rsidRDefault="00FA237E" w:rsidP="00FA237E">
      <w:pPr>
        <w:pStyle w:val="ListParagraph"/>
        <w:numPr>
          <w:ilvl w:val="0"/>
          <w:numId w:val="19"/>
        </w:numPr>
      </w:pPr>
      <w:r w:rsidRPr="00FA237E">
        <w:t>Adverse Childhood Experiences (ACES)</w:t>
      </w:r>
    </w:p>
    <w:p w14:paraId="4348CEC9" w14:textId="77777777" w:rsidR="00FA237E" w:rsidRPr="00FA237E" w:rsidRDefault="00FA237E" w:rsidP="00FA237E">
      <w:pPr>
        <w:pStyle w:val="ListParagraph"/>
        <w:numPr>
          <w:ilvl w:val="0"/>
          <w:numId w:val="19"/>
        </w:numPr>
      </w:pPr>
      <w:r w:rsidRPr="00FA237E">
        <w:t>Gun Violence Restraining Orders (GVROs)</w:t>
      </w:r>
    </w:p>
    <w:p w14:paraId="5B31D467" w14:textId="77777777" w:rsidR="00FA237E" w:rsidRPr="00FA237E" w:rsidRDefault="00FA237E" w:rsidP="00FA237E">
      <w:pPr>
        <w:pStyle w:val="ListParagraph"/>
        <w:numPr>
          <w:ilvl w:val="0"/>
          <w:numId w:val="19"/>
        </w:numPr>
      </w:pPr>
      <w:r w:rsidRPr="00FA237E">
        <w:t>Contingent valuation</w:t>
      </w:r>
    </w:p>
    <w:p w14:paraId="21AE5607" w14:textId="77777777" w:rsidR="00FA237E" w:rsidRPr="00FA237E" w:rsidRDefault="00FA237E" w:rsidP="00FA237E">
      <w:pPr>
        <w:pStyle w:val="ListParagraph"/>
        <w:numPr>
          <w:ilvl w:val="0"/>
          <w:numId w:val="19"/>
        </w:numPr>
      </w:pPr>
      <w:r w:rsidRPr="00FA237E">
        <w:t>Structural racism</w:t>
      </w:r>
    </w:p>
    <w:p w14:paraId="3826FF85" w14:textId="77777777" w:rsidR="00FA237E" w:rsidRPr="00FA237E" w:rsidRDefault="00FA237E" w:rsidP="00FA237E">
      <w:pPr>
        <w:pStyle w:val="ListParagraph"/>
        <w:numPr>
          <w:ilvl w:val="0"/>
          <w:numId w:val="19"/>
        </w:numPr>
      </w:pPr>
      <w:r w:rsidRPr="00FA237E">
        <w:t>Discrimination</w:t>
      </w:r>
    </w:p>
    <w:p w14:paraId="4B2554E7" w14:textId="77777777" w:rsidR="00FA237E" w:rsidRPr="00FA237E" w:rsidRDefault="00FA237E" w:rsidP="00FA237E">
      <w:pPr>
        <w:pStyle w:val="ListParagraph"/>
        <w:numPr>
          <w:ilvl w:val="0"/>
          <w:numId w:val="19"/>
        </w:numPr>
      </w:pPr>
      <w:r w:rsidRPr="00FA237E">
        <w:t>Social cohesion</w:t>
      </w:r>
    </w:p>
    <w:p w14:paraId="7236F59C" w14:textId="77777777" w:rsidR="00FA237E" w:rsidRPr="00FA237E" w:rsidRDefault="00FA237E" w:rsidP="00FA237E">
      <w:pPr>
        <w:pStyle w:val="ListParagraph"/>
        <w:numPr>
          <w:ilvl w:val="0"/>
          <w:numId w:val="19"/>
        </w:numPr>
      </w:pPr>
      <w:r w:rsidRPr="00FA237E">
        <w:t>Activism – civic and political engagement</w:t>
      </w:r>
    </w:p>
    <w:p w14:paraId="781D3B9C" w14:textId="051BFBA0" w:rsidR="00FA237E" w:rsidRDefault="00FA237E" w:rsidP="00FA237E">
      <w:pPr>
        <w:pStyle w:val="ListParagraph"/>
        <w:numPr>
          <w:ilvl w:val="0"/>
          <w:numId w:val="19"/>
        </w:numPr>
      </w:pPr>
      <w:r w:rsidRPr="00FA237E">
        <w:t>And more!</w:t>
      </w:r>
    </w:p>
    <w:p w14:paraId="2FD9483F" w14:textId="77777777" w:rsidR="003E0D5B" w:rsidRDefault="003E0D5B" w:rsidP="003E0D5B"/>
    <w:p w14:paraId="1D90DCDE" w14:textId="07CA5FE9" w:rsidR="003E0D5B" w:rsidRDefault="003E0D5B" w:rsidP="003E0D5B">
      <w:r w:rsidRPr="003E0D5B">
        <w:t>Visit</w:t>
      </w:r>
      <w:r>
        <w:t xml:space="preserve"> </w:t>
      </w:r>
      <w:hyperlink r:id="rId10" w:history="1">
        <w:r w:rsidRPr="003E0D5B">
          <w:rPr>
            <w:rStyle w:val="Hyperlink"/>
          </w:rPr>
          <w:t>https://health.ucdavis.edu/vprp/UCFC/survey.html</w:t>
        </w:r>
      </w:hyperlink>
      <w:r>
        <w:t xml:space="preserve"> </w:t>
      </w:r>
      <w:r w:rsidRPr="003E0D5B">
        <w:t xml:space="preserve">for a wide array of </w:t>
      </w:r>
      <w:proofErr w:type="spellStart"/>
      <w:r w:rsidRPr="003E0D5B">
        <w:t>CSaWS</w:t>
      </w:r>
      <w:proofErr w:type="spellEnd"/>
      <w:r w:rsidRPr="003E0D5B">
        <w:t xml:space="preserve"> fact sheets and publications</w:t>
      </w:r>
    </w:p>
    <w:p w14:paraId="79CE3413" w14:textId="76B0B336" w:rsidR="00D21411" w:rsidRDefault="00D21411" w:rsidP="003E0D5B"/>
    <w:p w14:paraId="25A6450C" w14:textId="093F0ED7" w:rsidR="00D21411" w:rsidRDefault="00D21411" w:rsidP="00C32B1D">
      <w:pPr>
        <w:pStyle w:val="Heading1"/>
      </w:pPr>
      <w:r>
        <w:t>Slide 12</w:t>
      </w:r>
    </w:p>
    <w:p w14:paraId="53290926" w14:textId="1AFF4BF5" w:rsidR="00D21411" w:rsidRDefault="00D21411" w:rsidP="00C32B1D">
      <w:pPr>
        <w:pStyle w:val="Heading2"/>
      </w:pPr>
      <w:r>
        <w:t>Introducing the Swiss cheese model</w:t>
      </w:r>
    </w:p>
    <w:p w14:paraId="4F11B924" w14:textId="38759AFA" w:rsidR="00D21411" w:rsidRDefault="00D21411" w:rsidP="00C32B1D">
      <w:pPr>
        <w:pStyle w:val="Heading3"/>
      </w:pPr>
      <w:r>
        <w:t>Multiple Layers Improve Success</w:t>
      </w:r>
    </w:p>
    <w:p w14:paraId="244FDC5D" w14:textId="77777777" w:rsidR="00C32B1D" w:rsidRDefault="00C32B1D" w:rsidP="003E0D5B"/>
    <w:p w14:paraId="46C27598" w14:textId="6309BD18" w:rsidR="0022571D" w:rsidRDefault="00D21411" w:rsidP="003E0D5B">
      <w:r>
        <w:t>The Swiss Cheese Respiratory Pandemic Defense recognizes that no single intervention is perfect at preventing the spread of the coronavirus. Each inter</w:t>
      </w:r>
      <w:r w:rsidR="00903A87">
        <w:t>vention (layer) has holes.</w:t>
      </w:r>
    </w:p>
    <w:p w14:paraId="0A65E2B5" w14:textId="40745B73" w:rsidR="0022571D" w:rsidRDefault="0022571D" w:rsidP="003E0D5B">
      <w:r>
        <w:lastRenderedPageBreak/>
        <w:t xml:space="preserve">A graphic of 10 slices of </w:t>
      </w:r>
      <w:r w:rsidR="0020288F">
        <w:t xml:space="preserve">layered </w:t>
      </w:r>
      <w:r>
        <w:t>Swiss cheese is displayed</w:t>
      </w:r>
      <w:r w:rsidR="00C32B1D">
        <w:t xml:space="preserve"> on the slide</w:t>
      </w:r>
      <w:r w:rsidR="005B3077">
        <w:t xml:space="preserve">. </w:t>
      </w:r>
      <w:r w:rsidR="00001745">
        <w:t xml:space="preserve">Virus </w:t>
      </w:r>
      <w:r w:rsidR="0017626C">
        <w:t xml:space="preserve">particles in green are displayed floating through the </w:t>
      </w:r>
      <w:r w:rsidR="00CD4DA0">
        <w:t xml:space="preserve">holes in the Swiss cheese with a red arrow. </w:t>
      </w:r>
      <w:r w:rsidR="005B3077">
        <w:t xml:space="preserve">Slices one </w:t>
      </w:r>
      <w:r w:rsidR="00C32B1D">
        <w:t>through</w:t>
      </w:r>
      <w:r w:rsidR="005B3077">
        <w:t xml:space="preserve"> five are dark yellow and represent personal responsibilities. Slices six </w:t>
      </w:r>
      <w:r w:rsidR="00C32B1D">
        <w:t>through</w:t>
      </w:r>
      <w:r w:rsidR="005B3077">
        <w:t xml:space="preserve"> ten are light yellow are represent shared responsibilities. </w:t>
      </w:r>
      <w:r w:rsidR="00CD4DA0">
        <w:t>At the end of the layered Swiss cheese slices is a human figure</w:t>
      </w:r>
      <w:r w:rsidR="00C32B1D">
        <w:t xml:space="preserve"> wearing a face covering</w:t>
      </w:r>
      <w:r w:rsidR="00CD4DA0">
        <w:t xml:space="preserve"> with </w:t>
      </w:r>
      <w:r w:rsidR="00C32B1D">
        <w:t>white pants, a grey top, and brown hair. Source: Adapted from Ian M. Mackay (virologydownunder.com) and James T. Reason. Illustration by Rose Wong.</w:t>
      </w:r>
    </w:p>
    <w:p w14:paraId="289126AB" w14:textId="77777777" w:rsidR="0022571D" w:rsidRDefault="0022571D" w:rsidP="003E0D5B"/>
    <w:p w14:paraId="6FD374C7" w14:textId="2D261219" w:rsidR="00903A87" w:rsidRDefault="00903A87" w:rsidP="008F2173">
      <w:pPr>
        <w:pStyle w:val="Heading3"/>
      </w:pPr>
      <w:r>
        <w:t xml:space="preserve">Personal responsibilities: </w:t>
      </w:r>
    </w:p>
    <w:p w14:paraId="7AF72A0A" w14:textId="3522DA59" w:rsidR="00903A87" w:rsidRDefault="00903A87" w:rsidP="00903A87">
      <w:pPr>
        <w:pStyle w:val="ListParagraph"/>
        <w:numPr>
          <w:ilvl w:val="0"/>
          <w:numId w:val="20"/>
        </w:numPr>
      </w:pPr>
      <w:r>
        <w:t>Physical distance, stay home if sick</w:t>
      </w:r>
    </w:p>
    <w:p w14:paraId="151F6A6B" w14:textId="32BA3FBD" w:rsidR="00903A87" w:rsidRDefault="00903A87" w:rsidP="00903A87">
      <w:pPr>
        <w:pStyle w:val="ListParagraph"/>
        <w:numPr>
          <w:ilvl w:val="0"/>
          <w:numId w:val="20"/>
        </w:numPr>
      </w:pPr>
      <w:r>
        <w:t>Masks</w:t>
      </w:r>
    </w:p>
    <w:p w14:paraId="2E2BF3ED" w14:textId="241991A2" w:rsidR="00903A87" w:rsidRDefault="00903A87" w:rsidP="00903A87">
      <w:pPr>
        <w:pStyle w:val="ListParagraph"/>
        <w:numPr>
          <w:ilvl w:val="0"/>
          <w:numId w:val="20"/>
        </w:numPr>
      </w:pPr>
      <w:r>
        <w:t xml:space="preserve">Hand hygiene, cough </w:t>
      </w:r>
      <w:r w:rsidR="00C32B1D">
        <w:t>etiquette</w:t>
      </w:r>
      <w:r>
        <w:t xml:space="preserve"> </w:t>
      </w:r>
    </w:p>
    <w:p w14:paraId="1F34EBB0" w14:textId="5B1B4CDE" w:rsidR="00903A87" w:rsidRDefault="00903A87" w:rsidP="00903A87">
      <w:pPr>
        <w:pStyle w:val="ListParagraph"/>
        <w:numPr>
          <w:ilvl w:val="0"/>
          <w:numId w:val="20"/>
        </w:numPr>
      </w:pPr>
      <w:r>
        <w:t>Avoid touching your face</w:t>
      </w:r>
    </w:p>
    <w:p w14:paraId="4160C02F" w14:textId="4D67B2A5" w:rsidR="00AB6B6C" w:rsidRDefault="00AB6B6C" w:rsidP="00903A87">
      <w:pPr>
        <w:pStyle w:val="ListParagraph"/>
        <w:numPr>
          <w:ilvl w:val="0"/>
          <w:numId w:val="20"/>
        </w:numPr>
      </w:pPr>
      <w:r>
        <w:t>If crowded, limit your time</w:t>
      </w:r>
    </w:p>
    <w:p w14:paraId="12E0F5DD" w14:textId="77777777" w:rsidR="00C32B1D" w:rsidRDefault="00C32B1D" w:rsidP="00AB6B6C"/>
    <w:p w14:paraId="1E3D4C2B" w14:textId="2B4F0D38" w:rsidR="00AB6B6C" w:rsidRDefault="00AB6B6C" w:rsidP="008F2173">
      <w:pPr>
        <w:pStyle w:val="Heading3"/>
      </w:pPr>
      <w:r>
        <w:t>Shared responsibilities</w:t>
      </w:r>
      <w:r w:rsidR="008F2173">
        <w:t>:</w:t>
      </w:r>
    </w:p>
    <w:p w14:paraId="6E0F5149" w14:textId="3323ABF6" w:rsidR="00AB6B6C" w:rsidRDefault="00AB6B6C" w:rsidP="00AB6B6C">
      <w:pPr>
        <w:pStyle w:val="ListParagraph"/>
        <w:numPr>
          <w:ilvl w:val="0"/>
          <w:numId w:val="21"/>
        </w:numPr>
      </w:pPr>
      <w:r>
        <w:t xml:space="preserve">Fast and </w:t>
      </w:r>
      <w:r w:rsidR="00C32B1D">
        <w:t>sensitive</w:t>
      </w:r>
      <w:r>
        <w:t xml:space="preserve"> testing and tracing</w:t>
      </w:r>
    </w:p>
    <w:p w14:paraId="7709635E" w14:textId="2C775FDA" w:rsidR="00AB6B6C" w:rsidRDefault="00AB6B6C" w:rsidP="00AB6B6C">
      <w:pPr>
        <w:pStyle w:val="ListParagraph"/>
        <w:numPr>
          <w:ilvl w:val="0"/>
          <w:numId w:val="21"/>
        </w:numPr>
      </w:pPr>
      <w:r>
        <w:t>Ventilation, outdoors, air filtration</w:t>
      </w:r>
    </w:p>
    <w:p w14:paraId="7AA4EEC8" w14:textId="60E2BA82" w:rsidR="00AB6B6C" w:rsidRDefault="00AB6B6C" w:rsidP="00AB6B6C">
      <w:pPr>
        <w:pStyle w:val="ListParagraph"/>
        <w:numPr>
          <w:ilvl w:val="0"/>
          <w:numId w:val="21"/>
        </w:numPr>
      </w:pPr>
      <w:r>
        <w:t>Government messaging and financial support</w:t>
      </w:r>
    </w:p>
    <w:p w14:paraId="751A0376" w14:textId="518D3827" w:rsidR="00AB6B6C" w:rsidRDefault="00AB6B6C" w:rsidP="00AB6B6C">
      <w:pPr>
        <w:pStyle w:val="ListParagraph"/>
        <w:numPr>
          <w:ilvl w:val="0"/>
          <w:numId w:val="21"/>
        </w:numPr>
      </w:pPr>
      <w:r>
        <w:t>Quarantine and isolation</w:t>
      </w:r>
    </w:p>
    <w:p w14:paraId="31B00BA8" w14:textId="6491ACCD" w:rsidR="00AB6B6C" w:rsidRDefault="00AB6B6C" w:rsidP="00AB6B6C">
      <w:pPr>
        <w:pStyle w:val="ListParagraph"/>
        <w:numPr>
          <w:ilvl w:val="0"/>
          <w:numId w:val="21"/>
        </w:numPr>
      </w:pPr>
      <w:r>
        <w:t>Vaccines</w:t>
      </w:r>
    </w:p>
    <w:p w14:paraId="439F0ED6" w14:textId="2ECE47B9" w:rsidR="008F2173" w:rsidRDefault="008F2173" w:rsidP="008F2173"/>
    <w:p w14:paraId="3AA2488B" w14:textId="441C345C" w:rsidR="008F2173" w:rsidRDefault="008F2173" w:rsidP="008F2173">
      <w:pPr>
        <w:pStyle w:val="Heading3"/>
      </w:pPr>
      <w:r>
        <w:t>Citation:</w:t>
      </w:r>
    </w:p>
    <w:p w14:paraId="3A5B862E" w14:textId="3BA8ED3F" w:rsidR="008F2173" w:rsidRDefault="008F2173" w:rsidP="008F2173">
      <w:pPr>
        <w:pStyle w:val="ListParagraph"/>
        <w:numPr>
          <w:ilvl w:val="0"/>
          <w:numId w:val="22"/>
        </w:numPr>
      </w:pPr>
      <w:r w:rsidRPr="008F2173">
        <w:t>Source: Roberts, S. “The Swiss Cheese Model of Pandemic Defense.” </w:t>
      </w:r>
      <w:r w:rsidRPr="008F2173">
        <w:rPr>
          <w:i/>
          <w:iCs/>
        </w:rPr>
        <w:t>The New York Times</w:t>
      </w:r>
      <w:r w:rsidRPr="008F2173">
        <w:t xml:space="preserve">, 5 Dec. 2020, </w:t>
      </w:r>
      <w:hyperlink r:id="rId11" w:history="1">
        <w:r w:rsidRPr="003C27E6">
          <w:rPr>
            <w:rStyle w:val="Hyperlink"/>
          </w:rPr>
          <w:t>https://www.nytimes.com/2020/12/05/health/coronavirus-swiss-cheese-infection-mackay.html</w:t>
        </w:r>
      </w:hyperlink>
      <w:r>
        <w:t xml:space="preserve"> </w:t>
      </w:r>
    </w:p>
    <w:p w14:paraId="5AA25B1C" w14:textId="340593A6" w:rsidR="008F2173" w:rsidRDefault="008F2173" w:rsidP="008F2173"/>
    <w:p w14:paraId="54FE1381" w14:textId="61B0D0A5" w:rsidR="008F2173" w:rsidRDefault="008F2173" w:rsidP="008F2173">
      <w:pPr>
        <w:pStyle w:val="Heading1"/>
      </w:pPr>
      <w:r>
        <w:t>Slide 13</w:t>
      </w:r>
    </w:p>
    <w:p w14:paraId="57413191" w14:textId="53FC1C2A" w:rsidR="000777DE" w:rsidRDefault="000777DE" w:rsidP="00D10F63">
      <w:pPr>
        <w:pStyle w:val="Heading2"/>
      </w:pPr>
      <w:r w:rsidRPr="000777DE">
        <w:t>The Swiss cheese model applies to gun violence prevention</w:t>
      </w:r>
    </w:p>
    <w:p w14:paraId="6CD4DC9C" w14:textId="77777777" w:rsidR="0089612C" w:rsidRDefault="000777DE" w:rsidP="000777DE">
      <w:pPr>
        <w:pStyle w:val="ListParagraph"/>
        <w:numPr>
          <w:ilvl w:val="0"/>
          <w:numId w:val="22"/>
        </w:numPr>
      </w:pPr>
      <w:r w:rsidRPr="000777DE">
        <w:t>CA steadily enacted firearm violence prevention policies, beginning in the late 1980s</w:t>
      </w:r>
    </w:p>
    <w:p w14:paraId="48021920" w14:textId="77777777" w:rsidR="0089612C" w:rsidRDefault="000777DE" w:rsidP="000777DE">
      <w:pPr>
        <w:pStyle w:val="ListParagraph"/>
        <w:numPr>
          <w:ilvl w:val="1"/>
          <w:numId w:val="22"/>
        </w:numPr>
      </w:pPr>
      <w:r w:rsidRPr="000777DE">
        <w:t>Studies of single policies at the person level show benefit, but population-level evaluations are mixed</w:t>
      </w:r>
    </w:p>
    <w:p w14:paraId="72E6C759" w14:textId="77777777" w:rsidR="0089612C" w:rsidRDefault="000777DE" w:rsidP="000777DE">
      <w:pPr>
        <w:pStyle w:val="ListParagraph"/>
        <w:numPr>
          <w:ilvl w:val="0"/>
          <w:numId w:val="22"/>
        </w:numPr>
      </w:pPr>
      <w:r w:rsidRPr="000777DE">
        <w:t>In aggregate: California’s rates have trended downward while the rest of the country increased</w:t>
      </w:r>
    </w:p>
    <w:p w14:paraId="665A44A6" w14:textId="77777777" w:rsidR="0089612C" w:rsidRDefault="000777DE" w:rsidP="0089612C">
      <w:pPr>
        <w:pStyle w:val="ListParagraph"/>
        <w:numPr>
          <w:ilvl w:val="0"/>
          <w:numId w:val="22"/>
        </w:numPr>
      </w:pPr>
      <w:r w:rsidRPr="000777DE">
        <w:t>Now: California’s firearm mortality is among the lowest in the country</w:t>
      </w:r>
    </w:p>
    <w:p w14:paraId="5DFC08BE" w14:textId="77777777" w:rsidR="0089612C" w:rsidRDefault="000777DE" w:rsidP="0089612C">
      <w:pPr>
        <w:pStyle w:val="ListParagraph"/>
        <w:numPr>
          <w:ilvl w:val="1"/>
          <w:numId w:val="22"/>
        </w:numPr>
      </w:pPr>
      <w:r w:rsidRPr="000777DE">
        <w:lastRenderedPageBreak/>
        <w:t xml:space="preserve">CA: 8.5 per 100/000 people </w:t>
      </w:r>
    </w:p>
    <w:p w14:paraId="09D15A18" w14:textId="28E83B2A" w:rsidR="000777DE" w:rsidRDefault="000777DE" w:rsidP="0089612C">
      <w:pPr>
        <w:pStyle w:val="ListParagraph"/>
        <w:numPr>
          <w:ilvl w:val="1"/>
          <w:numId w:val="22"/>
        </w:numPr>
      </w:pPr>
      <w:r w:rsidRPr="000777DE">
        <w:t>US: 13.7 per 100/000</w:t>
      </w:r>
    </w:p>
    <w:p w14:paraId="70328170" w14:textId="6586BFBE" w:rsidR="0089612C" w:rsidRDefault="0089612C" w:rsidP="0089612C"/>
    <w:p w14:paraId="45D64ABD" w14:textId="2CD87846" w:rsidR="00AC0388" w:rsidRDefault="0089612C" w:rsidP="00952084">
      <w:r>
        <w:t>Line chart</w:t>
      </w:r>
      <w:r w:rsidR="009049C8">
        <w:t xml:space="preserve">: </w:t>
      </w:r>
      <w:r w:rsidR="00952084" w:rsidRPr="00952084">
        <w:t xml:space="preserve">Unadjusted firearm violence mortality rates in California and the remainder of the United States (US-CA), by year, 1981-2020 </w:t>
      </w:r>
    </w:p>
    <w:p w14:paraId="1223C91A" w14:textId="56FC6FBB" w:rsidR="00AC0388" w:rsidRDefault="00037764" w:rsidP="009049C8">
      <w:pPr>
        <w:pStyle w:val="ListParagraph"/>
        <w:numPr>
          <w:ilvl w:val="0"/>
          <w:numId w:val="24"/>
        </w:numPr>
      </w:pPr>
      <w:r>
        <w:t xml:space="preserve">Y axis: </w:t>
      </w:r>
      <w:r w:rsidR="00AC0388">
        <w:t>Deaths per 100,000 population</w:t>
      </w:r>
      <w:r>
        <w:t>: 0, 2, 4, 6, 8, 10, 12, 14, 16, 18</w:t>
      </w:r>
    </w:p>
    <w:p w14:paraId="2D573F36" w14:textId="2D203110" w:rsidR="00037764" w:rsidRDefault="00037764" w:rsidP="009049C8">
      <w:pPr>
        <w:pStyle w:val="ListParagraph"/>
        <w:numPr>
          <w:ilvl w:val="0"/>
          <w:numId w:val="24"/>
        </w:numPr>
      </w:pPr>
      <w:r>
        <w:t>X axis: 1981, 1983, 1985, 1987, 1989, 1991, 1993, 1995, 1997, 1999, 2001, 2003, 2005, 2007, 2009, 2011, 2013, 2015, 2017, 2019</w:t>
      </w:r>
    </w:p>
    <w:p w14:paraId="47070FB9" w14:textId="7DD9B299" w:rsidR="00037764" w:rsidRDefault="00037764" w:rsidP="009049C8">
      <w:pPr>
        <w:pStyle w:val="ListParagraph"/>
        <w:numPr>
          <w:ilvl w:val="0"/>
          <w:numId w:val="24"/>
        </w:numPr>
      </w:pPr>
      <w:r>
        <w:t>Red line: US</w:t>
      </w:r>
      <w:r w:rsidR="00FE2A4C">
        <w:t>-CA</w:t>
      </w:r>
    </w:p>
    <w:p w14:paraId="4EEB3237" w14:textId="7A2974E6" w:rsidR="00037764" w:rsidRDefault="00037764" w:rsidP="009049C8">
      <w:pPr>
        <w:pStyle w:val="ListParagraph"/>
        <w:numPr>
          <w:ilvl w:val="0"/>
          <w:numId w:val="24"/>
        </w:numPr>
      </w:pPr>
      <w:r>
        <w:t xml:space="preserve">Blue line: </w:t>
      </w:r>
      <w:r w:rsidR="00752893">
        <w:t>California</w:t>
      </w:r>
    </w:p>
    <w:p w14:paraId="23769611" w14:textId="6CA323FC" w:rsidR="00752893" w:rsidRDefault="00752893" w:rsidP="009049C8">
      <w:pPr>
        <w:pStyle w:val="ListParagraph"/>
        <w:numPr>
          <w:ilvl w:val="0"/>
          <w:numId w:val="23"/>
        </w:numPr>
      </w:pPr>
      <w:r>
        <w:t xml:space="preserve">The line chart </w:t>
      </w:r>
      <w:r w:rsidR="00B34A5C">
        <w:t xml:space="preserve">shows a drop in firearm violence mortality rates in California </w:t>
      </w:r>
      <w:r w:rsidR="00863936">
        <w:t>during the</w:t>
      </w:r>
      <w:r w:rsidR="00B34A5C">
        <w:t xml:space="preserve"> early to late 1990s.  </w:t>
      </w:r>
    </w:p>
    <w:p w14:paraId="63B0186A" w14:textId="34B4F35F" w:rsidR="00665D63" w:rsidRDefault="00FE2A4C" w:rsidP="009049C8">
      <w:pPr>
        <w:pStyle w:val="ListParagraph"/>
        <w:numPr>
          <w:ilvl w:val="0"/>
          <w:numId w:val="23"/>
        </w:numPr>
      </w:pPr>
      <w:r>
        <w:t xml:space="preserve">From </w:t>
      </w:r>
      <w:r w:rsidR="00665D63">
        <w:t>1981 to the late 1990s, California experience</w:t>
      </w:r>
      <w:r w:rsidR="009049C8">
        <w:t>d</w:t>
      </w:r>
      <w:r w:rsidR="00665D63">
        <w:t xml:space="preserve"> a higher firearm violence mortality rate when compared to the remainder of the US.</w:t>
      </w:r>
    </w:p>
    <w:p w14:paraId="49A85D27" w14:textId="4220141B" w:rsidR="00910762" w:rsidRDefault="00910762" w:rsidP="009049C8">
      <w:pPr>
        <w:pStyle w:val="ListParagraph"/>
        <w:numPr>
          <w:ilvl w:val="0"/>
          <w:numId w:val="23"/>
        </w:numPr>
      </w:pPr>
      <w:r>
        <w:t xml:space="preserve">From approximately 1998 to 2019, California has experienced </w:t>
      </w:r>
      <w:r w:rsidR="00FE2A4C">
        <w:t>a lower firearm violence mortality rate when compared to the remainder of the US.</w:t>
      </w:r>
    </w:p>
    <w:p w14:paraId="1777B4F2" w14:textId="77777777" w:rsidR="00AC0388" w:rsidRDefault="00AC0388" w:rsidP="00952084"/>
    <w:p w14:paraId="5E302C96" w14:textId="3075931A" w:rsidR="00952084" w:rsidRDefault="008D7BB1" w:rsidP="00A04BB7">
      <w:pPr>
        <w:pStyle w:val="Heading1"/>
      </w:pPr>
      <w:r>
        <w:t>Slide 14</w:t>
      </w:r>
    </w:p>
    <w:p w14:paraId="299916A0" w14:textId="1ACB3066" w:rsidR="008D7BB1" w:rsidRDefault="008D7BB1" w:rsidP="00A04BB7">
      <w:pPr>
        <w:pStyle w:val="Heading2"/>
      </w:pPr>
      <w:r>
        <w:t>How will you add a layer of intervention</w:t>
      </w:r>
      <w:r w:rsidR="00A04BB7">
        <w:t>?</w:t>
      </w:r>
    </w:p>
    <w:p w14:paraId="2FAF7E06" w14:textId="7D8BE1D5" w:rsidR="008D7BB1" w:rsidRDefault="008D7BB1" w:rsidP="0089612C">
      <w:r>
        <w:t xml:space="preserve">Image of </w:t>
      </w:r>
      <w:r w:rsidR="00736EB4">
        <w:t>traditional Swiss cows wearing flowers and flags</w:t>
      </w:r>
    </w:p>
    <w:p w14:paraId="576BE181" w14:textId="77777777" w:rsidR="00A04BB7" w:rsidRPr="00A04BB7" w:rsidRDefault="00A04BB7" w:rsidP="00A04BB7">
      <w:r w:rsidRPr="00A04BB7">
        <w:t>Thank you!</w:t>
      </w:r>
    </w:p>
    <w:p w14:paraId="60B6ECD3" w14:textId="77777777" w:rsidR="00A04BB7" w:rsidRPr="00A04BB7" w:rsidRDefault="00A04BB7" w:rsidP="00A04BB7">
      <w:r w:rsidRPr="00A04BB7">
        <w:t xml:space="preserve">Acknowledgements: Thank you to Amanda </w:t>
      </w:r>
      <w:proofErr w:type="spellStart"/>
      <w:r w:rsidRPr="00A04BB7">
        <w:t>Aubel</w:t>
      </w:r>
      <w:proofErr w:type="spellEnd"/>
      <w:r w:rsidRPr="00A04BB7">
        <w:t xml:space="preserve">, MPH, Nicole Kravitz-Wirtz, PhD, MPH, and </w:t>
      </w:r>
      <w:proofErr w:type="spellStart"/>
      <w:r w:rsidRPr="00A04BB7">
        <w:t>Garen</w:t>
      </w:r>
      <w:proofErr w:type="spellEnd"/>
      <w:r w:rsidRPr="00A04BB7">
        <w:t xml:space="preserve"> Wintemute, MD, MPH, who provided figures and guidance in compiling these slides.</w:t>
      </w:r>
    </w:p>
    <w:p w14:paraId="7A63A5F5" w14:textId="64A8481F" w:rsidR="00A04BB7" w:rsidRDefault="00A04BB7" w:rsidP="00A04BB7">
      <w:r w:rsidRPr="00A04BB7">
        <w:t>Follow VPRP and CA FVRC on Twitter: @UCDavisCVP</w:t>
      </w:r>
    </w:p>
    <w:p w14:paraId="2728450A" w14:textId="77777777" w:rsidR="000777DE" w:rsidRPr="000777DE" w:rsidRDefault="000777DE" w:rsidP="000777DE"/>
    <w:p w14:paraId="091194D4" w14:textId="138EE73D" w:rsidR="008F2173" w:rsidRPr="00051812" w:rsidRDefault="00F328BB" w:rsidP="008F2173">
      <w:r>
        <w:t>End of presentation.</w:t>
      </w:r>
    </w:p>
    <w:sectPr w:rsidR="008F2173" w:rsidRPr="0005181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7D8A" w14:textId="77777777" w:rsidR="006E4112" w:rsidRDefault="006E4112" w:rsidP="00776185">
      <w:r>
        <w:separator/>
      </w:r>
    </w:p>
  </w:endnote>
  <w:endnote w:type="continuationSeparator" w:id="0">
    <w:p w14:paraId="3E3616EE" w14:textId="77777777" w:rsidR="006E4112" w:rsidRDefault="006E4112" w:rsidP="0077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Light">
    <w:altName w:val="Tahom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F67B" w14:textId="4D3FCCF9" w:rsidR="00DE7B48" w:rsidRDefault="00DE7B48">
    <w:pPr>
      <w:pStyle w:val="Footer"/>
      <w:jc w:val="right"/>
    </w:pPr>
    <w:r>
      <w:t xml:space="preserve">Page </w:t>
    </w:r>
    <w:sdt>
      <w:sdtPr>
        <w:id w:val="-1649353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2FB2D9A" w14:textId="77777777" w:rsidR="00DE7B48" w:rsidRDefault="00DE7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B12B" w14:textId="77777777" w:rsidR="006E4112" w:rsidRDefault="006E4112" w:rsidP="00776185">
      <w:r>
        <w:separator/>
      </w:r>
    </w:p>
  </w:footnote>
  <w:footnote w:type="continuationSeparator" w:id="0">
    <w:p w14:paraId="5044253B" w14:textId="77777777" w:rsidR="006E4112" w:rsidRDefault="006E4112" w:rsidP="00776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FAAC" w14:textId="7EF8B77B" w:rsidR="00776185" w:rsidRDefault="00776185">
    <w:pPr>
      <w:pStyle w:val="Header"/>
    </w:pPr>
    <w:r>
      <w:t xml:space="preserve">November </w:t>
    </w:r>
    <w:r w:rsidR="00124F89">
      <w:t xml:space="preserve">30, </w:t>
    </w:r>
    <w:proofErr w:type="gramStart"/>
    <w:r w:rsidR="00124F89">
      <w:t>2022</w:t>
    </w:r>
    <w:proofErr w:type="gramEnd"/>
    <w:r w:rsidR="00124F89">
      <w:t xml:space="preserve"> </w:t>
    </w:r>
    <w:r w:rsidR="00FD6538">
      <w:t>SRC Quarterly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344"/>
    <w:multiLevelType w:val="hybridMultilevel"/>
    <w:tmpl w:val="ED8C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6EB5"/>
    <w:multiLevelType w:val="hybridMultilevel"/>
    <w:tmpl w:val="E0E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827F6"/>
    <w:multiLevelType w:val="hybridMultilevel"/>
    <w:tmpl w:val="93E2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0C3D"/>
    <w:multiLevelType w:val="hybridMultilevel"/>
    <w:tmpl w:val="63D691CA"/>
    <w:lvl w:ilvl="0" w:tplc="6E620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C1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07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84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0A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21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60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A5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69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26398"/>
    <w:multiLevelType w:val="hybridMultilevel"/>
    <w:tmpl w:val="368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66CEC"/>
    <w:multiLevelType w:val="hybridMultilevel"/>
    <w:tmpl w:val="E58E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77FE"/>
    <w:multiLevelType w:val="hybridMultilevel"/>
    <w:tmpl w:val="2BE0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75A37"/>
    <w:multiLevelType w:val="hybridMultilevel"/>
    <w:tmpl w:val="6762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55FDA"/>
    <w:multiLevelType w:val="hybridMultilevel"/>
    <w:tmpl w:val="CFA0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735F4"/>
    <w:multiLevelType w:val="hybridMultilevel"/>
    <w:tmpl w:val="1B30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F0924"/>
    <w:multiLevelType w:val="hybridMultilevel"/>
    <w:tmpl w:val="91C6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C6CE7"/>
    <w:multiLevelType w:val="hybridMultilevel"/>
    <w:tmpl w:val="4E12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76E9F"/>
    <w:multiLevelType w:val="hybridMultilevel"/>
    <w:tmpl w:val="2FB2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307AB"/>
    <w:multiLevelType w:val="hybridMultilevel"/>
    <w:tmpl w:val="AFBC378E"/>
    <w:lvl w:ilvl="0" w:tplc="9E56E2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59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roxima Nova Light" w:hAnsi="Proxima Nova Light" w:hint="default"/>
      </w:rPr>
    </w:lvl>
    <w:lvl w:ilvl="2" w:tplc="79EA9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25A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4D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00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067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8E2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43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B1442"/>
    <w:multiLevelType w:val="hybridMultilevel"/>
    <w:tmpl w:val="B7D2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B35EB"/>
    <w:multiLevelType w:val="hybridMultilevel"/>
    <w:tmpl w:val="8DA6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325E3"/>
    <w:multiLevelType w:val="hybridMultilevel"/>
    <w:tmpl w:val="777E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F4399"/>
    <w:multiLevelType w:val="hybridMultilevel"/>
    <w:tmpl w:val="0174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575BA"/>
    <w:multiLevelType w:val="hybridMultilevel"/>
    <w:tmpl w:val="6764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A3FC1"/>
    <w:multiLevelType w:val="hybridMultilevel"/>
    <w:tmpl w:val="43F8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C26E8"/>
    <w:multiLevelType w:val="hybridMultilevel"/>
    <w:tmpl w:val="86862E08"/>
    <w:lvl w:ilvl="0" w:tplc="363275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7698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roxima Nova Light" w:hAnsi="Proxima Nova Light" w:hint="default"/>
      </w:rPr>
    </w:lvl>
    <w:lvl w:ilvl="2" w:tplc="FF96D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C8F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E30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89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44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C9D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2A7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61B0E"/>
    <w:multiLevelType w:val="hybridMultilevel"/>
    <w:tmpl w:val="2A6A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C1339"/>
    <w:multiLevelType w:val="hybridMultilevel"/>
    <w:tmpl w:val="30FA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304C9"/>
    <w:multiLevelType w:val="hybridMultilevel"/>
    <w:tmpl w:val="9FE6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F787E"/>
    <w:multiLevelType w:val="hybridMultilevel"/>
    <w:tmpl w:val="ABF6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B1AC6"/>
    <w:multiLevelType w:val="hybridMultilevel"/>
    <w:tmpl w:val="A6BA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10232">
    <w:abstractNumId w:val="13"/>
  </w:num>
  <w:num w:numId="2" w16cid:durableId="651299107">
    <w:abstractNumId w:val="10"/>
  </w:num>
  <w:num w:numId="3" w16cid:durableId="805900448">
    <w:abstractNumId w:val="25"/>
  </w:num>
  <w:num w:numId="4" w16cid:durableId="667756828">
    <w:abstractNumId w:val="3"/>
  </w:num>
  <w:num w:numId="5" w16cid:durableId="1467238482">
    <w:abstractNumId w:val="20"/>
  </w:num>
  <w:num w:numId="6" w16cid:durableId="956451412">
    <w:abstractNumId w:val="9"/>
  </w:num>
  <w:num w:numId="7" w16cid:durableId="1764494137">
    <w:abstractNumId w:val="14"/>
  </w:num>
  <w:num w:numId="8" w16cid:durableId="201598042">
    <w:abstractNumId w:val="16"/>
  </w:num>
  <w:num w:numId="9" w16cid:durableId="1657609721">
    <w:abstractNumId w:val="1"/>
  </w:num>
  <w:num w:numId="10" w16cid:durableId="2097162692">
    <w:abstractNumId w:val="0"/>
  </w:num>
  <w:num w:numId="11" w16cid:durableId="1092312710">
    <w:abstractNumId w:val="22"/>
  </w:num>
  <w:num w:numId="12" w16cid:durableId="1300107554">
    <w:abstractNumId w:val="23"/>
  </w:num>
  <w:num w:numId="13" w16cid:durableId="1107114912">
    <w:abstractNumId w:val="4"/>
  </w:num>
  <w:num w:numId="14" w16cid:durableId="1267807219">
    <w:abstractNumId w:val="11"/>
  </w:num>
  <w:num w:numId="15" w16cid:durableId="541594153">
    <w:abstractNumId w:val="19"/>
  </w:num>
  <w:num w:numId="16" w16cid:durableId="538903152">
    <w:abstractNumId w:val="5"/>
  </w:num>
  <w:num w:numId="17" w16cid:durableId="1666780451">
    <w:abstractNumId w:val="7"/>
  </w:num>
  <w:num w:numId="18" w16cid:durableId="737938773">
    <w:abstractNumId w:val="6"/>
  </w:num>
  <w:num w:numId="19" w16cid:durableId="1348940710">
    <w:abstractNumId w:val="2"/>
  </w:num>
  <w:num w:numId="20" w16cid:durableId="2141875412">
    <w:abstractNumId w:val="15"/>
  </w:num>
  <w:num w:numId="21" w16cid:durableId="378168577">
    <w:abstractNumId w:val="8"/>
  </w:num>
  <w:num w:numId="22" w16cid:durableId="2069110538">
    <w:abstractNumId w:val="24"/>
  </w:num>
  <w:num w:numId="23" w16cid:durableId="1347252643">
    <w:abstractNumId w:val="18"/>
  </w:num>
  <w:num w:numId="24" w16cid:durableId="1509448552">
    <w:abstractNumId w:val="21"/>
  </w:num>
  <w:num w:numId="25" w16cid:durableId="472523128">
    <w:abstractNumId w:val="12"/>
  </w:num>
  <w:num w:numId="26" w16cid:durableId="7289643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C5"/>
    <w:rsid w:val="00001745"/>
    <w:rsid w:val="00020968"/>
    <w:rsid w:val="00037764"/>
    <w:rsid w:val="00051812"/>
    <w:rsid w:val="000604E1"/>
    <w:rsid w:val="000777DE"/>
    <w:rsid w:val="00081776"/>
    <w:rsid w:val="0008290F"/>
    <w:rsid w:val="00120FB3"/>
    <w:rsid w:val="00124F89"/>
    <w:rsid w:val="00130447"/>
    <w:rsid w:val="00166901"/>
    <w:rsid w:val="0017626C"/>
    <w:rsid w:val="001D1989"/>
    <w:rsid w:val="001D63BB"/>
    <w:rsid w:val="0020288F"/>
    <w:rsid w:val="0022571D"/>
    <w:rsid w:val="00244906"/>
    <w:rsid w:val="00262AD1"/>
    <w:rsid w:val="002968FC"/>
    <w:rsid w:val="002C6F91"/>
    <w:rsid w:val="002F0397"/>
    <w:rsid w:val="00307793"/>
    <w:rsid w:val="003153EC"/>
    <w:rsid w:val="00381F91"/>
    <w:rsid w:val="003E0D5B"/>
    <w:rsid w:val="003E1046"/>
    <w:rsid w:val="003E2961"/>
    <w:rsid w:val="00412086"/>
    <w:rsid w:val="004334A4"/>
    <w:rsid w:val="00454A7C"/>
    <w:rsid w:val="00514139"/>
    <w:rsid w:val="00514C0F"/>
    <w:rsid w:val="00515DE9"/>
    <w:rsid w:val="0052212E"/>
    <w:rsid w:val="005B3077"/>
    <w:rsid w:val="005B7DA7"/>
    <w:rsid w:val="005C0B8C"/>
    <w:rsid w:val="005D00C6"/>
    <w:rsid w:val="00611778"/>
    <w:rsid w:val="006335FE"/>
    <w:rsid w:val="00665D63"/>
    <w:rsid w:val="006C1B66"/>
    <w:rsid w:val="006D5965"/>
    <w:rsid w:val="006E4112"/>
    <w:rsid w:val="006F6DD8"/>
    <w:rsid w:val="00727947"/>
    <w:rsid w:val="00736EB4"/>
    <w:rsid w:val="00752893"/>
    <w:rsid w:val="00776185"/>
    <w:rsid w:val="007D08CD"/>
    <w:rsid w:val="008303EE"/>
    <w:rsid w:val="00846E37"/>
    <w:rsid w:val="00847CB3"/>
    <w:rsid w:val="008559A3"/>
    <w:rsid w:val="00863936"/>
    <w:rsid w:val="00866327"/>
    <w:rsid w:val="008941DF"/>
    <w:rsid w:val="0089612C"/>
    <w:rsid w:val="008D4CF6"/>
    <w:rsid w:val="008D7BB1"/>
    <w:rsid w:val="008F2173"/>
    <w:rsid w:val="00903A87"/>
    <w:rsid w:val="009049C8"/>
    <w:rsid w:val="00910762"/>
    <w:rsid w:val="00941ED1"/>
    <w:rsid w:val="00942844"/>
    <w:rsid w:val="00951FB0"/>
    <w:rsid w:val="00952084"/>
    <w:rsid w:val="0097068B"/>
    <w:rsid w:val="00970EB8"/>
    <w:rsid w:val="00972263"/>
    <w:rsid w:val="009F20E4"/>
    <w:rsid w:val="00A04BB7"/>
    <w:rsid w:val="00A134C0"/>
    <w:rsid w:val="00A42084"/>
    <w:rsid w:val="00A44D24"/>
    <w:rsid w:val="00A82E42"/>
    <w:rsid w:val="00AB6B6C"/>
    <w:rsid w:val="00AC0388"/>
    <w:rsid w:val="00B34A5C"/>
    <w:rsid w:val="00B54A7D"/>
    <w:rsid w:val="00B76D27"/>
    <w:rsid w:val="00B90C52"/>
    <w:rsid w:val="00C32B1D"/>
    <w:rsid w:val="00C72A2A"/>
    <w:rsid w:val="00CD4DA0"/>
    <w:rsid w:val="00CD7172"/>
    <w:rsid w:val="00D07506"/>
    <w:rsid w:val="00D10F63"/>
    <w:rsid w:val="00D13CB9"/>
    <w:rsid w:val="00D21411"/>
    <w:rsid w:val="00D72FF4"/>
    <w:rsid w:val="00D81F5A"/>
    <w:rsid w:val="00DE7B48"/>
    <w:rsid w:val="00E25F0B"/>
    <w:rsid w:val="00E36862"/>
    <w:rsid w:val="00E56438"/>
    <w:rsid w:val="00EA6F8C"/>
    <w:rsid w:val="00F26C35"/>
    <w:rsid w:val="00F32147"/>
    <w:rsid w:val="00F328BB"/>
    <w:rsid w:val="00F34690"/>
    <w:rsid w:val="00F4653F"/>
    <w:rsid w:val="00F56BC5"/>
    <w:rsid w:val="00F93AF4"/>
    <w:rsid w:val="00FA237E"/>
    <w:rsid w:val="00FC32F6"/>
    <w:rsid w:val="00FD6538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E16E"/>
  <w15:chartTrackingRefBased/>
  <w15:docId w15:val="{C58B7FCB-88E4-453A-AF9D-860E4F98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R"/>
    <w:qFormat/>
    <w:rsid w:val="00847CB3"/>
    <w:pPr>
      <w:spacing w:after="0" w:line="240" w:lineRule="auto"/>
      <w:contextualSpacing/>
    </w:pPr>
    <w:rPr>
      <w:rFonts w:ascii="Arial" w:hAnsi="Arial"/>
      <w:sz w:val="28"/>
    </w:rPr>
  </w:style>
  <w:style w:type="paragraph" w:styleId="Heading1">
    <w:name w:val="heading 1"/>
    <w:aliases w:val="DOR Heading 1"/>
    <w:basedOn w:val="Normal"/>
    <w:next w:val="Normal"/>
    <w:link w:val="Heading1Char"/>
    <w:uiPriority w:val="9"/>
    <w:qFormat/>
    <w:rsid w:val="00847CB3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DOR Heading 2"/>
    <w:basedOn w:val="Normal"/>
    <w:next w:val="Normal"/>
    <w:link w:val="Heading2Char"/>
    <w:uiPriority w:val="9"/>
    <w:unhideWhenUsed/>
    <w:qFormat/>
    <w:rsid w:val="00847CB3"/>
    <w:pPr>
      <w:keepNext/>
      <w:keepLines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862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R Heading 1 Char"/>
    <w:basedOn w:val="DefaultParagraphFont"/>
    <w:link w:val="Heading1"/>
    <w:uiPriority w:val="9"/>
    <w:rsid w:val="00847CB3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OR Heading 2 Char"/>
    <w:basedOn w:val="DefaultParagraphFont"/>
    <w:link w:val="Heading2"/>
    <w:uiPriority w:val="9"/>
    <w:rsid w:val="00847CB3"/>
    <w:rPr>
      <w:rFonts w:ascii="Arial" w:eastAsiaTheme="majorEastAsia" w:hAnsi="Arial" w:cstheme="majorBidi"/>
      <w:sz w:val="28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13044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6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18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76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18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5B7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DA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36862"/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1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1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0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6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5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3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9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5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92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5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0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7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6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8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3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3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20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ucdavis.edu/vprp/UCFC/Fact_Sheets/CSaWSBrief_JInterpersViol_Aubel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ytimes.com/2020/12/05/health/coronavirus-swiss-cheese-infection-macka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ealth.ucdavis.edu/vprp/UCFC/surve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ucdavis.edu/vprp/UCFC/Fact_Sheets/CSaWSBrief_EV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EFA67-1852-4E17-9FC3-0CEE9AEF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1858</Words>
  <Characters>10593</Characters>
  <Application>Microsoft Office Word</Application>
  <DocSecurity>4</DocSecurity>
  <Lines>88</Lines>
  <Paragraphs>24</Paragraphs>
  <ScaleCrop>false</ScaleCrop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Bjerke, Kate@DOR</dc:creator>
  <cp:keywords/>
  <dc:description/>
  <cp:lastModifiedBy>Huynh, Duy@DOR</cp:lastModifiedBy>
  <cp:revision>2</cp:revision>
  <dcterms:created xsi:type="dcterms:W3CDTF">2022-12-20T19:39:00Z</dcterms:created>
  <dcterms:modified xsi:type="dcterms:W3CDTF">2022-12-20T19:39:00Z</dcterms:modified>
</cp:coreProperties>
</file>