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BF06" w14:textId="37C149FB" w:rsidR="00842A75" w:rsidRPr="00842A75" w:rsidRDefault="000E4C2F" w:rsidP="00842A75">
      <w:pPr>
        <w:pStyle w:val="Heading1"/>
        <w:spacing w:before="0"/>
      </w:pPr>
      <w:r>
        <w:t>2021-22</w:t>
      </w:r>
      <w:r w:rsidR="008E4F4B">
        <w:t xml:space="preserve"> </w:t>
      </w:r>
      <w:r w:rsidR="00842A75" w:rsidRPr="00842A75">
        <w:t xml:space="preserve">Consumer Satisfaction </w:t>
      </w:r>
      <w:r w:rsidR="008E4F4B">
        <w:t>Survey</w:t>
      </w:r>
      <w:r w:rsidR="00350A4D">
        <w:t xml:space="preserve"> (CSS)</w:t>
      </w:r>
      <w:r w:rsidR="00B75202">
        <w:t>: Preliminary Results</w:t>
      </w:r>
    </w:p>
    <w:p w14:paraId="4F29BF0B" w14:textId="33FAD4ED" w:rsidR="00D72AF4" w:rsidRDefault="00931363" w:rsidP="00D32817">
      <w:pPr>
        <w:pStyle w:val="ListParagraph"/>
        <w:numPr>
          <w:ilvl w:val="0"/>
          <w:numId w:val="30"/>
        </w:numPr>
      </w:pPr>
      <w:r>
        <w:t>November 30</w:t>
      </w:r>
      <w:r w:rsidR="00FF0417">
        <w:t>,</w:t>
      </w:r>
      <w:r w:rsidR="00F56D3E">
        <w:t xml:space="preserve"> 2022</w:t>
      </w:r>
    </w:p>
    <w:p w14:paraId="56C2FD68" w14:textId="77777777" w:rsidR="00931363" w:rsidRDefault="00931363" w:rsidP="00D32817">
      <w:pPr>
        <w:pStyle w:val="ListParagraph"/>
        <w:numPr>
          <w:ilvl w:val="0"/>
          <w:numId w:val="30"/>
        </w:numPr>
      </w:pPr>
      <w:r w:rsidRPr="00E27D12">
        <w:t>State Rehabilitation Council (SRC)</w:t>
      </w:r>
    </w:p>
    <w:p w14:paraId="5EE1AA9A" w14:textId="163051E8" w:rsidR="001828B5" w:rsidRDefault="001828B5" w:rsidP="00D32817">
      <w:pPr>
        <w:pStyle w:val="ListParagraph"/>
        <w:numPr>
          <w:ilvl w:val="0"/>
          <w:numId w:val="30"/>
        </w:numPr>
      </w:pPr>
      <w:r>
        <w:t>Presented by: Department of Rehabilitation, Planning Unit</w:t>
      </w:r>
    </w:p>
    <w:p w14:paraId="7DE4E9F0" w14:textId="68F84100" w:rsidR="00844060" w:rsidRDefault="00304CE3" w:rsidP="009F6012">
      <w:pPr>
        <w:pStyle w:val="Heading1"/>
      </w:pPr>
      <w:r>
        <w:t>Background</w:t>
      </w:r>
    </w:p>
    <w:p w14:paraId="0E5505E4" w14:textId="77777777" w:rsidR="00E27D12" w:rsidRPr="00E27D12" w:rsidRDefault="00E27D12" w:rsidP="00E27D12">
      <w:pPr>
        <w:pStyle w:val="ListParagraph"/>
        <w:numPr>
          <w:ilvl w:val="0"/>
          <w:numId w:val="35"/>
        </w:numPr>
      </w:pPr>
      <w:r w:rsidRPr="00E27D12">
        <w:t>Consumer Satisfaction Survey (CSS) is a collaborative effort between Department of Rehabilitation (DOR) and State Rehabilitation Council (SRC)</w:t>
      </w:r>
    </w:p>
    <w:p w14:paraId="6ECFA5B6" w14:textId="77777777" w:rsidR="00E27D12" w:rsidRPr="00E27D12" w:rsidRDefault="00E27D12" w:rsidP="00E27D12">
      <w:pPr>
        <w:pStyle w:val="ListParagraph"/>
        <w:numPr>
          <w:ilvl w:val="0"/>
          <w:numId w:val="35"/>
        </w:numPr>
      </w:pPr>
      <w:r w:rsidRPr="00E27D12">
        <w:t xml:space="preserve">Conducted to ensure that DOR is meeting its vocational rehabilitation program responsibilities to its consumers by providing high-quality, effective services that ultimately result in employment outcomes. </w:t>
      </w:r>
    </w:p>
    <w:p w14:paraId="2F152590" w14:textId="77777777" w:rsidR="00E27D12" w:rsidRPr="00E27D12" w:rsidRDefault="00E27D12" w:rsidP="00E27D12">
      <w:pPr>
        <w:pStyle w:val="ListParagraph"/>
        <w:numPr>
          <w:ilvl w:val="0"/>
          <w:numId w:val="35"/>
        </w:numPr>
      </w:pPr>
      <w:r w:rsidRPr="00E27D12">
        <w:t xml:space="preserve">Gathers anonymous feedback from individuals who received services from DOR in the previous State Fiscal Year (SFY). </w:t>
      </w:r>
    </w:p>
    <w:p w14:paraId="4051D2E8" w14:textId="4EBF6428" w:rsidR="00E27D12" w:rsidRPr="00844060" w:rsidRDefault="00E27D12" w:rsidP="00E27D12">
      <w:pPr>
        <w:pStyle w:val="ListParagraph"/>
        <w:numPr>
          <w:ilvl w:val="0"/>
          <w:numId w:val="35"/>
        </w:numPr>
      </w:pPr>
      <w:r w:rsidRPr="00E27D12">
        <w:t>Results are utilized to increase effectiveness and efficiency in the service delivery process.</w:t>
      </w:r>
    </w:p>
    <w:p w14:paraId="00F42A12" w14:textId="63208BAC" w:rsidR="0034510C" w:rsidRDefault="00393241" w:rsidP="009F6012">
      <w:pPr>
        <w:pStyle w:val="Heading1"/>
      </w:pPr>
      <w:r w:rsidRPr="00393241">
        <w:rPr>
          <w:bCs/>
        </w:rPr>
        <w:t>SFY 2021-22 CSS Sample Size</w:t>
      </w:r>
    </w:p>
    <w:p w14:paraId="6D42BBB8" w14:textId="77777777" w:rsidR="00D12BE7" w:rsidRPr="00D12BE7" w:rsidRDefault="00D12BE7" w:rsidP="00D12BE7">
      <w:pPr>
        <w:pStyle w:val="ListParagraph"/>
        <w:numPr>
          <w:ilvl w:val="0"/>
          <w:numId w:val="36"/>
        </w:numPr>
      </w:pPr>
      <w:r w:rsidRPr="00D12BE7">
        <w:t>SFY 2020-21 total consumer population: 101,879</w:t>
      </w:r>
    </w:p>
    <w:p w14:paraId="0EDB91A9" w14:textId="27F9D032" w:rsidR="00D12BE7" w:rsidRPr="00D12BE7" w:rsidRDefault="00D12BE7" w:rsidP="00427A47">
      <w:pPr>
        <w:pStyle w:val="ListParagraph"/>
        <w:numPr>
          <w:ilvl w:val="0"/>
          <w:numId w:val="36"/>
        </w:numPr>
      </w:pPr>
      <w:r w:rsidRPr="00D12BE7">
        <w:t>Sample size: 7,365</w:t>
      </w:r>
      <w:r w:rsidR="00701843">
        <w:t xml:space="preserve">. </w:t>
      </w:r>
      <w:r w:rsidRPr="00D12BE7">
        <w:t xml:space="preserve">Surveys </w:t>
      </w:r>
      <w:r w:rsidR="00FF1AF0">
        <w:t xml:space="preserve">were </w:t>
      </w:r>
      <w:r w:rsidRPr="00D12BE7">
        <w:t>sent</w:t>
      </w:r>
      <w:r w:rsidR="00FF1AF0">
        <w:t xml:space="preserve"> using electronic or surface mail. </w:t>
      </w:r>
    </w:p>
    <w:p w14:paraId="134841AD" w14:textId="77777777" w:rsidR="00D12BE7" w:rsidRPr="00D12BE7" w:rsidRDefault="00D12BE7" w:rsidP="00D12BE7">
      <w:pPr>
        <w:pStyle w:val="ListParagraph"/>
        <w:numPr>
          <w:ilvl w:val="0"/>
          <w:numId w:val="36"/>
        </w:numPr>
      </w:pPr>
      <w:r w:rsidRPr="00D12BE7">
        <w:t xml:space="preserve">Responses received: 933 </w:t>
      </w:r>
    </w:p>
    <w:p w14:paraId="4F9F533B" w14:textId="35B4DE43" w:rsidR="00D12BE7" w:rsidRDefault="00D12BE7" w:rsidP="00982371">
      <w:pPr>
        <w:pStyle w:val="ListParagraph"/>
        <w:numPr>
          <w:ilvl w:val="0"/>
          <w:numId w:val="36"/>
        </w:numPr>
      </w:pPr>
      <w:r w:rsidRPr="00D12BE7">
        <w:t xml:space="preserve">Response rate: 13.5% </w:t>
      </w:r>
    </w:p>
    <w:p w14:paraId="2E0DE8EE" w14:textId="176FBAD8" w:rsidR="00CF7353" w:rsidRDefault="00CF7353" w:rsidP="00CF7353">
      <w:pPr>
        <w:pStyle w:val="Heading1"/>
      </w:pPr>
      <w:r>
        <w:rPr>
          <w:bCs/>
        </w:rPr>
        <w:t>CSS Response Rate Trends</w:t>
      </w:r>
    </w:p>
    <w:p w14:paraId="1B73A9BD" w14:textId="77777777" w:rsidR="00A4614D" w:rsidRPr="00A4614D" w:rsidRDefault="00A4614D" w:rsidP="00A4614D">
      <w:pPr>
        <w:pStyle w:val="ListParagraph"/>
        <w:numPr>
          <w:ilvl w:val="0"/>
          <w:numId w:val="36"/>
        </w:numPr>
      </w:pPr>
      <w:r w:rsidRPr="00A4614D">
        <w:t>Response rate was calculated as the number of responses received to the total number of deliverable surveys.</w:t>
      </w:r>
    </w:p>
    <w:p w14:paraId="3F437CD2" w14:textId="18E1F283" w:rsidR="00A4614D" w:rsidRPr="00A4614D" w:rsidRDefault="00A4614D" w:rsidP="00A4614D">
      <w:pPr>
        <w:pStyle w:val="ListParagraph"/>
        <w:numPr>
          <w:ilvl w:val="0"/>
          <w:numId w:val="36"/>
        </w:numPr>
      </w:pPr>
      <w:r w:rsidRPr="00A4614D">
        <w:t xml:space="preserve">Due to a declining response rate over the past few years (CSS was not conducted in SFY 2019-20), the Planning Unit anticipated a lower response rate (14%) in 2021-22. </w:t>
      </w:r>
      <w:r w:rsidR="00872EAA">
        <w:t>To</w:t>
      </w:r>
      <w:r w:rsidRPr="00A4614D">
        <w:t xml:space="preserve"> increase the number of responses received, the number of survey invitations was increased. </w:t>
      </w:r>
    </w:p>
    <w:p w14:paraId="6C6CAAC8" w14:textId="33F8B5D3" w:rsidR="00CF7353" w:rsidRPr="0034510C" w:rsidRDefault="00A4614D" w:rsidP="00CF7353">
      <w:pPr>
        <w:pStyle w:val="ListParagraph"/>
        <w:numPr>
          <w:ilvl w:val="0"/>
          <w:numId w:val="36"/>
        </w:numPr>
      </w:pPr>
      <w:r w:rsidRPr="00A4614D">
        <w:t>Although the response rate declined from 16.6% in SFY 2020-21 to 13.5% in 2021-22, the number of responses received increased from 849 to 933, due to the increased sample size.</w:t>
      </w:r>
    </w:p>
    <w:p w14:paraId="63DDBF41" w14:textId="60E8980F" w:rsidR="00FE4BF6" w:rsidRDefault="00FF6A1F" w:rsidP="00FE4BF6">
      <w:pPr>
        <w:pStyle w:val="Heading1"/>
      </w:pPr>
      <w:r>
        <w:rPr>
          <w:bCs/>
        </w:rPr>
        <w:t>CSS Reported Disability Impairments</w:t>
      </w:r>
    </w:p>
    <w:p w14:paraId="4CFF0BE9" w14:textId="5BBCD3D8" w:rsidR="00FE4BF6" w:rsidRDefault="00FE4BF6" w:rsidP="00FE4BF6">
      <w:pPr>
        <w:pStyle w:val="ListParagraph"/>
        <w:numPr>
          <w:ilvl w:val="0"/>
          <w:numId w:val="2"/>
        </w:numPr>
      </w:pPr>
      <w:r w:rsidRPr="006C3EC4">
        <w:rPr>
          <w:b/>
          <w:bCs/>
        </w:rPr>
        <w:t>Image Description:</w:t>
      </w:r>
      <w:r w:rsidRPr="006C3EC4">
        <w:t xml:space="preserve"> </w:t>
      </w:r>
      <w:r w:rsidR="00BD7493">
        <w:t>The</w:t>
      </w:r>
      <w:r w:rsidRPr="006C3EC4">
        <w:t xml:space="preserve"> </w:t>
      </w:r>
      <w:r w:rsidR="00543F65">
        <w:t xml:space="preserve">count and </w:t>
      </w:r>
      <w:r w:rsidRPr="006C3EC4">
        <w:t xml:space="preserve">percent of total </w:t>
      </w:r>
      <w:r w:rsidR="00F05798">
        <w:t xml:space="preserve">disability impairments </w:t>
      </w:r>
      <w:r w:rsidR="00CA5245">
        <w:t xml:space="preserve">reported </w:t>
      </w:r>
      <w:r w:rsidR="00473988">
        <w:t xml:space="preserve">(1,348) </w:t>
      </w:r>
      <w:r w:rsidRPr="006C3EC4">
        <w:t xml:space="preserve">by </w:t>
      </w:r>
      <w:r w:rsidR="000D56FA">
        <w:t>d</w:t>
      </w:r>
      <w:r w:rsidRPr="006C3EC4">
        <w:t xml:space="preserve">isability </w:t>
      </w:r>
      <w:r w:rsidR="000D56FA">
        <w:t>i</w:t>
      </w:r>
      <w:r w:rsidR="00D126FA">
        <w:t>mpairment</w:t>
      </w:r>
      <w:r w:rsidRPr="006C3EC4">
        <w:t xml:space="preserve"> are illustrated using bar charts. Figure data are listed in table format below.</w:t>
      </w:r>
    </w:p>
    <w:tbl>
      <w:tblPr>
        <w:tblStyle w:val="TableGrid"/>
        <w:tblW w:w="9288" w:type="dxa"/>
        <w:tblInd w:w="607" w:type="dxa"/>
        <w:tblLook w:val="04A0" w:firstRow="1" w:lastRow="0" w:firstColumn="1" w:lastColumn="0" w:noHBand="0" w:noVBand="1"/>
      </w:tblPr>
      <w:tblGrid>
        <w:gridCol w:w="4599"/>
        <w:gridCol w:w="2336"/>
        <w:gridCol w:w="2353"/>
      </w:tblGrid>
      <w:tr w:rsidR="003846EA" w:rsidRPr="00805B86" w14:paraId="43A97014" w14:textId="77777777" w:rsidTr="00D70E50">
        <w:trPr>
          <w:trHeight w:val="480"/>
        </w:trPr>
        <w:tc>
          <w:tcPr>
            <w:tcW w:w="4693" w:type="dxa"/>
            <w:shd w:val="clear" w:color="auto" w:fill="F2F2F2" w:themeFill="background1" w:themeFillShade="F2"/>
            <w:hideMark/>
          </w:tcPr>
          <w:p w14:paraId="6F78D610" w14:textId="58E23EDB" w:rsidR="003846EA" w:rsidRPr="002E5428" w:rsidRDefault="003846EA" w:rsidP="00637EA8">
            <w:pPr>
              <w:rPr>
                <w:b/>
                <w:bCs/>
              </w:rPr>
            </w:pPr>
            <w:r w:rsidRPr="002E5428">
              <w:rPr>
                <w:b/>
                <w:bCs/>
              </w:rPr>
              <w:t xml:space="preserve">Disability </w:t>
            </w:r>
            <w:r w:rsidR="00D20F64">
              <w:rPr>
                <w:b/>
                <w:bCs/>
              </w:rPr>
              <w:t>Impairment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48837B6B" w14:textId="357D8073" w:rsidR="003846EA" w:rsidRPr="002E5428" w:rsidRDefault="00346B63" w:rsidP="00637EA8">
            <w:pPr>
              <w:rPr>
                <w:b/>
                <w:bCs/>
              </w:rPr>
            </w:pPr>
            <w:r>
              <w:rPr>
                <w:b/>
                <w:bCs/>
              </w:rPr>
              <w:t>Count</w:t>
            </w:r>
          </w:p>
        </w:tc>
        <w:tc>
          <w:tcPr>
            <w:tcW w:w="2448" w:type="dxa"/>
            <w:shd w:val="clear" w:color="auto" w:fill="F2F2F2" w:themeFill="background1" w:themeFillShade="F2"/>
            <w:hideMark/>
          </w:tcPr>
          <w:p w14:paraId="4E704239" w14:textId="334E5407" w:rsidR="003846EA" w:rsidRPr="002E5428" w:rsidRDefault="003846EA" w:rsidP="00637EA8">
            <w:pPr>
              <w:rPr>
                <w:b/>
                <w:bCs/>
              </w:rPr>
            </w:pPr>
            <w:r w:rsidRPr="002E5428">
              <w:rPr>
                <w:b/>
                <w:bCs/>
              </w:rPr>
              <w:t>Percent of Total</w:t>
            </w:r>
          </w:p>
        </w:tc>
      </w:tr>
      <w:tr w:rsidR="003846EA" w:rsidRPr="00805B86" w14:paraId="5EBF99FD" w14:textId="77777777" w:rsidTr="00D70E50">
        <w:trPr>
          <w:trHeight w:val="240"/>
        </w:trPr>
        <w:tc>
          <w:tcPr>
            <w:tcW w:w="4693" w:type="dxa"/>
            <w:hideMark/>
          </w:tcPr>
          <w:p w14:paraId="309306EF" w14:textId="77777777" w:rsidR="003846EA" w:rsidRPr="00805B86" w:rsidRDefault="003846EA" w:rsidP="00637EA8">
            <w:r w:rsidRPr="00805B86">
              <w:t>Learning Disability</w:t>
            </w:r>
          </w:p>
        </w:tc>
        <w:tc>
          <w:tcPr>
            <w:tcW w:w="2448" w:type="dxa"/>
          </w:tcPr>
          <w:p w14:paraId="0BFC6FEB" w14:textId="0BA7BFC8" w:rsidR="003846EA" w:rsidRDefault="00346B63" w:rsidP="00637EA8">
            <w:r>
              <w:t>356</w:t>
            </w:r>
          </w:p>
        </w:tc>
        <w:tc>
          <w:tcPr>
            <w:tcW w:w="2448" w:type="dxa"/>
            <w:hideMark/>
          </w:tcPr>
          <w:p w14:paraId="137DDE23" w14:textId="264A506F" w:rsidR="003846EA" w:rsidRPr="00805B86" w:rsidRDefault="003846EA" w:rsidP="00637EA8">
            <w:r>
              <w:t>26.4</w:t>
            </w:r>
            <w:r w:rsidRPr="00805B86">
              <w:t>%</w:t>
            </w:r>
          </w:p>
        </w:tc>
      </w:tr>
      <w:tr w:rsidR="003846EA" w:rsidRPr="00805B86" w14:paraId="4929AF57" w14:textId="77777777" w:rsidTr="00D70E50">
        <w:trPr>
          <w:trHeight w:val="240"/>
        </w:trPr>
        <w:tc>
          <w:tcPr>
            <w:tcW w:w="4693" w:type="dxa"/>
            <w:hideMark/>
          </w:tcPr>
          <w:p w14:paraId="563D9445" w14:textId="77777777" w:rsidR="003846EA" w:rsidRPr="00805B86" w:rsidRDefault="003846EA" w:rsidP="00637EA8">
            <w:r w:rsidRPr="00805B86">
              <w:t>Psychiatric Disability</w:t>
            </w:r>
          </w:p>
        </w:tc>
        <w:tc>
          <w:tcPr>
            <w:tcW w:w="2448" w:type="dxa"/>
          </w:tcPr>
          <w:p w14:paraId="4D4A78E0" w14:textId="5BAE26D2" w:rsidR="003846EA" w:rsidRDefault="00346B63" w:rsidP="00637EA8">
            <w:r>
              <w:t>259</w:t>
            </w:r>
          </w:p>
        </w:tc>
        <w:tc>
          <w:tcPr>
            <w:tcW w:w="2448" w:type="dxa"/>
            <w:hideMark/>
          </w:tcPr>
          <w:p w14:paraId="7B7EC3C7" w14:textId="02D8ABFB" w:rsidR="003846EA" w:rsidRPr="00805B86" w:rsidRDefault="003846EA" w:rsidP="00637EA8">
            <w:r>
              <w:t>19.2</w:t>
            </w:r>
            <w:r w:rsidRPr="00805B86">
              <w:t>%</w:t>
            </w:r>
          </w:p>
        </w:tc>
      </w:tr>
      <w:tr w:rsidR="003846EA" w:rsidRPr="00805B86" w14:paraId="7E37B75D" w14:textId="77777777" w:rsidTr="00D70E50">
        <w:trPr>
          <w:trHeight w:val="240"/>
        </w:trPr>
        <w:tc>
          <w:tcPr>
            <w:tcW w:w="4693" w:type="dxa"/>
            <w:hideMark/>
          </w:tcPr>
          <w:p w14:paraId="5F3874CB" w14:textId="77777777" w:rsidR="003846EA" w:rsidRPr="00805B86" w:rsidRDefault="003846EA" w:rsidP="00637EA8">
            <w:r w:rsidRPr="00805B86">
              <w:t>Physical Disability</w:t>
            </w:r>
          </w:p>
        </w:tc>
        <w:tc>
          <w:tcPr>
            <w:tcW w:w="2448" w:type="dxa"/>
          </w:tcPr>
          <w:p w14:paraId="3C5EED7E" w14:textId="2B581DFC" w:rsidR="003846EA" w:rsidRDefault="00346B63" w:rsidP="00637EA8">
            <w:r>
              <w:t>242</w:t>
            </w:r>
          </w:p>
        </w:tc>
        <w:tc>
          <w:tcPr>
            <w:tcW w:w="2448" w:type="dxa"/>
            <w:hideMark/>
          </w:tcPr>
          <w:p w14:paraId="679C9CC9" w14:textId="0D457324" w:rsidR="003846EA" w:rsidRPr="00805B86" w:rsidRDefault="003846EA" w:rsidP="00637EA8">
            <w:r>
              <w:t>18.0</w:t>
            </w:r>
            <w:r w:rsidRPr="00805B86">
              <w:t>%</w:t>
            </w:r>
          </w:p>
        </w:tc>
      </w:tr>
      <w:tr w:rsidR="003846EA" w:rsidRPr="00805B86" w14:paraId="0C0CA058" w14:textId="77777777" w:rsidTr="00D70E50">
        <w:trPr>
          <w:trHeight w:val="240"/>
        </w:trPr>
        <w:tc>
          <w:tcPr>
            <w:tcW w:w="4693" w:type="dxa"/>
            <w:hideMark/>
          </w:tcPr>
          <w:p w14:paraId="3A825DA7" w14:textId="77777777" w:rsidR="003846EA" w:rsidRPr="00805B86" w:rsidRDefault="003846EA" w:rsidP="00637EA8">
            <w:r w:rsidRPr="00805B86">
              <w:t>Intellectual/Developmental Disability</w:t>
            </w:r>
          </w:p>
        </w:tc>
        <w:tc>
          <w:tcPr>
            <w:tcW w:w="2448" w:type="dxa"/>
          </w:tcPr>
          <w:p w14:paraId="6F576E68" w14:textId="18E8297F" w:rsidR="003846EA" w:rsidRDefault="005A5CDC" w:rsidP="00637EA8">
            <w:r>
              <w:t>162</w:t>
            </w:r>
          </w:p>
        </w:tc>
        <w:tc>
          <w:tcPr>
            <w:tcW w:w="2448" w:type="dxa"/>
            <w:hideMark/>
          </w:tcPr>
          <w:p w14:paraId="260795DA" w14:textId="722ACF16" w:rsidR="003846EA" w:rsidRPr="00805B86" w:rsidRDefault="003846EA" w:rsidP="00637EA8">
            <w:r>
              <w:t>12.0</w:t>
            </w:r>
            <w:r w:rsidRPr="00805B86">
              <w:t>%</w:t>
            </w:r>
          </w:p>
        </w:tc>
      </w:tr>
      <w:tr w:rsidR="003846EA" w:rsidRPr="00805B86" w14:paraId="42A66F52" w14:textId="77777777" w:rsidTr="00D70E50">
        <w:trPr>
          <w:trHeight w:val="240"/>
        </w:trPr>
        <w:tc>
          <w:tcPr>
            <w:tcW w:w="4693" w:type="dxa"/>
            <w:hideMark/>
          </w:tcPr>
          <w:p w14:paraId="73C26A72" w14:textId="77777777" w:rsidR="003846EA" w:rsidRPr="00805B86" w:rsidRDefault="003846EA" w:rsidP="00637EA8">
            <w:r w:rsidRPr="00805B86">
              <w:lastRenderedPageBreak/>
              <w:t>Cognitive Impairment</w:t>
            </w:r>
          </w:p>
        </w:tc>
        <w:tc>
          <w:tcPr>
            <w:tcW w:w="2448" w:type="dxa"/>
          </w:tcPr>
          <w:p w14:paraId="0F068BF6" w14:textId="3861C88B" w:rsidR="003846EA" w:rsidRDefault="005A5CDC" w:rsidP="00637EA8">
            <w:r>
              <w:t>84</w:t>
            </w:r>
          </w:p>
        </w:tc>
        <w:tc>
          <w:tcPr>
            <w:tcW w:w="2448" w:type="dxa"/>
            <w:hideMark/>
          </w:tcPr>
          <w:p w14:paraId="6B0F3D10" w14:textId="17FAE3EC" w:rsidR="003846EA" w:rsidRPr="00805B86" w:rsidRDefault="003846EA" w:rsidP="00637EA8">
            <w:r>
              <w:t>6.2</w:t>
            </w:r>
            <w:r w:rsidRPr="00805B86">
              <w:t>%</w:t>
            </w:r>
          </w:p>
        </w:tc>
      </w:tr>
      <w:tr w:rsidR="003846EA" w:rsidRPr="00805B86" w14:paraId="4E0CC996" w14:textId="77777777" w:rsidTr="00D70E50">
        <w:trPr>
          <w:trHeight w:val="240"/>
        </w:trPr>
        <w:tc>
          <w:tcPr>
            <w:tcW w:w="4693" w:type="dxa"/>
            <w:hideMark/>
          </w:tcPr>
          <w:p w14:paraId="44163B89" w14:textId="77777777" w:rsidR="003846EA" w:rsidRPr="00805B86" w:rsidRDefault="003846EA" w:rsidP="00637EA8">
            <w:r w:rsidRPr="00805B86">
              <w:t>Blind/Visually Impaired</w:t>
            </w:r>
          </w:p>
        </w:tc>
        <w:tc>
          <w:tcPr>
            <w:tcW w:w="2448" w:type="dxa"/>
          </w:tcPr>
          <w:p w14:paraId="02A14D3D" w14:textId="21113004" w:rsidR="003846EA" w:rsidRDefault="005A5CDC" w:rsidP="00637EA8">
            <w:r>
              <w:t>83</w:t>
            </w:r>
          </w:p>
        </w:tc>
        <w:tc>
          <w:tcPr>
            <w:tcW w:w="2448" w:type="dxa"/>
            <w:hideMark/>
          </w:tcPr>
          <w:p w14:paraId="23F6CC6A" w14:textId="2D21BECB" w:rsidR="003846EA" w:rsidRPr="00805B86" w:rsidRDefault="003846EA" w:rsidP="00637EA8">
            <w:r>
              <w:t>6.2</w:t>
            </w:r>
            <w:r w:rsidRPr="00805B86">
              <w:t>%</w:t>
            </w:r>
          </w:p>
        </w:tc>
      </w:tr>
      <w:tr w:rsidR="003846EA" w:rsidRPr="00805B86" w14:paraId="5C95CFE0" w14:textId="77777777" w:rsidTr="00D70E50">
        <w:trPr>
          <w:trHeight w:val="240"/>
        </w:trPr>
        <w:tc>
          <w:tcPr>
            <w:tcW w:w="4693" w:type="dxa"/>
            <w:hideMark/>
          </w:tcPr>
          <w:p w14:paraId="060974D5" w14:textId="77777777" w:rsidR="003846EA" w:rsidRPr="00805B86" w:rsidRDefault="003846EA" w:rsidP="00637EA8">
            <w:r w:rsidRPr="00805B86">
              <w:t>Deaf/Hard of Hearing</w:t>
            </w:r>
          </w:p>
        </w:tc>
        <w:tc>
          <w:tcPr>
            <w:tcW w:w="2448" w:type="dxa"/>
          </w:tcPr>
          <w:p w14:paraId="0E711F1B" w14:textId="60249DA8" w:rsidR="003846EA" w:rsidRDefault="005A5CDC" w:rsidP="00637EA8">
            <w:r>
              <w:t>62</w:t>
            </w:r>
          </w:p>
        </w:tc>
        <w:tc>
          <w:tcPr>
            <w:tcW w:w="2448" w:type="dxa"/>
            <w:hideMark/>
          </w:tcPr>
          <w:p w14:paraId="605CA0E8" w14:textId="0391E0FE" w:rsidR="003846EA" w:rsidRPr="00805B86" w:rsidRDefault="003846EA" w:rsidP="00637EA8">
            <w:r>
              <w:t>4.6</w:t>
            </w:r>
            <w:r w:rsidRPr="00805B86">
              <w:t>%</w:t>
            </w:r>
          </w:p>
        </w:tc>
      </w:tr>
      <w:tr w:rsidR="003846EA" w:rsidRPr="00805B86" w14:paraId="7935C1D1" w14:textId="77777777" w:rsidTr="00D70E50">
        <w:trPr>
          <w:trHeight w:val="240"/>
        </w:trPr>
        <w:tc>
          <w:tcPr>
            <w:tcW w:w="4693" w:type="dxa"/>
            <w:hideMark/>
          </w:tcPr>
          <w:p w14:paraId="06E68051" w14:textId="77777777" w:rsidR="003846EA" w:rsidRPr="00805B86" w:rsidRDefault="003846EA" w:rsidP="00637EA8">
            <w:r w:rsidRPr="00805B86">
              <w:t>Traumatic Brain Injury</w:t>
            </w:r>
          </w:p>
        </w:tc>
        <w:tc>
          <w:tcPr>
            <w:tcW w:w="2448" w:type="dxa"/>
          </w:tcPr>
          <w:p w14:paraId="2D2095B9" w14:textId="46313CAC" w:rsidR="003846EA" w:rsidRDefault="005A5CDC" w:rsidP="00637EA8">
            <w:r>
              <w:t>60</w:t>
            </w:r>
          </w:p>
        </w:tc>
        <w:tc>
          <w:tcPr>
            <w:tcW w:w="2448" w:type="dxa"/>
            <w:hideMark/>
          </w:tcPr>
          <w:p w14:paraId="39291C77" w14:textId="2D1581C8" w:rsidR="003846EA" w:rsidRPr="00805B86" w:rsidRDefault="003846EA" w:rsidP="00637EA8">
            <w:r>
              <w:t>4.5</w:t>
            </w:r>
            <w:r w:rsidRPr="00805B86">
              <w:t>%</w:t>
            </w:r>
          </w:p>
        </w:tc>
      </w:tr>
      <w:tr w:rsidR="003846EA" w:rsidRPr="00805B86" w14:paraId="103B4CEF" w14:textId="77777777" w:rsidTr="00D70E50">
        <w:trPr>
          <w:trHeight w:val="240"/>
        </w:trPr>
        <w:tc>
          <w:tcPr>
            <w:tcW w:w="4693" w:type="dxa"/>
            <w:hideMark/>
          </w:tcPr>
          <w:p w14:paraId="1E595ECC" w14:textId="77777777" w:rsidR="003846EA" w:rsidRPr="00805B86" w:rsidRDefault="003846EA" w:rsidP="00637EA8">
            <w:r w:rsidRPr="00805B86">
              <w:t>Not Reported</w:t>
            </w:r>
          </w:p>
        </w:tc>
        <w:tc>
          <w:tcPr>
            <w:tcW w:w="2448" w:type="dxa"/>
          </w:tcPr>
          <w:p w14:paraId="4DDE4772" w14:textId="4A9A9CDA" w:rsidR="003846EA" w:rsidRDefault="00543F65" w:rsidP="00637EA8">
            <w:r>
              <w:t>40</w:t>
            </w:r>
          </w:p>
        </w:tc>
        <w:tc>
          <w:tcPr>
            <w:tcW w:w="2448" w:type="dxa"/>
            <w:hideMark/>
          </w:tcPr>
          <w:p w14:paraId="57C3DE7D" w14:textId="6C0D1B54" w:rsidR="003846EA" w:rsidRPr="00805B86" w:rsidRDefault="003846EA" w:rsidP="00637EA8">
            <w:r>
              <w:t>3.0</w:t>
            </w:r>
            <w:r w:rsidRPr="00805B86">
              <w:t>%</w:t>
            </w:r>
          </w:p>
        </w:tc>
      </w:tr>
      <w:tr w:rsidR="003846EA" w:rsidRPr="002E5428" w14:paraId="59CCF908" w14:textId="77777777" w:rsidTr="00D70E50">
        <w:trPr>
          <w:trHeight w:val="240"/>
        </w:trPr>
        <w:tc>
          <w:tcPr>
            <w:tcW w:w="4693" w:type="dxa"/>
            <w:hideMark/>
          </w:tcPr>
          <w:p w14:paraId="4E033967" w14:textId="07465255" w:rsidR="003846EA" w:rsidRPr="002E5428" w:rsidRDefault="003846EA" w:rsidP="00637EA8">
            <w:pPr>
              <w:rPr>
                <w:b/>
                <w:bCs/>
                <w:i/>
                <w:iCs/>
              </w:rPr>
            </w:pPr>
            <w:r w:rsidRPr="002E5428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448" w:type="dxa"/>
          </w:tcPr>
          <w:p w14:paraId="0E4AD10C" w14:textId="2EE53B57" w:rsidR="003846EA" w:rsidRDefault="00543F65" w:rsidP="00637E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1,348</w:t>
            </w:r>
          </w:p>
        </w:tc>
        <w:tc>
          <w:tcPr>
            <w:tcW w:w="2448" w:type="dxa"/>
            <w:hideMark/>
          </w:tcPr>
          <w:p w14:paraId="4DB953B4" w14:textId="292F8C38" w:rsidR="003846EA" w:rsidRPr="002E5428" w:rsidRDefault="00543F65" w:rsidP="00637E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100%</w:t>
            </w:r>
          </w:p>
        </w:tc>
      </w:tr>
    </w:tbl>
    <w:p w14:paraId="4AD8565E" w14:textId="32802D74" w:rsidR="008D723F" w:rsidRDefault="00363C30" w:rsidP="008D723F">
      <w:pPr>
        <w:pStyle w:val="Heading1"/>
      </w:pPr>
      <w:r>
        <w:rPr>
          <w:bCs/>
        </w:rPr>
        <w:t>Age Range of CSS Responses</w:t>
      </w:r>
    </w:p>
    <w:p w14:paraId="68763F72" w14:textId="72E81DC1" w:rsidR="008D723F" w:rsidRPr="006A0401" w:rsidRDefault="008D723F" w:rsidP="008D723F">
      <w:pPr>
        <w:pStyle w:val="ListParagraph"/>
        <w:numPr>
          <w:ilvl w:val="0"/>
          <w:numId w:val="26"/>
        </w:numPr>
      </w:pPr>
      <w:r w:rsidRPr="006A0401">
        <w:rPr>
          <w:b/>
          <w:bCs/>
        </w:rPr>
        <w:t xml:space="preserve">Image Description: </w:t>
      </w:r>
      <w:r w:rsidRPr="006A0401">
        <w:t xml:space="preserve">The </w:t>
      </w:r>
      <w:r w:rsidR="004D2F80">
        <w:t xml:space="preserve">count and </w:t>
      </w:r>
      <w:r w:rsidRPr="006A0401">
        <w:t>percent of total CSS responses received (</w:t>
      </w:r>
      <w:r w:rsidR="00244E7D">
        <w:t>933</w:t>
      </w:r>
      <w:r w:rsidRPr="006A0401">
        <w:t xml:space="preserve">) by age range are illustrated using </w:t>
      </w:r>
      <w:r w:rsidR="00F04380">
        <w:t>column</w:t>
      </w:r>
      <w:r w:rsidRPr="006A0401">
        <w:t xml:space="preserve"> charts. Figure data are listed in table format below.</w:t>
      </w: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3852"/>
        <w:gridCol w:w="2448"/>
        <w:gridCol w:w="2448"/>
      </w:tblGrid>
      <w:tr w:rsidR="00996EED" w:rsidRPr="006A0401" w14:paraId="6B0EFA04" w14:textId="1A8026D5" w:rsidTr="006F7B1C">
        <w:trPr>
          <w:trHeight w:val="475"/>
        </w:trPr>
        <w:tc>
          <w:tcPr>
            <w:tcW w:w="0" w:type="auto"/>
            <w:shd w:val="clear" w:color="auto" w:fill="F2F2F2" w:themeFill="background1" w:themeFillShade="F2"/>
            <w:hideMark/>
          </w:tcPr>
          <w:p w14:paraId="1B6CD674" w14:textId="77777777" w:rsidR="00996EED" w:rsidRPr="006A0401" w:rsidRDefault="00996EED" w:rsidP="00996EED">
            <w:pPr>
              <w:rPr>
                <w:b/>
                <w:bCs/>
              </w:rPr>
            </w:pPr>
            <w:r w:rsidRPr="006A0401">
              <w:rPr>
                <w:b/>
                <w:bCs/>
              </w:rPr>
              <w:t>Age Range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517130D7" w14:textId="556B683E" w:rsidR="00996EED" w:rsidRPr="006A0401" w:rsidRDefault="00996EED" w:rsidP="00996EED">
            <w:pPr>
              <w:rPr>
                <w:b/>
                <w:bCs/>
              </w:rPr>
            </w:pPr>
            <w:r>
              <w:rPr>
                <w:b/>
                <w:bCs/>
              </w:rPr>
              <w:t>Count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260AD47D" w14:textId="1C775137" w:rsidR="00996EED" w:rsidRPr="006A0401" w:rsidRDefault="00996EED" w:rsidP="00996EED">
            <w:pPr>
              <w:rPr>
                <w:b/>
                <w:bCs/>
              </w:rPr>
            </w:pPr>
            <w:r w:rsidRPr="006A0401">
              <w:rPr>
                <w:b/>
                <w:bCs/>
              </w:rPr>
              <w:t>Percent of Total</w:t>
            </w:r>
          </w:p>
        </w:tc>
      </w:tr>
      <w:tr w:rsidR="00996EED" w:rsidRPr="006A0401" w14:paraId="1CE4FC31" w14:textId="51A9F9A6" w:rsidTr="006F7B1C">
        <w:trPr>
          <w:trHeight w:val="237"/>
        </w:trPr>
        <w:tc>
          <w:tcPr>
            <w:tcW w:w="0" w:type="auto"/>
            <w:hideMark/>
          </w:tcPr>
          <w:p w14:paraId="389A491D" w14:textId="77777777" w:rsidR="00996EED" w:rsidRPr="006A0401" w:rsidRDefault="00996EED" w:rsidP="00996EED">
            <w:r w:rsidRPr="006A0401">
              <w:t>Below 20</w:t>
            </w:r>
          </w:p>
        </w:tc>
        <w:tc>
          <w:tcPr>
            <w:tcW w:w="2448" w:type="dxa"/>
          </w:tcPr>
          <w:p w14:paraId="5DABD5F4" w14:textId="0CC6FC96" w:rsidR="00996EED" w:rsidRDefault="001C2DCB" w:rsidP="00996EED">
            <w:r>
              <w:t>127</w:t>
            </w:r>
          </w:p>
        </w:tc>
        <w:tc>
          <w:tcPr>
            <w:tcW w:w="2448" w:type="dxa"/>
          </w:tcPr>
          <w:p w14:paraId="4ED3CFB1" w14:textId="69C5ADD5" w:rsidR="00996EED" w:rsidRDefault="00996EED" w:rsidP="00996EED">
            <w:r>
              <w:t>13.6</w:t>
            </w:r>
            <w:r w:rsidRPr="006A0401">
              <w:t>%</w:t>
            </w:r>
          </w:p>
        </w:tc>
      </w:tr>
      <w:tr w:rsidR="00996EED" w:rsidRPr="006A0401" w14:paraId="2CC2F4F2" w14:textId="61AD7661" w:rsidTr="006F7B1C">
        <w:trPr>
          <w:trHeight w:val="237"/>
        </w:trPr>
        <w:tc>
          <w:tcPr>
            <w:tcW w:w="0" w:type="auto"/>
            <w:hideMark/>
          </w:tcPr>
          <w:p w14:paraId="17AB9628" w14:textId="77777777" w:rsidR="00996EED" w:rsidRPr="006A0401" w:rsidRDefault="00996EED" w:rsidP="00996EED">
            <w:r w:rsidRPr="006A0401">
              <w:t>20-29</w:t>
            </w:r>
          </w:p>
        </w:tc>
        <w:tc>
          <w:tcPr>
            <w:tcW w:w="2448" w:type="dxa"/>
          </w:tcPr>
          <w:p w14:paraId="012870B2" w14:textId="7955A72C" w:rsidR="00996EED" w:rsidRDefault="001C2DCB" w:rsidP="00996EED">
            <w:r>
              <w:t>265</w:t>
            </w:r>
          </w:p>
        </w:tc>
        <w:tc>
          <w:tcPr>
            <w:tcW w:w="2448" w:type="dxa"/>
          </w:tcPr>
          <w:p w14:paraId="26ABACC8" w14:textId="5FAAA5A2" w:rsidR="00996EED" w:rsidRDefault="00996EED" w:rsidP="00996EED">
            <w:r>
              <w:t>28.4</w:t>
            </w:r>
            <w:r w:rsidRPr="006A0401">
              <w:t>%</w:t>
            </w:r>
          </w:p>
        </w:tc>
      </w:tr>
      <w:tr w:rsidR="00996EED" w:rsidRPr="006A0401" w14:paraId="5B475D62" w14:textId="6E89CC08" w:rsidTr="006F7B1C">
        <w:trPr>
          <w:trHeight w:val="237"/>
        </w:trPr>
        <w:tc>
          <w:tcPr>
            <w:tcW w:w="0" w:type="auto"/>
            <w:hideMark/>
          </w:tcPr>
          <w:p w14:paraId="4E3BC221" w14:textId="77777777" w:rsidR="00996EED" w:rsidRPr="006A0401" w:rsidRDefault="00996EED" w:rsidP="00996EED">
            <w:r w:rsidRPr="006A0401">
              <w:t>30-39</w:t>
            </w:r>
          </w:p>
        </w:tc>
        <w:tc>
          <w:tcPr>
            <w:tcW w:w="2448" w:type="dxa"/>
          </w:tcPr>
          <w:p w14:paraId="53A2F21C" w14:textId="2DFDCD1A" w:rsidR="00996EED" w:rsidRDefault="001C2DCB" w:rsidP="00996EED">
            <w:r>
              <w:t>166</w:t>
            </w:r>
          </w:p>
        </w:tc>
        <w:tc>
          <w:tcPr>
            <w:tcW w:w="2448" w:type="dxa"/>
          </w:tcPr>
          <w:p w14:paraId="5CA42C98" w14:textId="30A12F37" w:rsidR="00996EED" w:rsidRDefault="00996EED" w:rsidP="00996EED">
            <w:r>
              <w:t>17.8</w:t>
            </w:r>
            <w:r w:rsidRPr="006A0401">
              <w:t>%</w:t>
            </w:r>
          </w:p>
        </w:tc>
      </w:tr>
      <w:tr w:rsidR="00996EED" w:rsidRPr="006A0401" w14:paraId="767001DA" w14:textId="3AE7FA85" w:rsidTr="006F7B1C">
        <w:trPr>
          <w:trHeight w:val="237"/>
        </w:trPr>
        <w:tc>
          <w:tcPr>
            <w:tcW w:w="0" w:type="auto"/>
            <w:hideMark/>
          </w:tcPr>
          <w:p w14:paraId="5BD6591C" w14:textId="77777777" w:rsidR="00996EED" w:rsidRPr="006A0401" w:rsidRDefault="00996EED" w:rsidP="00996EED">
            <w:r w:rsidRPr="006A0401">
              <w:t>40-49</w:t>
            </w:r>
          </w:p>
        </w:tc>
        <w:tc>
          <w:tcPr>
            <w:tcW w:w="2448" w:type="dxa"/>
          </w:tcPr>
          <w:p w14:paraId="65CFE820" w14:textId="180B5A43" w:rsidR="00996EED" w:rsidRDefault="001C2DCB" w:rsidP="00996EED">
            <w:r>
              <w:t>124</w:t>
            </w:r>
          </w:p>
        </w:tc>
        <w:tc>
          <w:tcPr>
            <w:tcW w:w="2448" w:type="dxa"/>
          </w:tcPr>
          <w:p w14:paraId="4F6BFDB8" w14:textId="329D1205" w:rsidR="00996EED" w:rsidRDefault="00996EED" w:rsidP="00996EED">
            <w:r>
              <w:t>13.3</w:t>
            </w:r>
            <w:r w:rsidRPr="006A0401">
              <w:t>%</w:t>
            </w:r>
          </w:p>
        </w:tc>
      </w:tr>
      <w:tr w:rsidR="00996EED" w:rsidRPr="006A0401" w14:paraId="6FE8EDD4" w14:textId="075D3692" w:rsidTr="006F7B1C">
        <w:trPr>
          <w:trHeight w:val="237"/>
        </w:trPr>
        <w:tc>
          <w:tcPr>
            <w:tcW w:w="0" w:type="auto"/>
            <w:hideMark/>
          </w:tcPr>
          <w:p w14:paraId="4203F3CB" w14:textId="77777777" w:rsidR="00996EED" w:rsidRPr="006A0401" w:rsidRDefault="00996EED" w:rsidP="00996EED">
            <w:r w:rsidRPr="006A0401">
              <w:t>50-59</w:t>
            </w:r>
          </w:p>
        </w:tc>
        <w:tc>
          <w:tcPr>
            <w:tcW w:w="2448" w:type="dxa"/>
          </w:tcPr>
          <w:p w14:paraId="5992A5D1" w14:textId="397A763C" w:rsidR="00996EED" w:rsidRDefault="00DA2148" w:rsidP="00996EED">
            <w:r>
              <w:t>140</w:t>
            </w:r>
          </w:p>
        </w:tc>
        <w:tc>
          <w:tcPr>
            <w:tcW w:w="2448" w:type="dxa"/>
          </w:tcPr>
          <w:p w14:paraId="7B02BDB1" w14:textId="4EC916C4" w:rsidR="00996EED" w:rsidRDefault="00996EED" w:rsidP="00996EED">
            <w:r>
              <w:t>15.0</w:t>
            </w:r>
            <w:r w:rsidRPr="006A0401">
              <w:t>%</w:t>
            </w:r>
          </w:p>
        </w:tc>
      </w:tr>
      <w:tr w:rsidR="00996EED" w:rsidRPr="006A0401" w14:paraId="5B985003" w14:textId="2C221F84" w:rsidTr="006F7B1C">
        <w:trPr>
          <w:trHeight w:val="237"/>
        </w:trPr>
        <w:tc>
          <w:tcPr>
            <w:tcW w:w="0" w:type="auto"/>
            <w:hideMark/>
          </w:tcPr>
          <w:p w14:paraId="55F8D992" w14:textId="77777777" w:rsidR="00996EED" w:rsidRPr="006A0401" w:rsidRDefault="00996EED" w:rsidP="00996EED">
            <w:r w:rsidRPr="006A0401">
              <w:t>60-69</w:t>
            </w:r>
          </w:p>
        </w:tc>
        <w:tc>
          <w:tcPr>
            <w:tcW w:w="2448" w:type="dxa"/>
          </w:tcPr>
          <w:p w14:paraId="15D09DB8" w14:textId="47A5EABF" w:rsidR="00996EED" w:rsidRDefault="00DA2148" w:rsidP="00996EED">
            <w:r>
              <w:t>91</w:t>
            </w:r>
          </w:p>
        </w:tc>
        <w:tc>
          <w:tcPr>
            <w:tcW w:w="2448" w:type="dxa"/>
          </w:tcPr>
          <w:p w14:paraId="2E76AA63" w14:textId="137B4BF3" w:rsidR="00996EED" w:rsidRDefault="00996EED" w:rsidP="00996EED">
            <w:r>
              <w:t>9.8</w:t>
            </w:r>
            <w:r w:rsidRPr="006A0401">
              <w:t>%</w:t>
            </w:r>
          </w:p>
        </w:tc>
      </w:tr>
      <w:tr w:rsidR="00996EED" w:rsidRPr="006A0401" w14:paraId="15396EDF" w14:textId="773ECD2F" w:rsidTr="006F7B1C">
        <w:trPr>
          <w:trHeight w:val="237"/>
        </w:trPr>
        <w:tc>
          <w:tcPr>
            <w:tcW w:w="0" w:type="auto"/>
            <w:hideMark/>
          </w:tcPr>
          <w:p w14:paraId="7D4269BD" w14:textId="65033767" w:rsidR="00996EED" w:rsidRPr="006A0401" w:rsidRDefault="00996EED" w:rsidP="00996EED">
            <w:r w:rsidRPr="006A0401">
              <w:t>70</w:t>
            </w:r>
            <w:r>
              <w:t>-79</w:t>
            </w:r>
          </w:p>
        </w:tc>
        <w:tc>
          <w:tcPr>
            <w:tcW w:w="2448" w:type="dxa"/>
          </w:tcPr>
          <w:p w14:paraId="20B84A28" w14:textId="74740523" w:rsidR="00996EED" w:rsidRDefault="00DA2148" w:rsidP="00996EED">
            <w:r>
              <w:t>7</w:t>
            </w:r>
          </w:p>
        </w:tc>
        <w:tc>
          <w:tcPr>
            <w:tcW w:w="2448" w:type="dxa"/>
          </w:tcPr>
          <w:p w14:paraId="01703E74" w14:textId="7C1D6E95" w:rsidR="00996EED" w:rsidRDefault="00996EED" w:rsidP="00996EED">
            <w:r>
              <w:t>0.8</w:t>
            </w:r>
            <w:r w:rsidRPr="006A0401">
              <w:t>%</w:t>
            </w:r>
          </w:p>
        </w:tc>
      </w:tr>
      <w:tr w:rsidR="00996EED" w:rsidRPr="006A0401" w14:paraId="228EDB35" w14:textId="276C6856" w:rsidTr="006F7B1C">
        <w:trPr>
          <w:trHeight w:val="237"/>
        </w:trPr>
        <w:tc>
          <w:tcPr>
            <w:tcW w:w="0" w:type="auto"/>
          </w:tcPr>
          <w:p w14:paraId="575F14DC" w14:textId="7B0A4AF4" w:rsidR="00996EED" w:rsidRPr="006A0401" w:rsidRDefault="00996EED" w:rsidP="00996EED">
            <w:r>
              <w:t>80-89</w:t>
            </w:r>
          </w:p>
        </w:tc>
        <w:tc>
          <w:tcPr>
            <w:tcW w:w="2448" w:type="dxa"/>
          </w:tcPr>
          <w:p w14:paraId="45D73494" w14:textId="7862F564" w:rsidR="00996EED" w:rsidRDefault="00DA2148" w:rsidP="00996EED">
            <w:r>
              <w:t>1</w:t>
            </w:r>
          </w:p>
        </w:tc>
        <w:tc>
          <w:tcPr>
            <w:tcW w:w="2448" w:type="dxa"/>
          </w:tcPr>
          <w:p w14:paraId="5A38CD32" w14:textId="10284B02" w:rsidR="00996EED" w:rsidRDefault="00996EED" w:rsidP="00996EED">
            <w:r>
              <w:t>0.1%</w:t>
            </w:r>
          </w:p>
        </w:tc>
      </w:tr>
      <w:tr w:rsidR="00996EED" w:rsidRPr="006A0401" w14:paraId="1BFFDE29" w14:textId="40EC9062" w:rsidTr="006F7B1C">
        <w:trPr>
          <w:trHeight w:val="237"/>
        </w:trPr>
        <w:tc>
          <w:tcPr>
            <w:tcW w:w="0" w:type="auto"/>
          </w:tcPr>
          <w:p w14:paraId="0B372DA4" w14:textId="5F999C95" w:rsidR="00996EED" w:rsidRPr="006A0401" w:rsidRDefault="00996EED" w:rsidP="00996EED">
            <w:r w:rsidRPr="006A0401">
              <w:t>Not Reported</w:t>
            </w:r>
          </w:p>
        </w:tc>
        <w:tc>
          <w:tcPr>
            <w:tcW w:w="2448" w:type="dxa"/>
          </w:tcPr>
          <w:p w14:paraId="2795592B" w14:textId="317CA9B0" w:rsidR="00996EED" w:rsidRPr="006A0401" w:rsidRDefault="00DA2148" w:rsidP="00996EED">
            <w:r>
              <w:t>12</w:t>
            </w:r>
          </w:p>
        </w:tc>
        <w:tc>
          <w:tcPr>
            <w:tcW w:w="2448" w:type="dxa"/>
          </w:tcPr>
          <w:p w14:paraId="56036CF8" w14:textId="74D24F62" w:rsidR="00996EED" w:rsidRPr="006A0401" w:rsidRDefault="00996EED" w:rsidP="00996EED">
            <w:r w:rsidRPr="006A0401">
              <w:t>1.</w:t>
            </w:r>
            <w:r>
              <w:t>3</w:t>
            </w:r>
            <w:r w:rsidRPr="006A0401">
              <w:t>%</w:t>
            </w:r>
          </w:p>
        </w:tc>
      </w:tr>
      <w:tr w:rsidR="00996EED" w:rsidRPr="006A0401" w14:paraId="62907A72" w14:textId="2ED0EB53" w:rsidTr="006F7B1C">
        <w:trPr>
          <w:trHeight w:val="237"/>
        </w:trPr>
        <w:tc>
          <w:tcPr>
            <w:tcW w:w="0" w:type="auto"/>
            <w:hideMark/>
          </w:tcPr>
          <w:p w14:paraId="5D7C4856" w14:textId="3733C709" w:rsidR="00996EED" w:rsidRPr="006A0401" w:rsidRDefault="00996EED" w:rsidP="00996EED">
            <w:pPr>
              <w:rPr>
                <w:b/>
                <w:bCs/>
                <w:i/>
                <w:iCs/>
              </w:rPr>
            </w:pPr>
            <w:r w:rsidRPr="006A0401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448" w:type="dxa"/>
          </w:tcPr>
          <w:p w14:paraId="7DE6C352" w14:textId="4442A783" w:rsidR="00996EED" w:rsidRDefault="00996EED" w:rsidP="00996E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2448" w:type="dxa"/>
          </w:tcPr>
          <w:p w14:paraId="6C6DA17F" w14:textId="447668B2" w:rsidR="00996EED" w:rsidRDefault="004D2F80" w:rsidP="00996E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100%</w:t>
            </w:r>
          </w:p>
        </w:tc>
      </w:tr>
    </w:tbl>
    <w:p w14:paraId="69FD53F4" w14:textId="0B62AA08" w:rsidR="003C066D" w:rsidRDefault="00E730EE" w:rsidP="009F6012">
      <w:pPr>
        <w:pStyle w:val="Heading1"/>
      </w:pPr>
      <w:r>
        <w:t>Overall Satisfaction Ratings by Question Category</w:t>
      </w:r>
    </w:p>
    <w:p w14:paraId="3F7346B7" w14:textId="75ECA2E6" w:rsidR="003C066D" w:rsidRDefault="00766F67" w:rsidP="00D32817">
      <w:pPr>
        <w:pStyle w:val="ListParagraph"/>
        <w:numPr>
          <w:ilvl w:val="0"/>
          <w:numId w:val="2"/>
        </w:numPr>
      </w:pPr>
      <w:r>
        <w:t>Survey Questions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946"/>
        <w:gridCol w:w="3219"/>
      </w:tblGrid>
      <w:tr w:rsidR="00293076" w:rsidRPr="00293076" w14:paraId="10D75267" w14:textId="77777777" w:rsidTr="002E5428">
        <w:tc>
          <w:tcPr>
            <w:tcW w:w="4946" w:type="dxa"/>
            <w:shd w:val="clear" w:color="auto" w:fill="F2F2F2" w:themeFill="background1" w:themeFillShade="F2"/>
          </w:tcPr>
          <w:p w14:paraId="5CF499F5" w14:textId="7EBCF0AC" w:rsidR="00AA012F" w:rsidRPr="00293076" w:rsidRDefault="00AA012F" w:rsidP="00766F67">
            <w:pPr>
              <w:pStyle w:val="ListParagraph"/>
              <w:ind w:left="0"/>
              <w:rPr>
                <w:b/>
                <w:bCs/>
              </w:rPr>
            </w:pPr>
            <w:r w:rsidRPr="00293076">
              <w:rPr>
                <w:b/>
                <w:bCs/>
              </w:rPr>
              <w:t>Cate</w:t>
            </w:r>
            <w:r w:rsidR="00C54B85" w:rsidRPr="00293076">
              <w:rPr>
                <w:b/>
                <w:bCs/>
              </w:rPr>
              <w:t>gory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2EC32E63" w14:textId="1771D461" w:rsidR="00AA012F" w:rsidRPr="00293076" w:rsidRDefault="00293076" w:rsidP="0029307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93076">
              <w:rPr>
                <w:b/>
                <w:bCs/>
              </w:rPr>
              <w:t>Number of Questions</w:t>
            </w:r>
          </w:p>
        </w:tc>
      </w:tr>
      <w:tr w:rsidR="00293076" w14:paraId="2C80041C" w14:textId="77777777" w:rsidTr="002E5428">
        <w:tc>
          <w:tcPr>
            <w:tcW w:w="4946" w:type="dxa"/>
          </w:tcPr>
          <w:p w14:paraId="2F80E301" w14:textId="2CE6BDC2" w:rsidR="00AA012F" w:rsidRDefault="00B12797" w:rsidP="00C54B85">
            <w:pPr>
              <w:pStyle w:val="ListParagraph"/>
              <w:numPr>
                <w:ilvl w:val="0"/>
                <w:numId w:val="37"/>
              </w:numPr>
            </w:pPr>
            <w:r>
              <w:t>Current Employment</w:t>
            </w:r>
          </w:p>
        </w:tc>
        <w:tc>
          <w:tcPr>
            <w:tcW w:w="3219" w:type="dxa"/>
          </w:tcPr>
          <w:p w14:paraId="7E916FEE" w14:textId="41C6ED0B" w:rsidR="00AA012F" w:rsidRDefault="00F14C14" w:rsidP="00293076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293076" w14:paraId="47E15B40" w14:textId="77777777" w:rsidTr="002E5428">
        <w:tc>
          <w:tcPr>
            <w:tcW w:w="4946" w:type="dxa"/>
          </w:tcPr>
          <w:p w14:paraId="462A6962" w14:textId="548536E4" w:rsidR="00AA012F" w:rsidRDefault="00F14C14" w:rsidP="00C54B85">
            <w:pPr>
              <w:pStyle w:val="ListParagraph"/>
              <w:numPr>
                <w:ilvl w:val="0"/>
                <w:numId w:val="37"/>
              </w:numPr>
            </w:pPr>
            <w:r>
              <w:t>Employment Services</w:t>
            </w:r>
          </w:p>
        </w:tc>
        <w:tc>
          <w:tcPr>
            <w:tcW w:w="3219" w:type="dxa"/>
          </w:tcPr>
          <w:p w14:paraId="6419ABD1" w14:textId="5B6A56FF" w:rsidR="00AA012F" w:rsidRDefault="00F14C14" w:rsidP="00293076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293076" w14:paraId="651DBE09" w14:textId="77777777" w:rsidTr="002E5428">
        <w:tc>
          <w:tcPr>
            <w:tcW w:w="4946" w:type="dxa"/>
          </w:tcPr>
          <w:p w14:paraId="2B76766D" w14:textId="4C8B8370" w:rsidR="00AA012F" w:rsidRDefault="00C54B85" w:rsidP="00C54B85">
            <w:pPr>
              <w:pStyle w:val="ListParagraph"/>
              <w:numPr>
                <w:ilvl w:val="0"/>
                <w:numId w:val="37"/>
              </w:numPr>
            </w:pPr>
            <w:r>
              <w:t>Service Providers</w:t>
            </w:r>
          </w:p>
        </w:tc>
        <w:tc>
          <w:tcPr>
            <w:tcW w:w="3219" w:type="dxa"/>
          </w:tcPr>
          <w:p w14:paraId="7AA9F4B5" w14:textId="4B9BB679" w:rsidR="00AA012F" w:rsidRDefault="00293076" w:rsidP="00293076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293076" w14:paraId="0B3BB75F" w14:textId="77777777" w:rsidTr="002E5428">
        <w:tc>
          <w:tcPr>
            <w:tcW w:w="4946" w:type="dxa"/>
          </w:tcPr>
          <w:p w14:paraId="411049E5" w14:textId="7A002F3E" w:rsidR="00AA012F" w:rsidRDefault="00F14C14" w:rsidP="00C54B85">
            <w:pPr>
              <w:pStyle w:val="ListParagraph"/>
              <w:numPr>
                <w:ilvl w:val="0"/>
                <w:numId w:val="37"/>
              </w:numPr>
            </w:pPr>
            <w:r>
              <w:t>DOR Counselors</w:t>
            </w:r>
          </w:p>
        </w:tc>
        <w:tc>
          <w:tcPr>
            <w:tcW w:w="3219" w:type="dxa"/>
          </w:tcPr>
          <w:p w14:paraId="28EF9BE0" w14:textId="3BC58065" w:rsidR="00AA012F" w:rsidRDefault="00F14C14" w:rsidP="00293076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293076" w14:paraId="49D3EEF8" w14:textId="77777777" w:rsidTr="002E5428">
        <w:tc>
          <w:tcPr>
            <w:tcW w:w="4946" w:type="dxa"/>
          </w:tcPr>
          <w:p w14:paraId="0CF66692" w14:textId="45178615" w:rsidR="00AA012F" w:rsidRDefault="0052465B" w:rsidP="00C54B85">
            <w:pPr>
              <w:pStyle w:val="ListParagraph"/>
              <w:numPr>
                <w:ilvl w:val="0"/>
                <w:numId w:val="37"/>
              </w:numPr>
            </w:pPr>
            <w:r>
              <w:t>DOR Experience</w:t>
            </w:r>
          </w:p>
        </w:tc>
        <w:tc>
          <w:tcPr>
            <w:tcW w:w="3219" w:type="dxa"/>
          </w:tcPr>
          <w:p w14:paraId="63C9A536" w14:textId="66992CFD" w:rsidR="00AA012F" w:rsidRDefault="0052465B" w:rsidP="00293076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293076" w14:paraId="197361C0" w14:textId="77777777" w:rsidTr="002E5428">
        <w:tc>
          <w:tcPr>
            <w:tcW w:w="4946" w:type="dxa"/>
          </w:tcPr>
          <w:p w14:paraId="62837E94" w14:textId="70781DF6" w:rsidR="00AA012F" w:rsidRDefault="00C54B85" w:rsidP="00C54B85">
            <w:pPr>
              <w:pStyle w:val="ListParagraph"/>
              <w:numPr>
                <w:ilvl w:val="0"/>
                <w:numId w:val="37"/>
              </w:numPr>
            </w:pPr>
            <w:r>
              <w:t>Employment Opportunities</w:t>
            </w:r>
          </w:p>
        </w:tc>
        <w:tc>
          <w:tcPr>
            <w:tcW w:w="3219" w:type="dxa"/>
          </w:tcPr>
          <w:p w14:paraId="699BCF7A" w14:textId="515621C4" w:rsidR="00AA012F" w:rsidRDefault="00293076" w:rsidP="00293076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C54B85" w:rsidRPr="00293076" w14:paraId="0AF7D815" w14:textId="77777777" w:rsidTr="002E5428">
        <w:tc>
          <w:tcPr>
            <w:tcW w:w="4946" w:type="dxa"/>
          </w:tcPr>
          <w:p w14:paraId="2480A820" w14:textId="56013203" w:rsidR="00C54B85" w:rsidRPr="00293076" w:rsidRDefault="00C54B85" w:rsidP="00C54B85">
            <w:pPr>
              <w:rPr>
                <w:b/>
                <w:bCs/>
                <w:i/>
                <w:iCs/>
              </w:rPr>
            </w:pPr>
            <w:r w:rsidRPr="00293076">
              <w:rPr>
                <w:b/>
                <w:bCs/>
                <w:i/>
                <w:iCs/>
              </w:rPr>
              <w:t>Total Questions</w:t>
            </w:r>
          </w:p>
        </w:tc>
        <w:tc>
          <w:tcPr>
            <w:tcW w:w="3219" w:type="dxa"/>
          </w:tcPr>
          <w:p w14:paraId="76BEA61F" w14:textId="1A473330" w:rsidR="00C54B85" w:rsidRPr="00293076" w:rsidRDefault="00C54B85" w:rsidP="00293076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293076">
              <w:rPr>
                <w:b/>
                <w:bCs/>
                <w:i/>
                <w:iCs/>
              </w:rPr>
              <w:t>19</w:t>
            </w:r>
          </w:p>
        </w:tc>
      </w:tr>
    </w:tbl>
    <w:p w14:paraId="22D41E21" w14:textId="5616C849" w:rsidR="00F83217" w:rsidRPr="006A0401" w:rsidRDefault="00F83217" w:rsidP="00F83217">
      <w:pPr>
        <w:pStyle w:val="ListParagraph"/>
        <w:numPr>
          <w:ilvl w:val="0"/>
          <w:numId w:val="26"/>
        </w:numPr>
      </w:pPr>
      <w:r w:rsidRPr="00F83217">
        <w:rPr>
          <w:b/>
          <w:bCs/>
        </w:rPr>
        <w:t xml:space="preserve">Image Description: </w:t>
      </w:r>
      <w:r w:rsidRPr="006A0401">
        <w:t xml:space="preserve">The </w:t>
      </w:r>
      <w:r w:rsidR="00DF6C13">
        <w:t xml:space="preserve">satisfaction levels </w:t>
      </w:r>
      <w:r w:rsidR="0088302C">
        <w:t xml:space="preserve">of consumers by question category </w:t>
      </w:r>
      <w:r w:rsidRPr="006A0401">
        <w:t xml:space="preserve">are illustrated using </w:t>
      </w:r>
      <w:r w:rsidR="00DF399F">
        <w:t>stacked bar</w:t>
      </w:r>
      <w:r w:rsidRPr="006A0401">
        <w:t xml:space="preserve"> charts. Figure data are listed in table format below.</w:t>
      </w:r>
    </w:p>
    <w:tbl>
      <w:tblPr>
        <w:tblStyle w:val="TableGrid"/>
        <w:tblW w:w="7769" w:type="dxa"/>
        <w:tblInd w:w="605" w:type="dxa"/>
        <w:tblLook w:val="04A0" w:firstRow="1" w:lastRow="0" w:firstColumn="1" w:lastColumn="0" w:noHBand="0" w:noVBand="1"/>
      </w:tblPr>
      <w:tblGrid>
        <w:gridCol w:w="2972"/>
        <w:gridCol w:w="2245"/>
        <w:gridCol w:w="2552"/>
      </w:tblGrid>
      <w:tr w:rsidR="00415875" w:rsidRPr="00415875" w14:paraId="196E0E50" w14:textId="77777777" w:rsidTr="00C45A5C">
        <w:trPr>
          <w:trHeight w:val="382"/>
        </w:trPr>
        <w:tc>
          <w:tcPr>
            <w:tcW w:w="3658" w:type="dxa"/>
            <w:hideMark/>
          </w:tcPr>
          <w:p w14:paraId="49FCA72A" w14:textId="43E2F67D" w:rsidR="00415875" w:rsidRPr="00415875" w:rsidRDefault="000908E7" w:rsidP="004158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Survey </w:t>
            </w:r>
            <w:r w:rsidR="00415875" w:rsidRPr="00415875">
              <w:rPr>
                <w:b/>
                <w:bCs/>
              </w:rPr>
              <w:t>Categories</w:t>
            </w:r>
          </w:p>
        </w:tc>
        <w:tc>
          <w:tcPr>
            <w:tcW w:w="3024" w:type="dxa"/>
            <w:hideMark/>
          </w:tcPr>
          <w:p w14:paraId="7CA5CE38" w14:textId="77777777" w:rsidR="00415875" w:rsidRPr="00415875" w:rsidRDefault="00415875" w:rsidP="00415875">
            <w:pPr>
              <w:rPr>
                <w:b/>
                <w:bCs/>
              </w:rPr>
            </w:pPr>
            <w:r w:rsidRPr="00415875">
              <w:rPr>
                <w:b/>
                <w:bCs/>
              </w:rPr>
              <w:t>Score</w:t>
            </w:r>
          </w:p>
        </w:tc>
        <w:tc>
          <w:tcPr>
            <w:tcW w:w="3024" w:type="dxa"/>
            <w:hideMark/>
          </w:tcPr>
          <w:p w14:paraId="7FE543FC" w14:textId="77777777" w:rsidR="00415875" w:rsidRPr="00415875" w:rsidRDefault="00415875" w:rsidP="00415875">
            <w:pPr>
              <w:rPr>
                <w:b/>
                <w:bCs/>
              </w:rPr>
            </w:pPr>
            <w:r w:rsidRPr="00415875">
              <w:rPr>
                <w:b/>
                <w:bCs/>
              </w:rPr>
              <w:t>Satisfaction Level</w:t>
            </w:r>
          </w:p>
        </w:tc>
      </w:tr>
      <w:tr w:rsidR="00415875" w:rsidRPr="00415875" w14:paraId="1EFC0E66" w14:textId="77777777" w:rsidTr="00C45A5C">
        <w:trPr>
          <w:trHeight w:val="207"/>
        </w:trPr>
        <w:tc>
          <w:tcPr>
            <w:tcW w:w="3658" w:type="dxa"/>
            <w:hideMark/>
          </w:tcPr>
          <w:p w14:paraId="2E27DEF7" w14:textId="22AA3E49" w:rsidR="00415875" w:rsidRPr="00415875" w:rsidRDefault="00A735E0" w:rsidP="00415875">
            <w:r>
              <w:t xml:space="preserve">Current </w:t>
            </w:r>
            <w:r w:rsidRPr="00415875">
              <w:t>Employment</w:t>
            </w:r>
          </w:p>
        </w:tc>
        <w:tc>
          <w:tcPr>
            <w:tcW w:w="3024" w:type="dxa"/>
            <w:hideMark/>
          </w:tcPr>
          <w:p w14:paraId="4AA183A5" w14:textId="18A63553" w:rsidR="00415875" w:rsidRPr="00415875" w:rsidRDefault="00062C03" w:rsidP="00415875">
            <w:r>
              <w:t>87.9</w:t>
            </w:r>
            <w:r w:rsidR="00415875" w:rsidRPr="00415875">
              <w:t>%</w:t>
            </w:r>
          </w:p>
        </w:tc>
        <w:tc>
          <w:tcPr>
            <w:tcW w:w="3024" w:type="dxa"/>
            <w:hideMark/>
          </w:tcPr>
          <w:p w14:paraId="31442995" w14:textId="77777777" w:rsidR="00415875" w:rsidRPr="00415875" w:rsidRDefault="00415875" w:rsidP="00415875">
            <w:r w:rsidRPr="00415875">
              <w:t>Satisfied</w:t>
            </w:r>
          </w:p>
        </w:tc>
      </w:tr>
      <w:tr w:rsidR="00415875" w:rsidRPr="00415875" w14:paraId="5E6E41BB" w14:textId="77777777" w:rsidTr="00C45A5C">
        <w:trPr>
          <w:trHeight w:val="207"/>
        </w:trPr>
        <w:tc>
          <w:tcPr>
            <w:tcW w:w="3658" w:type="dxa"/>
            <w:hideMark/>
          </w:tcPr>
          <w:p w14:paraId="46C12DA8" w14:textId="24CF2B58" w:rsidR="00415875" w:rsidRPr="00415875" w:rsidRDefault="00A735E0" w:rsidP="00415875">
            <w:r w:rsidRPr="00415875">
              <w:t>Employment Services</w:t>
            </w:r>
          </w:p>
        </w:tc>
        <w:tc>
          <w:tcPr>
            <w:tcW w:w="3024" w:type="dxa"/>
            <w:hideMark/>
          </w:tcPr>
          <w:p w14:paraId="7C014E42" w14:textId="0EC8BB2D" w:rsidR="00415875" w:rsidRPr="00415875" w:rsidRDefault="00062C03" w:rsidP="00415875">
            <w:r>
              <w:t>76.1</w:t>
            </w:r>
            <w:r w:rsidR="00415875" w:rsidRPr="00415875">
              <w:t>%</w:t>
            </w:r>
          </w:p>
        </w:tc>
        <w:tc>
          <w:tcPr>
            <w:tcW w:w="3024" w:type="dxa"/>
            <w:hideMark/>
          </w:tcPr>
          <w:p w14:paraId="59243E13" w14:textId="77777777" w:rsidR="00415875" w:rsidRPr="00415875" w:rsidRDefault="00415875" w:rsidP="00415875">
            <w:r w:rsidRPr="00415875">
              <w:t>Satisfied</w:t>
            </w:r>
          </w:p>
        </w:tc>
      </w:tr>
      <w:tr w:rsidR="00415875" w:rsidRPr="00415875" w14:paraId="734A0817" w14:textId="77777777" w:rsidTr="00C45A5C">
        <w:trPr>
          <w:trHeight w:val="207"/>
        </w:trPr>
        <w:tc>
          <w:tcPr>
            <w:tcW w:w="3658" w:type="dxa"/>
            <w:hideMark/>
          </w:tcPr>
          <w:p w14:paraId="46DC932D" w14:textId="77777777" w:rsidR="00415875" w:rsidRPr="00415875" w:rsidRDefault="00415875" w:rsidP="00415875">
            <w:r w:rsidRPr="00415875">
              <w:t>Service Providers</w:t>
            </w:r>
          </w:p>
        </w:tc>
        <w:tc>
          <w:tcPr>
            <w:tcW w:w="3024" w:type="dxa"/>
            <w:hideMark/>
          </w:tcPr>
          <w:p w14:paraId="170702F0" w14:textId="449B02A5" w:rsidR="00415875" w:rsidRPr="00415875" w:rsidRDefault="00062C03" w:rsidP="00415875">
            <w:r>
              <w:t>76.0</w:t>
            </w:r>
            <w:r w:rsidR="00415875" w:rsidRPr="00415875">
              <w:t>%</w:t>
            </w:r>
          </w:p>
        </w:tc>
        <w:tc>
          <w:tcPr>
            <w:tcW w:w="3024" w:type="dxa"/>
            <w:hideMark/>
          </w:tcPr>
          <w:p w14:paraId="03085FA6" w14:textId="77777777" w:rsidR="00415875" w:rsidRPr="00415875" w:rsidRDefault="00415875" w:rsidP="00415875">
            <w:r w:rsidRPr="00415875">
              <w:t>Satisfied</w:t>
            </w:r>
          </w:p>
        </w:tc>
      </w:tr>
      <w:tr w:rsidR="00415875" w:rsidRPr="00415875" w14:paraId="2590C1DA" w14:textId="77777777" w:rsidTr="00C45A5C">
        <w:trPr>
          <w:trHeight w:val="207"/>
        </w:trPr>
        <w:tc>
          <w:tcPr>
            <w:tcW w:w="3658" w:type="dxa"/>
            <w:hideMark/>
          </w:tcPr>
          <w:p w14:paraId="7A2561AD" w14:textId="13CDBCB8" w:rsidR="00415875" w:rsidRPr="00415875" w:rsidRDefault="00082CE3" w:rsidP="00415875">
            <w:r>
              <w:t>DOR Counselors</w:t>
            </w:r>
          </w:p>
        </w:tc>
        <w:tc>
          <w:tcPr>
            <w:tcW w:w="3024" w:type="dxa"/>
            <w:hideMark/>
          </w:tcPr>
          <w:p w14:paraId="07211C6B" w14:textId="1D88D0D9" w:rsidR="00415875" w:rsidRPr="00415875" w:rsidRDefault="00B51E05" w:rsidP="00415875">
            <w:r>
              <w:t>75.6</w:t>
            </w:r>
            <w:r w:rsidR="00415875" w:rsidRPr="00415875">
              <w:t>%</w:t>
            </w:r>
          </w:p>
        </w:tc>
        <w:tc>
          <w:tcPr>
            <w:tcW w:w="3024" w:type="dxa"/>
            <w:hideMark/>
          </w:tcPr>
          <w:p w14:paraId="1C4BDE02" w14:textId="77777777" w:rsidR="00415875" w:rsidRPr="00415875" w:rsidRDefault="00415875" w:rsidP="00415875">
            <w:r w:rsidRPr="00415875">
              <w:t>Satisfied</w:t>
            </w:r>
          </w:p>
        </w:tc>
      </w:tr>
      <w:tr w:rsidR="00415875" w:rsidRPr="00415875" w14:paraId="4CA15A4F" w14:textId="77777777" w:rsidTr="00C45A5C">
        <w:trPr>
          <w:trHeight w:val="207"/>
        </w:trPr>
        <w:tc>
          <w:tcPr>
            <w:tcW w:w="3658" w:type="dxa"/>
            <w:hideMark/>
          </w:tcPr>
          <w:p w14:paraId="3D699AD7" w14:textId="1506E1DE" w:rsidR="00415875" w:rsidRPr="00415875" w:rsidRDefault="00082CE3" w:rsidP="00415875">
            <w:r>
              <w:t>DOR Experience</w:t>
            </w:r>
          </w:p>
        </w:tc>
        <w:tc>
          <w:tcPr>
            <w:tcW w:w="3024" w:type="dxa"/>
            <w:hideMark/>
          </w:tcPr>
          <w:p w14:paraId="1766115C" w14:textId="159FF00B" w:rsidR="00415875" w:rsidRPr="00415875" w:rsidRDefault="00415875" w:rsidP="00415875">
            <w:r w:rsidRPr="00415875">
              <w:t>75.</w:t>
            </w:r>
            <w:r w:rsidR="00B51E05">
              <w:t>1</w:t>
            </w:r>
            <w:r w:rsidRPr="00415875">
              <w:t>%</w:t>
            </w:r>
          </w:p>
        </w:tc>
        <w:tc>
          <w:tcPr>
            <w:tcW w:w="3024" w:type="dxa"/>
            <w:hideMark/>
          </w:tcPr>
          <w:p w14:paraId="41B4B570" w14:textId="77777777" w:rsidR="00415875" w:rsidRPr="00415875" w:rsidRDefault="00415875" w:rsidP="00415875">
            <w:r w:rsidRPr="00415875">
              <w:t>Satisfied</w:t>
            </w:r>
          </w:p>
        </w:tc>
      </w:tr>
      <w:tr w:rsidR="00415875" w:rsidRPr="00415875" w14:paraId="4C3A6687" w14:textId="77777777" w:rsidTr="00C45A5C">
        <w:trPr>
          <w:trHeight w:val="207"/>
        </w:trPr>
        <w:tc>
          <w:tcPr>
            <w:tcW w:w="3658" w:type="dxa"/>
            <w:hideMark/>
          </w:tcPr>
          <w:p w14:paraId="6512739F" w14:textId="6315775E" w:rsidR="00415875" w:rsidRPr="00415875" w:rsidRDefault="00082CE3" w:rsidP="00415875">
            <w:r>
              <w:lastRenderedPageBreak/>
              <w:t>Employment Opportunities</w:t>
            </w:r>
          </w:p>
        </w:tc>
        <w:tc>
          <w:tcPr>
            <w:tcW w:w="3024" w:type="dxa"/>
            <w:hideMark/>
          </w:tcPr>
          <w:p w14:paraId="0FEA7C52" w14:textId="1CB56E94" w:rsidR="00415875" w:rsidRPr="00415875" w:rsidRDefault="00B51E05" w:rsidP="00415875">
            <w:r>
              <w:t>69.1</w:t>
            </w:r>
            <w:r w:rsidR="00415875" w:rsidRPr="00415875">
              <w:t>%</w:t>
            </w:r>
          </w:p>
        </w:tc>
        <w:tc>
          <w:tcPr>
            <w:tcW w:w="3024" w:type="dxa"/>
            <w:hideMark/>
          </w:tcPr>
          <w:p w14:paraId="31B01C4C" w14:textId="77777777" w:rsidR="00415875" w:rsidRPr="00415875" w:rsidRDefault="00415875" w:rsidP="00415875">
            <w:r w:rsidRPr="00415875">
              <w:t>Satisfied</w:t>
            </w:r>
          </w:p>
        </w:tc>
      </w:tr>
    </w:tbl>
    <w:p w14:paraId="67027CD2" w14:textId="56FF69DA" w:rsidR="00116062" w:rsidRPr="009F6012" w:rsidRDefault="006F2B52" w:rsidP="009F6012">
      <w:pPr>
        <w:pStyle w:val="Heading1"/>
      </w:pPr>
      <w:r>
        <w:t>Reasons Consumers are Unemployed</w:t>
      </w:r>
    </w:p>
    <w:p w14:paraId="06CBE149" w14:textId="26C4C8FA" w:rsidR="00A75554" w:rsidRDefault="005427CE" w:rsidP="00C93FEE">
      <w:pPr>
        <w:pStyle w:val="ListParagraph"/>
        <w:numPr>
          <w:ilvl w:val="0"/>
          <w:numId w:val="26"/>
        </w:numPr>
      </w:pPr>
      <w:r w:rsidRPr="006A0401">
        <w:rPr>
          <w:b/>
          <w:bCs/>
        </w:rPr>
        <w:t xml:space="preserve">Image Description: </w:t>
      </w:r>
      <w:r w:rsidRPr="006A0401">
        <w:t xml:space="preserve">The </w:t>
      </w:r>
      <w:r w:rsidR="006F6A6C">
        <w:t xml:space="preserve">count </w:t>
      </w:r>
      <w:r w:rsidR="00C93FEE">
        <w:t xml:space="preserve">and percent of total reasons reported </w:t>
      </w:r>
      <w:r w:rsidRPr="006A0401">
        <w:t>(</w:t>
      </w:r>
      <w:r w:rsidR="006427B4">
        <w:t>1,051</w:t>
      </w:r>
      <w:r w:rsidRPr="006A0401">
        <w:t>) are illustrated using bar charts. Figure data are listed in table format below.</w:t>
      </w:r>
    </w:p>
    <w:tbl>
      <w:tblPr>
        <w:tblStyle w:val="TableGrid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135"/>
        <w:gridCol w:w="2448"/>
        <w:gridCol w:w="2448"/>
      </w:tblGrid>
      <w:tr w:rsidR="009D49C8" w:rsidRPr="009D49C8" w14:paraId="38874D90" w14:textId="77777777" w:rsidTr="00582262">
        <w:trPr>
          <w:trHeight w:val="255"/>
        </w:trPr>
        <w:tc>
          <w:tcPr>
            <w:tcW w:w="4135" w:type="dxa"/>
            <w:shd w:val="clear" w:color="auto" w:fill="F2F2F2" w:themeFill="background1" w:themeFillShade="F2"/>
            <w:hideMark/>
          </w:tcPr>
          <w:p w14:paraId="3283935F" w14:textId="317DA1A0" w:rsidR="009D49C8" w:rsidRPr="009D49C8" w:rsidRDefault="006427B4" w:rsidP="009D49C8">
            <w:r>
              <w:rPr>
                <w:b/>
                <w:bCs/>
              </w:rPr>
              <w:t>Reasons</w:t>
            </w:r>
          </w:p>
        </w:tc>
        <w:tc>
          <w:tcPr>
            <w:tcW w:w="2448" w:type="dxa"/>
            <w:shd w:val="clear" w:color="auto" w:fill="F2F2F2" w:themeFill="background1" w:themeFillShade="F2"/>
            <w:hideMark/>
          </w:tcPr>
          <w:p w14:paraId="7CB971BC" w14:textId="77777777" w:rsidR="009D49C8" w:rsidRPr="009D49C8" w:rsidRDefault="009D49C8" w:rsidP="009D49C8">
            <w:r w:rsidRPr="009D49C8">
              <w:rPr>
                <w:b/>
                <w:bCs/>
              </w:rPr>
              <w:t>Count</w:t>
            </w:r>
          </w:p>
        </w:tc>
        <w:tc>
          <w:tcPr>
            <w:tcW w:w="2448" w:type="dxa"/>
            <w:shd w:val="clear" w:color="auto" w:fill="F2F2F2" w:themeFill="background1" w:themeFillShade="F2"/>
            <w:hideMark/>
          </w:tcPr>
          <w:p w14:paraId="714D2B69" w14:textId="3D70F30D" w:rsidR="009D49C8" w:rsidRPr="009D49C8" w:rsidRDefault="009D49C8" w:rsidP="009D49C8">
            <w:r w:rsidRPr="009D49C8">
              <w:rPr>
                <w:b/>
                <w:bCs/>
              </w:rPr>
              <w:t>Percent of Total</w:t>
            </w:r>
          </w:p>
        </w:tc>
      </w:tr>
      <w:tr w:rsidR="009D49C8" w:rsidRPr="009D49C8" w14:paraId="6BE835AA" w14:textId="77777777" w:rsidTr="00582262">
        <w:trPr>
          <w:trHeight w:val="255"/>
        </w:trPr>
        <w:tc>
          <w:tcPr>
            <w:tcW w:w="4135" w:type="dxa"/>
            <w:hideMark/>
          </w:tcPr>
          <w:p w14:paraId="39B74EE0" w14:textId="119799D8" w:rsidR="009D49C8" w:rsidRPr="009D49C8" w:rsidRDefault="006F2B52" w:rsidP="009D49C8">
            <w:r>
              <w:t>Student</w:t>
            </w:r>
          </w:p>
        </w:tc>
        <w:tc>
          <w:tcPr>
            <w:tcW w:w="2448" w:type="dxa"/>
            <w:hideMark/>
          </w:tcPr>
          <w:p w14:paraId="4859BEBE" w14:textId="580B1BED" w:rsidR="009D49C8" w:rsidRPr="009D49C8" w:rsidRDefault="0084138D" w:rsidP="009D49C8">
            <w:r>
              <w:t>260</w:t>
            </w:r>
          </w:p>
        </w:tc>
        <w:tc>
          <w:tcPr>
            <w:tcW w:w="2448" w:type="dxa"/>
            <w:hideMark/>
          </w:tcPr>
          <w:p w14:paraId="35F750EC" w14:textId="1B898E36" w:rsidR="009D49C8" w:rsidRPr="009D49C8" w:rsidRDefault="00B54F4F" w:rsidP="009D49C8">
            <w:r>
              <w:t>24.7</w:t>
            </w:r>
            <w:r w:rsidR="009D49C8" w:rsidRPr="009D49C8">
              <w:t>%</w:t>
            </w:r>
          </w:p>
        </w:tc>
      </w:tr>
      <w:tr w:rsidR="009D49C8" w:rsidRPr="009D49C8" w14:paraId="6FC03B68" w14:textId="77777777" w:rsidTr="00582262">
        <w:trPr>
          <w:trHeight w:val="255"/>
        </w:trPr>
        <w:tc>
          <w:tcPr>
            <w:tcW w:w="4135" w:type="dxa"/>
            <w:hideMark/>
          </w:tcPr>
          <w:p w14:paraId="465FA2FC" w14:textId="0ABA3DF2" w:rsidR="009D49C8" w:rsidRPr="009D49C8" w:rsidRDefault="006F2B52" w:rsidP="009D49C8">
            <w:r>
              <w:t>Still looking</w:t>
            </w:r>
          </w:p>
        </w:tc>
        <w:tc>
          <w:tcPr>
            <w:tcW w:w="2448" w:type="dxa"/>
            <w:hideMark/>
          </w:tcPr>
          <w:p w14:paraId="5DFC6A7F" w14:textId="5A31081A" w:rsidR="009D49C8" w:rsidRPr="009D49C8" w:rsidRDefault="0084138D" w:rsidP="009D49C8">
            <w:r>
              <w:t>195</w:t>
            </w:r>
          </w:p>
        </w:tc>
        <w:tc>
          <w:tcPr>
            <w:tcW w:w="2448" w:type="dxa"/>
            <w:hideMark/>
          </w:tcPr>
          <w:p w14:paraId="378E78E2" w14:textId="5DD6763F" w:rsidR="009D49C8" w:rsidRPr="009D49C8" w:rsidRDefault="00CA63DE" w:rsidP="009D49C8">
            <w:r>
              <w:t>18.6</w:t>
            </w:r>
            <w:r w:rsidR="009D49C8" w:rsidRPr="009D49C8">
              <w:t>%</w:t>
            </w:r>
          </w:p>
        </w:tc>
      </w:tr>
      <w:tr w:rsidR="009D49C8" w:rsidRPr="009D49C8" w14:paraId="32F90659" w14:textId="77777777" w:rsidTr="00582262">
        <w:trPr>
          <w:trHeight w:val="255"/>
        </w:trPr>
        <w:tc>
          <w:tcPr>
            <w:tcW w:w="4135" w:type="dxa"/>
            <w:hideMark/>
          </w:tcPr>
          <w:p w14:paraId="3CB405A9" w14:textId="1F470EFF" w:rsidR="009D49C8" w:rsidRPr="009D49C8" w:rsidRDefault="006F2B52" w:rsidP="009D49C8">
            <w:r>
              <w:t>Needs additional help</w:t>
            </w:r>
          </w:p>
        </w:tc>
        <w:tc>
          <w:tcPr>
            <w:tcW w:w="2448" w:type="dxa"/>
            <w:hideMark/>
          </w:tcPr>
          <w:p w14:paraId="6149E80E" w14:textId="09B9316A" w:rsidR="009D49C8" w:rsidRPr="009D49C8" w:rsidRDefault="0084138D" w:rsidP="009D49C8">
            <w:r>
              <w:t>133</w:t>
            </w:r>
          </w:p>
        </w:tc>
        <w:tc>
          <w:tcPr>
            <w:tcW w:w="2448" w:type="dxa"/>
            <w:hideMark/>
          </w:tcPr>
          <w:p w14:paraId="6B583BBF" w14:textId="3226FFD6" w:rsidR="009D49C8" w:rsidRPr="009D49C8" w:rsidRDefault="00CA63DE" w:rsidP="009D49C8">
            <w:r>
              <w:t>12.7</w:t>
            </w:r>
            <w:r w:rsidR="009D49C8" w:rsidRPr="009D49C8">
              <w:t>%</w:t>
            </w:r>
          </w:p>
        </w:tc>
      </w:tr>
      <w:tr w:rsidR="008B6277" w:rsidRPr="009D49C8" w14:paraId="65FABA1D" w14:textId="77777777" w:rsidTr="00582262">
        <w:trPr>
          <w:trHeight w:val="255"/>
        </w:trPr>
        <w:tc>
          <w:tcPr>
            <w:tcW w:w="4135" w:type="dxa"/>
          </w:tcPr>
          <w:p w14:paraId="272BBD60" w14:textId="44472360" w:rsidR="008B6277" w:rsidRPr="009D49C8" w:rsidRDefault="004F58B7" w:rsidP="009D49C8">
            <w:r>
              <w:t>Lack of DOR assistance</w:t>
            </w:r>
          </w:p>
        </w:tc>
        <w:tc>
          <w:tcPr>
            <w:tcW w:w="2448" w:type="dxa"/>
          </w:tcPr>
          <w:p w14:paraId="540CDC6C" w14:textId="1B4A661D" w:rsidR="008B6277" w:rsidRPr="009D49C8" w:rsidRDefault="0084138D" w:rsidP="009D49C8">
            <w:r>
              <w:t>97</w:t>
            </w:r>
          </w:p>
        </w:tc>
        <w:tc>
          <w:tcPr>
            <w:tcW w:w="2448" w:type="dxa"/>
          </w:tcPr>
          <w:p w14:paraId="0C70FF31" w14:textId="397A7E51" w:rsidR="008B6277" w:rsidRPr="009D49C8" w:rsidRDefault="00CA63DE" w:rsidP="009D49C8">
            <w:r>
              <w:t>9.2%</w:t>
            </w:r>
          </w:p>
        </w:tc>
      </w:tr>
      <w:tr w:rsidR="008B6277" w:rsidRPr="009D49C8" w14:paraId="1DD367F4" w14:textId="77777777" w:rsidTr="00582262">
        <w:trPr>
          <w:trHeight w:val="255"/>
        </w:trPr>
        <w:tc>
          <w:tcPr>
            <w:tcW w:w="4135" w:type="dxa"/>
          </w:tcPr>
          <w:p w14:paraId="4C36C906" w14:textId="065634A2" w:rsidR="008B6277" w:rsidRPr="009D49C8" w:rsidRDefault="004F58B7" w:rsidP="009D49C8">
            <w:r>
              <w:t>Not ready to start working</w:t>
            </w:r>
          </w:p>
        </w:tc>
        <w:tc>
          <w:tcPr>
            <w:tcW w:w="2448" w:type="dxa"/>
          </w:tcPr>
          <w:p w14:paraId="6CCAC9D0" w14:textId="6CC196A1" w:rsidR="008B6277" w:rsidRPr="009D49C8" w:rsidRDefault="0084138D" w:rsidP="009D49C8">
            <w:r>
              <w:t>84</w:t>
            </w:r>
          </w:p>
        </w:tc>
        <w:tc>
          <w:tcPr>
            <w:tcW w:w="2448" w:type="dxa"/>
          </w:tcPr>
          <w:p w14:paraId="3AAD1A36" w14:textId="31D0326B" w:rsidR="008B6277" w:rsidRPr="009D49C8" w:rsidRDefault="00CA63DE" w:rsidP="009D49C8">
            <w:r>
              <w:t>8.0%</w:t>
            </w:r>
          </w:p>
        </w:tc>
      </w:tr>
      <w:tr w:rsidR="008B6277" w:rsidRPr="009D49C8" w14:paraId="35BF0E5C" w14:textId="77777777" w:rsidTr="00582262">
        <w:trPr>
          <w:trHeight w:val="255"/>
        </w:trPr>
        <w:tc>
          <w:tcPr>
            <w:tcW w:w="4135" w:type="dxa"/>
          </w:tcPr>
          <w:p w14:paraId="5247C96A" w14:textId="5E12E76C" w:rsidR="008B6277" w:rsidRPr="009D49C8" w:rsidRDefault="004F58B7" w:rsidP="009D49C8">
            <w:r>
              <w:t>Lack of transportation</w:t>
            </w:r>
          </w:p>
        </w:tc>
        <w:tc>
          <w:tcPr>
            <w:tcW w:w="2448" w:type="dxa"/>
          </w:tcPr>
          <w:p w14:paraId="2706D62E" w14:textId="1F7092B5" w:rsidR="008B6277" w:rsidRPr="009D49C8" w:rsidRDefault="00B54F4F" w:rsidP="009D49C8">
            <w:r>
              <w:t>75</w:t>
            </w:r>
          </w:p>
        </w:tc>
        <w:tc>
          <w:tcPr>
            <w:tcW w:w="2448" w:type="dxa"/>
          </w:tcPr>
          <w:p w14:paraId="4C53610D" w14:textId="7F73CB85" w:rsidR="008B6277" w:rsidRPr="009D49C8" w:rsidRDefault="00CA63DE" w:rsidP="009D49C8">
            <w:r>
              <w:t>7.1%</w:t>
            </w:r>
          </w:p>
        </w:tc>
      </w:tr>
      <w:tr w:rsidR="008B6277" w:rsidRPr="009D49C8" w14:paraId="005CC4C0" w14:textId="77777777" w:rsidTr="00582262">
        <w:trPr>
          <w:trHeight w:val="255"/>
        </w:trPr>
        <w:tc>
          <w:tcPr>
            <w:tcW w:w="4135" w:type="dxa"/>
          </w:tcPr>
          <w:p w14:paraId="7D96A2B4" w14:textId="527B3685" w:rsidR="008B6277" w:rsidRPr="009D49C8" w:rsidRDefault="004F58B7" w:rsidP="009D49C8">
            <w:r>
              <w:t>Disability prevents from working</w:t>
            </w:r>
          </w:p>
        </w:tc>
        <w:tc>
          <w:tcPr>
            <w:tcW w:w="2448" w:type="dxa"/>
          </w:tcPr>
          <w:p w14:paraId="16ECD7F1" w14:textId="1CE07D07" w:rsidR="008B6277" w:rsidRPr="009D49C8" w:rsidRDefault="00B54F4F" w:rsidP="009D49C8">
            <w:r>
              <w:t>68</w:t>
            </w:r>
          </w:p>
        </w:tc>
        <w:tc>
          <w:tcPr>
            <w:tcW w:w="2448" w:type="dxa"/>
          </w:tcPr>
          <w:p w14:paraId="1724F878" w14:textId="0F1D6C3A" w:rsidR="008B6277" w:rsidRPr="009D49C8" w:rsidRDefault="00CA63DE" w:rsidP="009D49C8">
            <w:r>
              <w:t>6.5%</w:t>
            </w:r>
          </w:p>
        </w:tc>
      </w:tr>
      <w:tr w:rsidR="00FA57C5" w:rsidRPr="009D49C8" w14:paraId="5356F437" w14:textId="77777777" w:rsidTr="00582262">
        <w:trPr>
          <w:trHeight w:val="255"/>
        </w:trPr>
        <w:tc>
          <w:tcPr>
            <w:tcW w:w="4135" w:type="dxa"/>
          </w:tcPr>
          <w:p w14:paraId="711A433C" w14:textId="28A785A4" w:rsidR="00FA57C5" w:rsidRPr="009D49C8" w:rsidRDefault="004F58B7" w:rsidP="009D49C8">
            <w:r>
              <w:t>No jobs are available</w:t>
            </w:r>
          </w:p>
        </w:tc>
        <w:tc>
          <w:tcPr>
            <w:tcW w:w="2448" w:type="dxa"/>
          </w:tcPr>
          <w:p w14:paraId="1792560D" w14:textId="27D7B6CE" w:rsidR="00FA57C5" w:rsidRPr="009D49C8" w:rsidRDefault="00B54F4F" w:rsidP="009D49C8">
            <w:r>
              <w:t>43</w:t>
            </w:r>
          </w:p>
        </w:tc>
        <w:tc>
          <w:tcPr>
            <w:tcW w:w="2448" w:type="dxa"/>
          </w:tcPr>
          <w:p w14:paraId="63FBF0EF" w14:textId="3CADC146" w:rsidR="00FA57C5" w:rsidRPr="009D49C8" w:rsidRDefault="0034085C" w:rsidP="009D49C8">
            <w:r>
              <w:t>4.1%</w:t>
            </w:r>
          </w:p>
        </w:tc>
      </w:tr>
      <w:tr w:rsidR="00FA57C5" w:rsidRPr="009D49C8" w14:paraId="0AB61A51" w14:textId="77777777" w:rsidTr="00582262">
        <w:trPr>
          <w:trHeight w:val="255"/>
        </w:trPr>
        <w:tc>
          <w:tcPr>
            <w:tcW w:w="4135" w:type="dxa"/>
          </w:tcPr>
          <w:p w14:paraId="49E3B154" w14:textId="5EACEB44" w:rsidR="00FA57C5" w:rsidRPr="009D49C8" w:rsidRDefault="004F58B7" w:rsidP="009D49C8">
            <w:r>
              <w:t>No IPE-related jobs available</w:t>
            </w:r>
          </w:p>
        </w:tc>
        <w:tc>
          <w:tcPr>
            <w:tcW w:w="2448" w:type="dxa"/>
          </w:tcPr>
          <w:p w14:paraId="3F16CB11" w14:textId="19E93F79" w:rsidR="00FA57C5" w:rsidRPr="009D49C8" w:rsidRDefault="00B54F4F" w:rsidP="009D49C8">
            <w:r>
              <w:t>4</w:t>
            </w:r>
            <w:r w:rsidR="006A1AA3">
              <w:t>2</w:t>
            </w:r>
          </w:p>
        </w:tc>
        <w:tc>
          <w:tcPr>
            <w:tcW w:w="2448" w:type="dxa"/>
          </w:tcPr>
          <w:p w14:paraId="68792610" w14:textId="78973374" w:rsidR="00FA57C5" w:rsidRPr="009D49C8" w:rsidRDefault="0034085C" w:rsidP="009D49C8">
            <w:r>
              <w:t>4.0%</w:t>
            </w:r>
          </w:p>
        </w:tc>
      </w:tr>
      <w:tr w:rsidR="008B6277" w:rsidRPr="009D49C8" w14:paraId="69C0141D" w14:textId="77777777" w:rsidTr="00582262">
        <w:trPr>
          <w:trHeight w:val="255"/>
        </w:trPr>
        <w:tc>
          <w:tcPr>
            <w:tcW w:w="4135" w:type="dxa"/>
          </w:tcPr>
          <w:p w14:paraId="5EC2D708" w14:textId="569F5569" w:rsidR="008B6277" w:rsidRPr="009D49C8" w:rsidRDefault="008E1FE9" w:rsidP="009D49C8">
            <w:r>
              <w:t>Family issues</w:t>
            </w:r>
          </w:p>
        </w:tc>
        <w:tc>
          <w:tcPr>
            <w:tcW w:w="2448" w:type="dxa"/>
          </w:tcPr>
          <w:p w14:paraId="73C02858" w14:textId="4026F2EA" w:rsidR="008B6277" w:rsidRPr="009D49C8" w:rsidRDefault="00B54F4F" w:rsidP="009D49C8">
            <w:r>
              <w:t>27</w:t>
            </w:r>
          </w:p>
        </w:tc>
        <w:tc>
          <w:tcPr>
            <w:tcW w:w="2448" w:type="dxa"/>
          </w:tcPr>
          <w:p w14:paraId="2DD89B07" w14:textId="2D2FD21C" w:rsidR="008B6277" w:rsidRPr="009D49C8" w:rsidRDefault="0034085C" w:rsidP="009D49C8">
            <w:r>
              <w:t>2.6%</w:t>
            </w:r>
          </w:p>
        </w:tc>
      </w:tr>
      <w:tr w:rsidR="008B6277" w:rsidRPr="009D49C8" w14:paraId="5A04C9DF" w14:textId="77777777" w:rsidTr="00582262">
        <w:trPr>
          <w:trHeight w:val="255"/>
        </w:trPr>
        <w:tc>
          <w:tcPr>
            <w:tcW w:w="4135" w:type="dxa"/>
          </w:tcPr>
          <w:p w14:paraId="08D07BB3" w14:textId="398D3545" w:rsidR="008B6277" w:rsidRPr="009D49C8" w:rsidRDefault="008E1FE9" w:rsidP="009D49C8">
            <w:r>
              <w:t>Want to keep SSI/SSDI benefits</w:t>
            </w:r>
          </w:p>
        </w:tc>
        <w:tc>
          <w:tcPr>
            <w:tcW w:w="2448" w:type="dxa"/>
          </w:tcPr>
          <w:p w14:paraId="4126295D" w14:textId="31F3B184" w:rsidR="008B6277" w:rsidRPr="009D49C8" w:rsidRDefault="00B54F4F" w:rsidP="009D49C8">
            <w:r>
              <w:t>27</w:t>
            </w:r>
          </w:p>
        </w:tc>
        <w:tc>
          <w:tcPr>
            <w:tcW w:w="2448" w:type="dxa"/>
          </w:tcPr>
          <w:p w14:paraId="700DBC7C" w14:textId="420504D9" w:rsidR="008B6277" w:rsidRPr="009D49C8" w:rsidRDefault="0034085C" w:rsidP="009D49C8">
            <w:r>
              <w:t>2.6%</w:t>
            </w:r>
          </w:p>
        </w:tc>
      </w:tr>
      <w:tr w:rsidR="009D49C8" w:rsidRPr="009D49C8" w14:paraId="6317BE96" w14:textId="77777777" w:rsidTr="00582262">
        <w:trPr>
          <w:trHeight w:val="255"/>
        </w:trPr>
        <w:tc>
          <w:tcPr>
            <w:tcW w:w="4135" w:type="dxa"/>
            <w:hideMark/>
          </w:tcPr>
          <w:p w14:paraId="167556D5" w14:textId="151A30BC" w:rsidR="009D49C8" w:rsidRPr="009D49C8" w:rsidRDefault="009D49C8" w:rsidP="009D49C8">
            <w:r w:rsidRPr="009D49C8">
              <w:rPr>
                <w:b/>
                <w:bCs/>
                <w:i/>
                <w:iCs/>
              </w:rPr>
              <w:t>Total</w:t>
            </w:r>
            <w:r w:rsidR="00350E82">
              <w:rPr>
                <w:b/>
                <w:bCs/>
                <w:i/>
                <w:iCs/>
              </w:rPr>
              <w:t xml:space="preserve"> Reasons Reported</w:t>
            </w:r>
          </w:p>
        </w:tc>
        <w:tc>
          <w:tcPr>
            <w:tcW w:w="2448" w:type="dxa"/>
            <w:hideMark/>
          </w:tcPr>
          <w:p w14:paraId="2E90DC55" w14:textId="0BC57C85" w:rsidR="009D49C8" w:rsidRPr="009D49C8" w:rsidRDefault="00EB0E2C" w:rsidP="009D49C8">
            <w:r>
              <w:rPr>
                <w:b/>
                <w:bCs/>
                <w:i/>
                <w:iCs/>
              </w:rPr>
              <w:t>1,051</w:t>
            </w:r>
          </w:p>
        </w:tc>
        <w:tc>
          <w:tcPr>
            <w:tcW w:w="2448" w:type="dxa"/>
            <w:hideMark/>
          </w:tcPr>
          <w:p w14:paraId="06617024" w14:textId="77777777" w:rsidR="009D49C8" w:rsidRPr="009D49C8" w:rsidRDefault="009D49C8" w:rsidP="009D49C8">
            <w:r w:rsidRPr="009D49C8">
              <w:rPr>
                <w:b/>
                <w:bCs/>
                <w:i/>
                <w:iCs/>
              </w:rPr>
              <w:t>100.0%</w:t>
            </w:r>
          </w:p>
        </w:tc>
      </w:tr>
    </w:tbl>
    <w:p w14:paraId="374ADF25" w14:textId="102A8E5D" w:rsidR="008F2F80" w:rsidRDefault="000908E7" w:rsidP="00AA69CA">
      <w:pPr>
        <w:pStyle w:val="Heading1"/>
      </w:pPr>
      <w:r>
        <w:t>CSS Feedback Received and Topics Mentioned</w:t>
      </w:r>
    </w:p>
    <w:p w14:paraId="4BA43E48" w14:textId="46C9155D" w:rsidR="007633C9" w:rsidRPr="007633C9" w:rsidRDefault="007633C9" w:rsidP="007633C9">
      <w:pPr>
        <w:pStyle w:val="ListParagraph"/>
        <w:numPr>
          <w:ilvl w:val="0"/>
          <w:numId w:val="26"/>
        </w:numPr>
      </w:pPr>
      <w:r w:rsidRPr="006A0401">
        <w:rPr>
          <w:b/>
          <w:bCs/>
        </w:rPr>
        <w:t xml:space="preserve">Image Description: </w:t>
      </w:r>
      <w:r w:rsidRPr="006A0401">
        <w:t xml:space="preserve">The </w:t>
      </w:r>
      <w:r>
        <w:t xml:space="preserve">count and percent of </w:t>
      </w:r>
      <w:r w:rsidR="00BF2315">
        <w:t xml:space="preserve">total </w:t>
      </w:r>
      <w:r w:rsidR="00367D5D">
        <w:t>feedback</w:t>
      </w:r>
      <w:r>
        <w:t xml:space="preserve"> </w:t>
      </w:r>
      <w:r w:rsidR="005057DC">
        <w:t xml:space="preserve">type </w:t>
      </w:r>
      <w:r>
        <w:t xml:space="preserve">reported </w:t>
      </w:r>
      <w:r w:rsidRPr="006A0401">
        <w:t>are illustrated using bar charts. Figure data are listed in table format below.</w:t>
      </w:r>
    </w:p>
    <w:tbl>
      <w:tblPr>
        <w:tblStyle w:val="TableGrid"/>
        <w:tblW w:w="3848" w:type="pct"/>
        <w:tblInd w:w="607" w:type="dxa"/>
        <w:tblLook w:val="04A0" w:firstRow="1" w:lastRow="0" w:firstColumn="1" w:lastColumn="0" w:noHBand="0" w:noVBand="1"/>
      </w:tblPr>
      <w:tblGrid>
        <w:gridCol w:w="3332"/>
        <w:gridCol w:w="2486"/>
        <w:gridCol w:w="2486"/>
      </w:tblGrid>
      <w:tr w:rsidR="007D1E69" w:rsidRPr="00AA69CA" w14:paraId="008541E1" w14:textId="77777777" w:rsidTr="006C0C24">
        <w:trPr>
          <w:trHeight w:val="20"/>
        </w:trPr>
        <w:tc>
          <w:tcPr>
            <w:tcW w:w="2006" w:type="pct"/>
            <w:shd w:val="clear" w:color="auto" w:fill="F2F2F2" w:themeFill="background1" w:themeFillShade="F2"/>
            <w:hideMark/>
          </w:tcPr>
          <w:p w14:paraId="4B944034" w14:textId="344506FD" w:rsidR="007D1E69" w:rsidRPr="00AA69CA" w:rsidRDefault="00F26917" w:rsidP="00AA69CA">
            <w:r>
              <w:rPr>
                <w:b/>
                <w:bCs/>
              </w:rPr>
              <w:t>Feedback</w:t>
            </w:r>
            <w:r w:rsidR="005057DC">
              <w:rPr>
                <w:b/>
                <w:bCs/>
              </w:rPr>
              <w:t xml:space="preserve"> Type</w:t>
            </w:r>
          </w:p>
        </w:tc>
        <w:tc>
          <w:tcPr>
            <w:tcW w:w="1497" w:type="pct"/>
            <w:shd w:val="clear" w:color="auto" w:fill="F2F2F2" w:themeFill="background1" w:themeFillShade="F2"/>
            <w:hideMark/>
          </w:tcPr>
          <w:p w14:paraId="0AA422C2" w14:textId="5C351165" w:rsidR="007D1E69" w:rsidRPr="00AA69CA" w:rsidRDefault="000908E7" w:rsidP="00AA69CA">
            <w:r>
              <w:rPr>
                <w:b/>
                <w:bCs/>
              </w:rPr>
              <w:t>Count</w:t>
            </w:r>
          </w:p>
        </w:tc>
        <w:tc>
          <w:tcPr>
            <w:tcW w:w="1497" w:type="pct"/>
            <w:shd w:val="clear" w:color="auto" w:fill="F2F2F2" w:themeFill="background1" w:themeFillShade="F2"/>
            <w:hideMark/>
          </w:tcPr>
          <w:p w14:paraId="55D62845" w14:textId="6DD382F9" w:rsidR="007D1E69" w:rsidRPr="00AA69CA" w:rsidRDefault="000908E7" w:rsidP="00AA69CA">
            <w:r>
              <w:rPr>
                <w:b/>
                <w:bCs/>
              </w:rPr>
              <w:t>Percent of Total</w:t>
            </w:r>
          </w:p>
        </w:tc>
      </w:tr>
      <w:tr w:rsidR="007D1E69" w:rsidRPr="00AA69CA" w14:paraId="6BFEDEC3" w14:textId="77777777" w:rsidTr="006C0C24">
        <w:trPr>
          <w:trHeight w:val="20"/>
        </w:trPr>
        <w:tc>
          <w:tcPr>
            <w:tcW w:w="2006" w:type="pct"/>
            <w:hideMark/>
          </w:tcPr>
          <w:p w14:paraId="133CF2DD" w14:textId="254BF020" w:rsidR="007D1E69" w:rsidRPr="00AA69CA" w:rsidRDefault="000908E7" w:rsidP="00AA69CA">
            <w:r>
              <w:t>Constructive</w:t>
            </w:r>
          </w:p>
        </w:tc>
        <w:tc>
          <w:tcPr>
            <w:tcW w:w="1497" w:type="pct"/>
            <w:hideMark/>
          </w:tcPr>
          <w:p w14:paraId="243DBC83" w14:textId="7BB594C4" w:rsidR="007D1E69" w:rsidRPr="000908E7" w:rsidRDefault="00C70E0B" w:rsidP="00AA69CA">
            <w:r>
              <w:t>147</w:t>
            </w:r>
          </w:p>
        </w:tc>
        <w:tc>
          <w:tcPr>
            <w:tcW w:w="1497" w:type="pct"/>
            <w:hideMark/>
          </w:tcPr>
          <w:p w14:paraId="6F75C3B8" w14:textId="777C97BF" w:rsidR="007D1E69" w:rsidRPr="00AA69CA" w:rsidRDefault="00C70E0B" w:rsidP="00AA69CA">
            <w:r>
              <w:t>35.8</w:t>
            </w:r>
            <w:r w:rsidR="007D1E69" w:rsidRPr="00AA69CA">
              <w:t>%</w:t>
            </w:r>
          </w:p>
        </w:tc>
      </w:tr>
      <w:tr w:rsidR="007D1E69" w:rsidRPr="00AA69CA" w14:paraId="5535F018" w14:textId="77777777" w:rsidTr="006C0C24">
        <w:trPr>
          <w:trHeight w:val="20"/>
        </w:trPr>
        <w:tc>
          <w:tcPr>
            <w:tcW w:w="2006" w:type="pct"/>
            <w:hideMark/>
          </w:tcPr>
          <w:p w14:paraId="2BB4DE85" w14:textId="394F6909" w:rsidR="007D1E69" w:rsidRPr="00AA69CA" w:rsidRDefault="000908E7" w:rsidP="00AA69CA">
            <w:r>
              <w:t>Negative</w:t>
            </w:r>
          </w:p>
        </w:tc>
        <w:tc>
          <w:tcPr>
            <w:tcW w:w="1497" w:type="pct"/>
            <w:hideMark/>
          </w:tcPr>
          <w:p w14:paraId="54C95B93" w14:textId="2EC3BFB3" w:rsidR="007D1E69" w:rsidRPr="00AA69CA" w:rsidRDefault="00C70E0B" w:rsidP="00AA69CA">
            <w:r>
              <w:t>130</w:t>
            </w:r>
          </w:p>
        </w:tc>
        <w:tc>
          <w:tcPr>
            <w:tcW w:w="1497" w:type="pct"/>
            <w:hideMark/>
          </w:tcPr>
          <w:p w14:paraId="4BCAE647" w14:textId="20996675" w:rsidR="007D1E69" w:rsidRPr="007C50B9" w:rsidRDefault="007C50B9" w:rsidP="00AA69CA">
            <w:r w:rsidRPr="007C50B9">
              <w:t>31.6</w:t>
            </w:r>
            <w:r w:rsidR="007D1E69" w:rsidRPr="007C50B9">
              <w:t>%</w:t>
            </w:r>
          </w:p>
        </w:tc>
      </w:tr>
      <w:tr w:rsidR="007D1E69" w:rsidRPr="00AA69CA" w14:paraId="3F942DB8" w14:textId="77777777" w:rsidTr="006C0C24">
        <w:trPr>
          <w:trHeight w:val="20"/>
        </w:trPr>
        <w:tc>
          <w:tcPr>
            <w:tcW w:w="2006" w:type="pct"/>
            <w:hideMark/>
          </w:tcPr>
          <w:p w14:paraId="1148B1D9" w14:textId="059C9204" w:rsidR="007D1E69" w:rsidRPr="00AA69CA" w:rsidRDefault="000908E7" w:rsidP="00AA69CA">
            <w:r>
              <w:t>Positive</w:t>
            </w:r>
          </w:p>
        </w:tc>
        <w:tc>
          <w:tcPr>
            <w:tcW w:w="1497" w:type="pct"/>
            <w:hideMark/>
          </w:tcPr>
          <w:p w14:paraId="2CDB7F3D" w14:textId="3B4E7E25" w:rsidR="007D1E69" w:rsidRPr="00AA69CA" w:rsidRDefault="00C70E0B" w:rsidP="00AA69CA">
            <w:r>
              <w:t>106</w:t>
            </w:r>
          </w:p>
        </w:tc>
        <w:tc>
          <w:tcPr>
            <w:tcW w:w="1497" w:type="pct"/>
            <w:hideMark/>
          </w:tcPr>
          <w:p w14:paraId="7BAD23D8" w14:textId="5B77DE56" w:rsidR="007D1E69" w:rsidRPr="007C50B9" w:rsidRDefault="007C50B9" w:rsidP="00AA69CA">
            <w:r w:rsidRPr="007C50B9">
              <w:t>25.8</w:t>
            </w:r>
            <w:r w:rsidR="007D1E69" w:rsidRPr="007C50B9">
              <w:t>%</w:t>
            </w:r>
          </w:p>
        </w:tc>
      </w:tr>
    </w:tbl>
    <w:p w14:paraId="4D0B1925" w14:textId="59E778FC" w:rsidR="008F5A87" w:rsidRPr="00240D27" w:rsidRDefault="00EA5F18" w:rsidP="008C4F5F">
      <w:pPr>
        <w:pStyle w:val="ListParagraph"/>
        <w:numPr>
          <w:ilvl w:val="0"/>
          <w:numId w:val="26"/>
        </w:numPr>
      </w:pPr>
      <w:r w:rsidRPr="006A0401">
        <w:rPr>
          <w:b/>
          <w:bCs/>
        </w:rPr>
        <w:t xml:space="preserve">Image Description: </w:t>
      </w:r>
      <w:r w:rsidRPr="006A0401">
        <w:t xml:space="preserve">The </w:t>
      </w:r>
      <w:r>
        <w:t xml:space="preserve">count and percent of total </w:t>
      </w:r>
      <w:r w:rsidR="000F6652">
        <w:t>topics mentioned</w:t>
      </w:r>
      <w:r>
        <w:t xml:space="preserve"> </w:t>
      </w:r>
      <w:r w:rsidRPr="006A0401">
        <w:t>are illustrated using bar charts. Figure data are listed in table format below.</w:t>
      </w:r>
    </w:p>
    <w:tbl>
      <w:tblPr>
        <w:tblStyle w:val="TableGrid"/>
        <w:tblW w:w="3848" w:type="pct"/>
        <w:tblInd w:w="607" w:type="dxa"/>
        <w:tblLook w:val="04A0" w:firstRow="1" w:lastRow="0" w:firstColumn="1" w:lastColumn="0" w:noHBand="0" w:noVBand="1"/>
      </w:tblPr>
      <w:tblGrid>
        <w:gridCol w:w="3332"/>
        <w:gridCol w:w="2486"/>
        <w:gridCol w:w="2486"/>
      </w:tblGrid>
      <w:tr w:rsidR="008F5A87" w:rsidRPr="00AA69CA" w14:paraId="292A300B" w14:textId="77777777" w:rsidTr="006C0C24">
        <w:trPr>
          <w:trHeight w:val="20"/>
        </w:trPr>
        <w:tc>
          <w:tcPr>
            <w:tcW w:w="2006" w:type="pct"/>
            <w:shd w:val="clear" w:color="auto" w:fill="F2F2F2" w:themeFill="background1" w:themeFillShade="F2"/>
            <w:hideMark/>
          </w:tcPr>
          <w:p w14:paraId="3DD08093" w14:textId="4D622E59" w:rsidR="008F5A87" w:rsidRPr="00AA69CA" w:rsidRDefault="00824145" w:rsidP="00637EA8">
            <w:r>
              <w:rPr>
                <w:b/>
                <w:bCs/>
              </w:rPr>
              <w:t>Topics Mentioned</w:t>
            </w:r>
          </w:p>
        </w:tc>
        <w:tc>
          <w:tcPr>
            <w:tcW w:w="1497" w:type="pct"/>
            <w:shd w:val="clear" w:color="auto" w:fill="F2F2F2" w:themeFill="background1" w:themeFillShade="F2"/>
            <w:hideMark/>
          </w:tcPr>
          <w:p w14:paraId="02E162F8" w14:textId="77777777" w:rsidR="008F5A87" w:rsidRPr="00AA69CA" w:rsidRDefault="008F5A87" w:rsidP="00637EA8">
            <w:r>
              <w:rPr>
                <w:b/>
                <w:bCs/>
              </w:rPr>
              <w:t>Count</w:t>
            </w:r>
          </w:p>
        </w:tc>
        <w:tc>
          <w:tcPr>
            <w:tcW w:w="1497" w:type="pct"/>
            <w:shd w:val="clear" w:color="auto" w:fill="F2F2F2" w:themeFill="background1" w:themeFillShade="F2"/>
            <w:hideMark/>
          </w:tcPr>
          <w:p w14:paraId="1B9E7639" w14:textId="77777777" w:rsidR="008F5A87" w:rsidRPr="00AA69CA" w:rsidRDefault="008F5A87" w:rsidP="00637EA8">
            <w:r>
              <w:rPr>
                <w:b/>
                <w:bCs/>
              </w:rPr>
              <w:t>Percent of Total</w:t>
            </w:r>
          </w:p>
        </w:tc>
      </w:tr>
      <w:tr w:rsidR="008F5A87" w:rsidRPr="00AA69CA" w14:paraId="036F591B" w14:textId="77777777" w:rsidTr="006C0C24">
        <w:trPr>
          <w:trHeight w:val="20"/>
        </w:trPr>
        <w:tc>
          <w:tcPr>
            <w:tcW w:w="2006" w:type="pct"/>
            <w:hideMark/>
          </w:tcPr>
          <w:p w14:paraId="5281DD7A" w14:textId="6F2D7ECE" w:rsidR="008F5A87" w:rsidRPr="00AA69CA" w:rsidRDefault="007B23A1" w:rsidP="00637EA8">
            <w:r>
              <w:t>Communication</w:t>
            </w:r>
          </w:p>
        </w:tc>
        <w:tc>
          <w:tcPr>
            <w:tcW w:w="1497" w:type="pct"/>
            <w:hideMark/>
          </w:tcPr>
          <w:p w14:paraId="5B1A7619" w14:textId="6C494150" w:rsidR="008F5A87" w:rsidRPr="000908E7" w:rsidRDefault="00824145" w:rsidP="00637EA8">
            <w:r>
              <w:t>108</w:t>
            </w:r>
          </w:p>
        </w:tc>
        <w:tc>
          <w:tcPr>
            <w:tcW w:w="1497" w:type="pct"/>
            <w:hideMark/>
          </w:tcPr>
          <w:p w14:paraId="213182B0" w14:textId="74956838" w:rsidR="008F5A87" w:rsidRPr="00AA69CA" w:rsidRDefault="00824145" w:rsidP="00637EA8">
            <w:r>
              <w:t>26.</w:t>
            </w:r>
            <w:r w:rsidR="007633C9">
              <w:t>3</w:t>
            </w:r>
            <w:r w:rsidR="008F5A87" w:rsidRPr="00AA69CA">
              <w:t>%</w:t>
            </w:r>
          </w:p>
        </w:tc>
      </w:tr>
      <w:tr w:rsidR="008F5A87" w:rsidRPr="00AA69CA" w14:paraId="129B65CE" w14:textId="77777777" w:rsidTr="006C0C24">
        <w:trPr>
          <w:trHeight w:val="20"/>
        </w:trPr>
        <w:tc>
          <w:tcPr>
            <w:tcW w:w="2006" w:type="pct"/>
            <w:hideMark/>
          </w:tcPr>
          <w:p w14:paraId="61BA1901" w14:textId="1F20473F" w:rsidR="008F5A87" w:rsidRPr="00AA69CA" w:rsidRDefault="007B23A1" w:rsidP="00637EA8">
            <w:r>
              <w:t>Transportation</w:t>
            </w:r>
          </w:p>
        </w:tc>
        <w:tc>
          <w:tcPr>
            <w:tcW w:w="1497" w:type="pct"/>
            <w:hideMark/>
          </w:tcPr>
          <w:p w14:paraId="3B5E1E0B" w14:textId="36970F43" w:rsidR="008F5A87" w:rsidRPr="00AA69CA" w:rsidRDefault="00824145" w:rsidP="00637EA8">
            <w:r>
              <w:t>13</w:t>
            </w:r>
          </w:p>
        </w:tc>
        <w:tc>
          <w:tcPr>
            <w:tcW w:w="1497" w:type="pct"/>
            <w:hideMark/>
          </w:tcPr>
          <w:p w14:paraId="24B36E4E" w14:textId="5202A695" w:rsidR="008F5A87" w:rsidRPr="007C50B9" w:rsidRDefault="007633C9" w:rsidP="00637EA8">
            <w:r>
              <w:t>3.2</w:t>
            </w:r>
            <w:r w:rsidR="008F5A87" w:rsidRPr="007C50B9">
              <w:t>%</w:t>
            </w:r>
          </w:p>
        </w:tc>
      </w:tr>
      <w:tr w:rsidR="008F5A87" w:rsidRPr="00AA69CA" w14:paraId="18D4CC6C" w14:textId="77777777" w:rsidTr="006C0C24">
        <w:trPr>
          <w:trHeight w:val="20"/>
        </w:trPr>
        <w:tc>
          <w:tcPr>
            <w:tcW w:w="2006" w:type="pct"/>
            <w:hideMark/>
          </w:tcPr>
          <w:p w14:paraId="6E9D3D8A" w14:textId="088FFEF3" w:rsidR="008F5A87" w:rsidRPr="00AA69CA" w:rsidRDefault="007B23A1" w:rsidP="00637EA8">
            <w:r>
              <w:t>COVID-19</w:t>
            </w:r>
          </w:p>
        </w:tc>
        <w:tc>
          <w:tcPr>
            <w:tcW w:w="1497" w:type="pct"/>
            <w:hideMark/>
          </w:tcPr>
          <w:p w14:paraId="214ECFB2" w14:textId="5C7EA494" w:rsidR="008F5A87" w:rsidRPr="00AA69CA" w:rsidRDefault="00824145" w:rsidP="00637EA8">
            <w:r>
              <w:t>11</w:t>
            </w:r>
          </w:p>
        </w:tc>
        <w:tc>
          <w:tcPr>
            <w:tcW w:w="1497" w:type="pct"/>
            <w:hideMark/>
          </w:tcPr>
          <w:p w14:paraId="67829D2E" w14:textId="40E6706C" w:rsidR="008F5A87" w:rsidRPr="007C50B9" w:rsidRDefault="007633C9" w:rsidP="00637EA8">
            <w:r>
              <w:t>2.7</w:t>
            </w:r>
            <w:r w:rsidR="008F5A87" w:rsidRPr="007C50B9">
              <w:t>%</w:t>
            </w:r>
          </w:p>
        </w:tc>
      </w:tr>
    </w:tbl>
    <w:p w14:paraId="0E819753" w14:textId="3AA0E1E0" w:rsidR="00A100A2" w:rsidRDefault="00807BFC" w:rsidP="00F624B0">
      <w:pPr>
        <w:pStyle w:val="Heading1"/>
        <w:rPr>
          <w:bCs/>
        </w:rPr>
      </w:pPr>
      <w:r>
        <w:rPr>
          <w:bCs/>
        </w:rPr>
        <w:t>2021-22 CSS Preliminary Results - Summary</w:t>
      </w:r>
    </w:p>
    <w:p w14:paraId="28857822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t>Surveyed 7.2% of DOR’s total population.</w:t>
      </w:r>
    </w:p>
    <w:p w14:paraId="235E779C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t>Received 933 responses.</w:t>
      </w:r>
    </w:p>
    <w:p w14:paraId="7A1F6B8B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t>Individuals most reported learning, psychiatric, and physical disabilities.</w:t>
      </w:r>
    </w:p>
    <w:p w14:paraId="226DA577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t>Ages 20-39 and 50-59 were most common among respondents.</w:t>
      </w:r>
    </w:p>
    <w:p w14:paraId="63718458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t>Consumers gave satisfied ratings for services provided by DOR and service providers.</w:t>
      </w:r>
    </w:p>
    <w:p w14:paraId="14EF1410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lastRenderedPageBreak/>
        <w:t>Being a student, still looking, or needs additional help to find a job were top reasons for being unemployed.</w:t>
      </w:r>
    </w:p>
    <w:p w14:paraId="32E17976" w14:textId="77777777" w:rsidR="00807BFC" w:rsidRPr="00807BFC" w:rsidRDefault="00807BFC" w:rsidP="00807BFC">
      <w:pPr>
        <w:pStyle w:val="ListParagraph"/>
        <w:numPr>
          <w:ilvl w:val="0"/>
          <w:numId w:val="34"/>
        </w:numPr>
      </w:pPr>
      <w:r w:rsidRPr="00807BFC">
        <w:t>Consumers gave positive, negative, and constructive feedback.</w:t>
      </w:r>
    </w:p>
    <w:p w14:paraId="04CEAC61" w14:textId="36472226" w:rsidR="00F624B0" w:rsidRDefault="009D437C" w:rsidP="00F624B0">
      <w:pPr>
        <w:pStyle w:val="Heading1"/>
        <w:rPr>
          <w:bCs/>
        </w:rPr>
      </w:pPr>
      <w:r>
        <w:rPr>
          <w:bCs/>
        </w:rPr>
        <w:t>Next Steps</w:t>
      </w:r>
    </w:p>
    <w:p w14:paraId="746FC0D8" w14:textId="77777777" w:rsidR="009D437C" w:rsidRDefault="009D437C" w:rsidP="00B8141D">
      <w:pPr>
        <w:pStyle w:val="ListParagraph"/>
        <w:numPr>
          <w:ilvl w:val="0"/>
          <w:numId w:val="44"/>
        </w:numPr>
      </w:pPr>
      <w:r>
        <w:t>Additional Analysis</w:t>
      </w:r>
    </w:p>
    <w:p w14:paraId="31905A1C" w14:textId="3438716E" w:rsidR="009D437C" w:rsidRDefault="009D437C" w:rsidP="00B8141D">
      <w:pPr>
        <w:pStyle w:val="ListParagraph"/>
        <w:numPr>
          <w:ilvl w:val="0"/>
          <w:numId w:val="44"/>
        </w:numPr>
      </w:pPr>
      <w:r>
        <w:t xml:space="preserve">Draft Executive Summary and </w:t>
      </w:r>
      <w:r w:rsidR="008B150A">
        <w:t>Update</w:t>
      </w:r>
      <w:r>
        <w:t xml:space="preserve"> Dashboard</w:t>
      </w:r>
    </w:p>
    <w:p w14:paraId="08C1AE97" w14:textId="77777777" w:rsidR="009D437C" w:rsidRDefault="009D437C" w:rsidP="00B8141D">
      <w:pPr>
        <w:pStyle w:val="ListParagraph"/>
        <w:numPr>
          <w:ilvl w:val="0"/>
          <w:numId w:val="44"/>
        </w:numPr>
      </w:pPr>
      <w:r>
        <w:t>Share CSS Final Results</w:t>
      </w:r>
    </w:p>
    <w:p w14:paraId="5A6A8BCF" w14:textId="77777777" w:rsidR="009D437C" w:rsidRDefault="009D437C" w:rsidP="00B8141D">
      <w:pPr>
        <w:pStyle w:val="ListParagraph"/>
        <w:numPr>
          <w:ilvl w:val="0"/>
          <w:numId w:val="44"/>
        </w:numPr>
      </w:pPr>
      <w:r>
        <w:t>Gather Feedback</w:t>
      </w:r>
    </w:p>
    <w:p w14:paraId="1169BAC0" w14:textId="705E8256" w:rsidR="009D437C" w:rsidRDefault="009D437C" w:rsidP="00B8141D">
      <w:pPr>
        <w:pStyle w:val="ListParagraph"/>
        <w:numPr>
          <w:ilvl w:val="0"/>
          <w:numId w:val="44"/>
        </w:numPr>
      </w:pPr>
      <w:r>
        <w:t>Publish Executive Summary and Dashboard</w:t>
      </w:r>
    </w:p>
    <w:p w14:paraId="7AA4DA81" w14:textId="4852FCCF" w:rsidR="00B8141D" w:rsidRDefault="00F733E2" w:rsidP="00B8141D">
      <w:pPr>
        <w:pStyle w:val="Heading1"/>
        <w:rPr>
          <w:bCs/>
        </w:rPr>
      </w:pPr>
      <w:r>
        <w:rPr>
          <w:bCs/>
        </w:rPr>
        <w:t>Contact Information</w:t>
      </w:r>
    </w:p>
    <w:p w14:paraId="5652E65F" w14:textId="33E9FB34" w:rsidR="003D7633" w:rsidRPr="00931363" w:rsidRDefault="00F733E2" w:rsidP="003D7633">
      <w:pPr>
        <w:pStyle w:val="ListParagraph"/>
        <w:numPr>
          <w:ilvl w:val="0"/>
          <w:numId w:val="45"/>
        </w:numPr>
        <w:rPr>
          <w:lang w:val="es-MX"/>
        </w:rPr>
      </w:pPr>
      <w:r w:rsidRPr="00931363">
        <w:rPr>
          <w:lang w:val="es-MX"/>
        </w:rPr>
        <w:t>Alicia Lucas</w:t>
      </w:r>
      <w:r w:rsidR="00B2218A" w:rsidRPr="00931363">
        <w:rPr>
          <w:lang w:val="es-MX"/>
        </w:rPr>
        <w:t>, Manager</w:t>
      </w:r>
      <w:r w:rsidR="003D7633" w:rsidRPr="00931363">
        <w:rPr>
          <w:lang w:val="es-MX"/>
        </w:rPr>
        <w:t xml:space="preserve">, </w:t>
      </w:r>
      <w:hyperlink r:id="rId11" w:history="1">
        <w:r w:rsidR="00E763B0" w:rsidRPr="00931363">
          <w:rPr>
            <w:rStyle w:val="Hyperlink"/>
            <w:lang w:val="es-MX"/>
          </w:rPr>
          <w:t>alicia.lucas@dor.ca.gov</w:t>
        </w:r>
      </w:hyperlink>
    </w:p>
    <w:p w14:paraId="06800271" w14:textId="0A103F70" w:rsidR="00CE46FC" w:rsidRDefault="00F733E2" w:rsidP="00CE46FC">
      <w:pPr>
        <w:pStyle w:val="ListParagraph"/>
        <w:numPr>
          <w:ilvl w:val="0"/>
          <w:numId w:val="45"/>
        </w:numPr>
      </w:pPr>
      <w:r>
        <w:t>Marla Harper</w:t>
      </w:r>
      <w:r w:rsidR="0034369F">
        <w:t>, Research Data Analyst II</w:t>
      </w:r>
      <w:r w:rsidR="00E763B0">
        <w:t xml:space="preserve">, </w:t>
      </w:r>
      <w:hyperlink r:id="rId12" w:history="1">
        <w:r w:rsidR="00E763B0" w:rsidRPr="00CB5447">
          <w:rPr>
            <w:rStyle w:val="Hyperlink"/>
          </w:rPr>
          <w:t>marla.harper@dor.ca.gov</w:t>
        </w:r>
      </w:hyperlink>
    </w:p>
    <w:p w14:paraId="77EA4D3D" w14:textId="6259FDB7" w:rsidR="00CE46FC" w:rsidRDefault="00B2218A" w:rsidP="00CE46FC">
      <w:pPr>
        <w:pStyle w:val="ListParagraph"/>
        <w:numPr>
          <w:ilvl w:val="0"/>
          <w:numId w:val="45"/>
        </w:numPr>
      </w:pPr>
      <w:r>
        <w:t>Judy Gonzalez</w:t>
      </w:r>
      <w:r w:rsidR="0034369F">
        <w:t>, Research Data Analyst II</w:t>
      </w:r>
      <w:r w:rsidR="00E763B0">
        <w:t xml:space="preserve">, </w:t>
      </w:r>
      <w:hyperlink r:id="rId13" w:history="1">
        <w:r w:rsidR="00E763B0" w:rsidRPr="00CB5447">
          <w:rPr>
            <w:rStyle w:val="Hyperlink"/>
          </w:rPr>
          <w:t>judy.gonzalez@dor.ca.gov</w:t>
        </w:r>
      </w:hyperlink>
    </w:p>
    <w:p w14:paraId="249FB188" w14:textId="3E76B447" w:rsidR="00B2218A" w:rsidRDefault="00B2218A" w:rsidP="00CE46FC">
      <w:pPr>
        <w:pStyle w:val="ListParagraph"/>
        <w:numPr>
          <w:ilvl w:val="0"/>
          <w:numId w:val="45"/>
        </w:numPr>
      </w:pPr>
      <w:r>
        <w:t xml:space="preserve">Antoinette </w:t>
      </w:r>
      <w:proofErr w:type="spellStart"/>
      <w:r>
        <w:t>Deboisblanc</w:t>
      </w:r>
      <w:proofErr w:type="spellEnd"/>
      <w:r w:rsidR="0034369F">
        <w:t>, Associate Governmental Program Analyst</w:t>
      </w:r>
      <w:r w:rsidR="00E763B0">
        <w:t xml:space="preserve">, </w:t>
      </w:r>
      <w:hyperlink r:id="rId14" w:history="1">
        <w:r w:rsidR="00BE1C15" w:rsidRPr="00CB5447">
          <w:rPr>
            <w:rStyle w:val="Hyperlink"/>
          </w:rPr>
          <w:t>antoinette.deboisblanc@dor.ca.gov</w:t>
        </w:r>
      </w:hyperlink>
    </w:p>
    <w:p w14:paraId="3A9B31DB" w14:textId="306B27F1" w:rsidR="00B8141D" w:rsidRPr="00B8141D" w:rsidRDefault="00B8141D" w:rsidP="0034369F">
      <w:pPr>
        <w:pStyle w:val="Heading1"/>
        <w:numPr>
          <w:ilvl w:val="0"/>
          <w:numId w:val="0"/>
        </w:numPr>
        <w:ind w:left="360"/>
      </w:pPr>
    </w:p>
    <w:sectPr w:rsidR="00B8141D" w:rsidRPr="00B8141D" w:rsidSect="00F82AF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FD18" w14:textId="77777777" w:rsidR="005D3E6F" w:rsidRDefault="005D3E6F" w:rsidP="009E3115">
      <w:r>
        <w:separator/>
      </w:r>
    </w:p>
  </w:endnote>
  <w:endnote w:type="continuationSeparator" w:id="0">
    <w:p w14:paraId="19CDAFEF" w14:textId="77777777" w:rsidR="005D3E6F" w:rsidRDefault="005D3E6F" w:rsidP="009E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52A6" w14:textId="77777777" w:rsidR="005D3E6F" w:rsidRDefault="005D3E6F" w:rsidP="009E3115">
      <w:r>
        <w:separator/>
      </w:r>
    </w:p>
  </w:footnote>
  <w:footnote w:type="continuationSeparator" w:id="0">
    <w:p w14:paraId="384B42D1" w14:textId="77777777" w:rsidR="005D3E6F" w:rsidRDefault="005D3E6F" w:rsidP="009E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8D"/>
    <w:multiLevelType w:val="hybridMultilevel"/>
    <w:tmpl w:val="8E724282"/>
    <w:lvl w:ilvl="0" w:tplc="DE1A2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26B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E3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E3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06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E7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6F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0B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AF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50C53"/>
    <w:multiLevelType w:val="hybridMultilevel"/>
    <w:tmpl w:val="E3F60664"/>
    <w:lvl w:ilvl="0" w:tplc="77C2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8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E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A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C17A0"/>
    <w:multiLevelType w:val="hybridMultilevel"/>
    <w:tmpl w:val="0C24098A"/>
    <w:lvl w:ilvl="0" w:tplc="58E84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F2A56"/>
    <w:multiLevelType w:val="hybridMultilevel"/>
    <w:tmpl w:val="AA80A52E"/>
    <w:lvl w:ilvl="0" w:tplc="52D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E8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41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81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8B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86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0C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88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2D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7836DA"/>
    <w:multiLevelType w:val="hybridMultilevel"/>
    <w:tmpl w:val="03A41800"/>
    <w:lvl w:ilvl="0" w:tplc="F65E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E2B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5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6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4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4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2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4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7A06D6"/>
    <w:multiLevelType w:val="hybridMultilevel"/>
    <w:tmpl w:val="F43E742E"/>
    <w:lvl w:ilvl="0" w:tplc="88E6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E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E0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4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3636A6"/>
    <w:multiLevelType w:val="hybridMultilevel"/>
    <w:tmpl w:val="9368760C"/>
    <w:lvl w:ilvl="0" w:tplc="3388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64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68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C8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66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CC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80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08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A6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F5CCA"/>
    <w:multiLevelType w:val="hybridMultilevel"/>
    <w:tmpl w:val="10307370"/>
    <w:lvl w:ilvl="0" w:tplc="09FC51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A28B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7483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9B855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91E08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5C53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A006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C4F2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B811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CD61F4"/>
    <w:multiLevelType w:val="hybridMultilevel"/>
    <w:tmpl w:val="46F0EA3E"/>
    <w:lvl w:ilvl="0" w:tplc="EECE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47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21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AF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E0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A5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E1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83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10A706B"/>
    <w:multiLevelType w:val="hybridMultilevel"/>
    <w:tmpl w:val="0316D318"/>
    <w:lvl w:ilvl="0" w:tplc="E1EA4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6B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05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26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67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2C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E9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2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27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090707"/>
    <w:multiLevelType w:val="hybridMultilevel"/>
    <w:tmpl w:val="90BCE9C0"/>
    <w:lvl w:ilvl="0" w:tplc="175C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45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F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716D6A"/>
    <w:multiLevelType w:val="hybridMultilevel"/>
    <w:tmpl w:val="B300B636"/>
    <w:lvl w:ilvl="0" w:tplc="58E84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551FA"/>
    <w:multiLevelType w:val="hybridMultilevel"/>
    <w:tmpl w:val="02CCBC2E"/>
    <w:lvl w:ilvl="0" w:tplc="D09448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C5936"/>
    <w:multiLevelType w:val="hybridMultilevel"/>
    <w:tmpl w:val="3AF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4107D"/>
    <w:multiLevelType w:val="hybridMultilevel"/>
    <w:tmpl w:val="9D6E1B60"/>
    <w:lvl w:ilvl="0" w:tplc="B00C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81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09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C1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F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28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6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25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D237A"/>
    <w:multiLevelType w:val="hybridMultilevel"/>
    <w:tmpl w:val="9F5AF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D4AAA"/>
    <w:multiLevelType w:val="hybridMultilevel"/>
    <w:tmpl w:val="1CC62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0E24F5"/>
    <w:multiLevelType w:val="hybridMultilevel"/>
    <w:tmpl w:val="11FAE5EC"/>
    <w:lvl w:ilvl="0" w:tplc="1C6C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E2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8B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E7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03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48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C2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C3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A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59F4654"/>
    <w:multiLevelType w:val="hybridMultilevel"/>
    <w:tmpl w:val="8D1A9F1A"/>
    <w:lvl w:ilvl="0" w:tplc="21DC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2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4A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81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80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6E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E2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41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CF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14142"/>
    <w:multiLevelType w:val="hybridMultilevel"/>
    <w:tmpl w:val="85D8438C"/>
    <w:lvl w:ilvl="0" w:tplc="C2860B9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92DB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B1A64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50C92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F636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B0F0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64465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57CEB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FA0C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B70EC"/>
    <w:multiLevelType w:val="hybridMultilevel"/>
    <w:tmpl w:val="D1B813BA"/>
    <w:lvl w:ilvl="0" w:tplc="58E84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494939"/>
    <w:multiLevelType w:val="hybridMultilevel"/>
    <w:tmpl w:val="B2CCF248"/>
    <w:lvl w:ilvl="0" w:tplc="6E6A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A2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6D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0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8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4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45307F"/>
    <w:multiLevelType w:val="hybridMultilevel"/>
    <w:tmpl w:val="44ACD36A"/>
    <w:lvl w:ilvl="0" w:tplc="49466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EF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6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CB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AD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C2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49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AA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2E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CD7B41"/>
    <w:multiLevelType w:val="hybridMultilevel"/>
    <w:tmpl w:val="835A7D42"/>
    <w:lvl w:ilvl="0" w:tplc="D572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E5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0D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E0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2E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6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8B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AA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CE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A3B25"/>
    <w:multiLevelType w:val="hybridMultilevel"/>
    <w:tmpl w:val="611A7F08"/>
    <w:lvl w:ilvl="0" w:tplc="58E84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6F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8C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CB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80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A1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A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88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81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186AD4"/>
    <w:multiLevelType w:val="hybridMultilevel"/>
    <w:tmpl w:val="29DA0750"/>
    <w:lvl w:ilvl="0" w:tplc="C33E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C8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C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2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2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2C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A6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3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ED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33351"/>
    <w:multiLevelType w:val="hybridMultilevel"/>
    <w:tmpl w:val="E1D66DDA"/>
    <w:lvl w:ilvl="0" w:tplc="B082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C7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EC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CC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E5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8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46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DB7228"/>
    <w:multiLevelType w:val="hybridMultilevel"/>
    <w:tmpl w:val="96AE1C12"/>
    <w:lvl w:ilvl="0" w:tplc="21E0E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C5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4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2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C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E4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8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E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9F559F"/>
    <w:multiLevelType w:val="hybridMultilevel"/>
    <w:tmpl w:val="1B2CE8AE"/>
    <w:lvl w:ilvl="0" w:tplc="19482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22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A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4B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42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04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03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00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CC5BCE"/>
    <w:multiLevelType w:val="hybridMultilevel"/>
    <w:tmpl w:val="82C2BBEE"/>
    <w:lvl w:ilvl="0" w:tplc="5428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83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8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8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C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0C7142"/>
    <w:multiLevelType w:val="hybridMultilevel"/>
    <w:tmpl w:val="7B64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BE5792"/>
    <w:multiLevelType w:val="hybridMultilevel"/>
    <w:tmpl w:val="7ABE4370"/>
    <w:lvl w:ilvl="0" w:tplc="AB7ADB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78CFE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8EDC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C39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D420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5043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17241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5E93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FA83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F3536"/>
    <w:multiLevelType w:val="hybridMultilevel"/>
    <w:tmpl w:val="4C2476F0"/>
    <w:lvl w:ilvl="0" w:tplc="58E84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D72FC"/>
    <w:multiLevelType w:val="hybridMultilevel"/>
    <w:tmpl w:val="0F3C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75EFB"/>
    <w:multiLevelType w:val="hybridMultilevel"/>
    <w:tmpl w:val="39BC749A"/>
    <w:lvl w:ilvl="0" w:tplc="C6D20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E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4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05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2F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CAB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8F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A7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8B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EEB1E54"/>
    <w:multiLevelType w:val="hybridMultilevel"/>
    <w:tmpl w:val="5D52706A"/>
    <w:lvl w:ilvl="0" w:tplc="299C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E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C8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E6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C8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A8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E9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64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02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A76B69"/>
    <w:multiLevelType w:val="hybridMultilevel"/>
    <w:tmpl w:val="DE1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4730A"/>
    <w:multiLevelType w:val="hybridMultilevel"/>
    <w:tmpl w:val="1CAEC080"/>
    <w:lvl w:ilvl="0" w:tplc="820A18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DC19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E848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B6B1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1AC19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265D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7C2B9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BA841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BC2D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B64F10"/>
    <w:multiLevelType w:val="hybridMultilevel"/>
    <w:tmpl w:val="C8C004D6"/>
    <w:lvl w:ilvl="0" w:tplc="F8D83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85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B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A4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C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CB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D6614A"/>
    <w:multiLevelType w:val="hybridMultilevel"/>
    <w:tmpl w:val="1FAA3FF6"/>
    <w:lvl w:ilvl="0" w:tplc="29EE07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A06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4044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0238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082C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B8D0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47660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D285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CAB1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A2482E"/>
    <w:multiLevelType w:val="hybridMultilevel"/>
    <w:tmpl w:val="8CD66794"/>
    <w:lvl w:ilvl="0" w:tplc="FFF050BC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25034"/>
    <w:multiLevelType w:val="hybridMultilevel"/>
    <w:tmpl w:val="425414CE"/>
    <w:lvl w:ilvl="0" w:tplc="7CAA290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7E6A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CE2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FE40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724A4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988D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0465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48CA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24D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A65B19"/>
    <w:multiLevelType w:val="hybridMultilevel"/>
    <w:tmpl w:val="3AF2C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60D4D"/>
    <w:multiLevelType w:val="hybridMultilevel"/>
    <w:tmpl w:val="C67E6356"/>
    <w:lvl w:ilvl="0" w:tplc="3EBAD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69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84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6F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C4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6C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62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41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80935"/>
    <w:multiLevelType w:val="hybridMultilevel"/>
    <w:tmpl w:val="B8A419F2"/>
    <w:lvl w:ilvl="0" w:tplc="D044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E9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2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65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6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2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A76B2C"/>
    <w:multiLevelType w:val="hybridMultilevel"/>
    <w:tmpl w:val="883C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C02778"/>
    <w:multiLevelType w:val="hybridMultilevel"/>
    <w:tmpl w:val="9E5CA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2E32A6"/>
    <w:multiLevelType w:val="hybridMultilevel"/>
    <w:tmpl w:val="6A56BBC6"/>
    <w:lvl w:ilvl="0" w:tplc="58E84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9B0707"/>
    <w:multiLevelType w:val="hybridMultilevel"/>
    <w:tmpl w:val="ACC459C0"/>
    <w:lvl w:ilvl="0" w:tplc="58E84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9790474">
    <w:abstractNumId w:val="0"/>
  </w:num>
  <w:num w:numId="2" w16cid:durableId="1364867115">
    <w:abstractNumId w:val="15"/>
  </w:num>
  <w:num w:numId="3" w16cid:durableId="693116734">
    <w:abstractNumId w:val="35"/>
  </w:num>
  <w:num w:numId="4" w16cid:durableId="344481093">
    <w:abstractNumId w:val="28"/>
  </w:num>
  <w:num w:numId="5" w16cid:durableId="271792815">
    <w:abstractNumId w:val="8"/>
  </w:num>
  <w:num w:numId="6" w16cid:durableId="269897768">
    <w:abstractNumId w:val="9"/>
  </w:num>
  <w:num w:numId="7" w16cid:durableId="1118600762">
    <w:abstractNumId w:val="34"/>
  </w:num>
  <w:num w:numId="8" w16cid:durableId="1971087558">
    <w:abstractNumId w:val="26"/>
  </w:num>
  <w:num w:numId="9" w16cid:durableId="359356278">
    <w:abstractNumId w:val="17"/>
  </w:num>
  <w:num w:numId="10" w16cid:durableId="24060695">
    <w:abstractNumId w:val="3"/>
  </w:num>
  <w:num w:numId="11" w16cid:durableId="1291402942">
    <w:abstractNumId w:val="22"/>
  </w:num>
  <w:num w:numId="12" w16cid:durableId="1566528809">
    <w:abstractNumId w:val="24"/>
  </w:num>
  <w:num w:numId="13" w16cid:durableId="1236891274">
    <w:abstractNumId w:val="37"/>
  </w:num>
  <w:num w:numId="14" w16cid:durableId="878321217">
    <w:abstractNumId w:val="6"/>
  </w:num>
  <w:num w:numId="15" w16cid:durableId="1750808291">
    <w:abstractNumId w:val="31"/>
  </w:num>
  <w:num w:numId="16" w16cid:durableId="1706830505">
    <w:abstractNumId w:val="23"/>
  </w:num>
  <w:num w:numId="17" w16cid:durableId="208494103">
    <w:abstractNumId w:val="41"/>
  </w:num>
  <w:num w:numId="18" w16cid:durableId="1375080001">
    <w:abstractNumId w:val="14"/>
  </w:num>
  <w:num w:numId="19" w16cid:durableId="687563240">
    <w:abstractNumId w:val="39"/>
  </w:num>
  <w:num w:numId="20" w16cid:durableId="1503159916">
    <w:abstractNumId w:val="18"/>
  </w:num>
  <w:num w:numId="21" w16cid:durableId="1789203048">
    <w:abstractNumId w:val="19"/>
  </w:num>
  <w:num w:numId="22" w16cid:durableId="584652698">
    <w:abstractNumId w:val="43"/>
  </w:num>
  <w:num w:numId="23" w16cid:durableId="1067416787">
    <w:abstractNumId w:val="7"/>
  </w:num>
  <w:num w:numId="24" w16cid:durableId="1266042299">
    <w:abstractNumId w:val="25"/>
  </w:num>
  <w:num w:numId="25" w16cid:durableId="470639674">
    <w:abstractNumId w:val="20"/>
  </w:num>
  <w:num w:numId="26" w16cid:durableId="781192618">
    <w:abstractNumId w:val="2"/>
  </w:num>
  <w:num w:numId="27" w16cid:durableId="1216236521">
    <w:abstractNumId w:val="47"/>
  </w:num>
  <w:num w:numId="28" w16cid:durableId="460804985">
    <w:abstractNumId w:val="48"/>
  </w:num>
  <w:num w:numId="29" w16cid:durableId="1754273513">
    <w:abstractNumId w:val="40"/>
  </w:num>
  <w:num w:numId="30" w16cid:durableId="1259289888">
    <w:abstractNumId w:val="32"/>
  </w:num>
  <w:num w:numId="31" w16cid:durableId="1554609797">
    <w:abstractNumId w:val="12"/>
  </w:num>
  <w:num w:numId="32" w16cid:durableId="1755280705">
    <w:abstractNumId w:val="11"/>
  </w:num>
  <w:num w:numId="33" w16cid:durableId="1015302299">
    <w:abstractNumId w:val="45"/>
  </w:num>
  <w:num w:numId="34" w16cid:durableId="1440178582">
    <w:abstractNumId w:val="46"/>
  </w:num>
  <w:num w:numId="35" w16cid:durableId="116489719">
    <w:abstractNumId w:val="30"/>
  </w:num>
  <w:num w:numId="36" w16cid:durableId="1552619386">
    <w:abstractNumId w:val="16"/>
  </w:num>
  <w:num w:numId="37" w16cid:durableId="1345017761">
    <w:abstractNumId w:val="13"/>
  </w:num>
  <w:num w:numId="38" w16cid:durableId="639382334">
    <w:abstractNumId w:val="42"/>
  </w:num>
  <w:num w:numId="39" w16cid:durableId="1521313733">
    <w:abstractNumId w:val="44"/>
  </w:num>
  <w:num w:numId="40" w16cid:durableId="974216874">
    <w:abstractNumId w:val="21"/>
  </w:num>
  <w:num w:numId="41" w16cid:durableId="445082831">
    <w:abstractNumId w:val="27"/>
  </w:num>
  <w:num w:numId="42" w16cid:durableId="1352216947">
    <w:abstractNumId w:val="1"/>
  </w:num>
  <w:num w:numId="43" w16cid:durableId="2129935788">
    <w:abstractNumId w:val="38"/>
  </w:num>
  <w:num w:numId="44" w16cid:durableId="224343457">
    <w:abstractNumId w:val="33"/>
  </w:num>
  <w:num w:numId="45" w16cid:durableId="171335162">
    <w:abstractNumId w:val="36"/>
  </w:num>
  <w:num w:numId="46" w16cid:durableId="1820614009">
    <w:abstractNumId w:val="29"/>
  </w:num>
  <w:num w:numId="47" w16cid:durableId="524095396">
    <w:abstractNumId w:val="4"/>
  </w:num>
  <w:num w:numId="48" w16cid:durableId="269551691">
    <w:abstractNumId w:val="5"/>
  </w:num>
  <w:num w:numId="49" w16cid:durableId="1677267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6D"/>
    <w:rsid w:val="000037D1"/>
    <w:rsid w:val="00020D0C"/>
    <w:rsid w:val="000505EF"/>
    <w:rsid w:val="00062C03"/>
    <w:rsid w:val="00071618"/>
    <w:rsid w:val="000744DB"/>
    <w:rsid w:val="000746D4"/>
    <w:rsid w:val="00082CE3"/>
    <w:rsid w:val="00083D55"/>
    <w:rsid w:val="00085B67"/>
    <w:rsid w:val="000908E7"/>
    <w:rsid w:val="000C234F"/>
    <w:rsid w:val="000D2BD5"/>
    <w:rsid w:val="000D56FA"/>
    <w:rsid w:val="000E4C2F"/>
    <w:rsid w:val="000F6652"/>
    <w:rsid w:val="00116062"/>
    <w:rsid w:val="00146EBE"/>
    <w:rsid w:val="00157D58"/>
    <w:rsid w:val="00164B0B"/>
    <w:rsid w:val="00176AB0"/>
    <w:rsid w:val="001828B5"/>
    <w:rsid w:val="0019476B"/>
    <w:rsid w:val="001B2816"/>
    <w:rsid w:val="001C2DCB"/>
    <w:rsid w:val="001E16AD"/>
    <w:rsid w:val="00221648"/>
    <w:rsid w:val="002332CD"/>
    <w:rsid w:val="00240D27"/>
    <w:rsid w:val="00244E7D"/>
    <w:rsid w:val="00247BA7"/>
    <w:rsid w:val="00291B92"/>
    <w:rsid w:val="00293076"/>
    <w:rsid w:val="002A6669"/>
    <w:rsid w:val="002E279F"/>
    <w:rsid w:val="002E5428"/>
    <w:rsid w:val="00304CE3"/>
    <w:rsid w:val="003177AF"/>
    <w:rsid w:val="0034085C"/>
    <w:rsid w:val="0034369F"/>
    <w:rsid w:val="0034510C"/>
    <w:rsid w:val="00346B63"/>
    <w:rsid w:val="00347EF5"/>
    <w:rsid w:val="00350A4D"/>
    <w:rsid w:val="00350E82"/>
    <w:rsid w:val="003512F0"/>
    <w:rsid w:val="00361BD5"/>
    <w:rsid w:val="00363C30"/>
    <w:rsid w:val="00367D5D"/>
    <w:rsid w:val="0037370D"/>
    <w:rsid w:val="003836DA"/>
    <w:rsid w:val="003846EA"/>
    <w:rsid w:val="00385EBC"/>
    <w:rsid w:val="00393241"/>
    <w:rsid w:val="003C066D"/>
    <w:rsid w:val="003D7633"/>
    <w:rsid w:val="004012A0"/>
    <w:rsid w:val="00406416"/>
    <w:rsid w:val="00415875"/>
    <w:rsid w:val="00425C82"/>
    <w:rsid w:val="00427A47"/>
    <w:rsid w:val="00437BD7"/>
    <w:rsid w:val="00473988"/>
    <w:rsid w:val="00475393"/>
    <w:rsid w:val="00477983"/>
    <w:rsid w:val="004A5F0F"/>
    <w:rsid w:val="004D2F80"/>
    <w:rsid w:val="004F58B7"/>
    <w:rsid w:val="005057DC"/>
    <w:rsid w:val="00506CA2"/>
    <w:rsid w:val="0052465B"/>
    <w:rsid w:val="005427CE"/>
    <w:rsid w:val="00543F65"/>
    <w:rsid w:val="0055126A"/>
    <w:rsid w:val="005559AE"/>
    <w:rsid w:val="00563B0B"/>
    <w:rsid w:val="00582262"/>
    <w:rsid w:val="005877E6"/>
    <w:rsid w:val="0059351D"/>
    <w:rsid w:val="005A5CDC"/>
    <w:rsid w:val="005B1325"/>
    <w:rsid w:val="005C03B9"/>
    <w:rsid w:val="005D3E6F"/>
    <w:rsid w:val="006427B4"/>
    <w:rsid w:val="0065215C"/>
    <w:rsid w:val="00677A26"/>
    <w:rsid w:val="006A0401"/>
    <w:rsid w:val="006A1AA3"/>
    <w:rsid w:val="006A3149"/>
    <w:rsid w:val="006B6F24"/>
    <w:rsid w:val="006C0C24"/>
    <w:rsid w:val="006C3EC4"/>
    <w:rsid w:val="006D0F5B"/>
    <w:rsid w:val="006F2B52"/>
    <w:rsid w:val="006F6A6C"/>
    <w:rsid w:val="006F7B1C"/>
    <w:rsid w:val="00701843"/>
    <w:rsid w:val="007633C9"/>
    <w:rsid w:val="007654F0"/>
    <w:rsid w:val="00766294"/>
    <w:rsid w:val="00766F67"/>
    <w:rsid w:val="0079246C"/>
    <w:rsid w:val="007B23A1"/>
    <w:rsid w:val="007C50B9"/>
    <w:rsid w:val="007D1E69"/>
    <w:rsid w:val="007D79DA"/>
    <w:rsid w:val="007E0C1C"/>
    <w:rsid w:val="007F48BD"/>
    <w:rsid w:val="00805B86"/>
    <w:rsid w:val="008072D5"/>
    <w:rsid w:val="00807BFC"/>
    <w:rsid w:val="00822343"/>
    <w:rsid w:val="00824145"/>
    <w:rsid w:val="00824DC6"/>
    <w:rsid w:val="0084138D"/>
    <w:rsid w:val="00842A75"/>
    <w:rsid w:val="00844060"/>
    <w:rsid w:val="00853204"/>
    <w:rsid w:val="008657A6"/>
    <w:rsid w:val="00872EAA"/>
    <w:rsid w:val="00880EAD"/>
    <w:rsid w:val="0088302C"/>
    <w:rsid w:val="008B150A"/>
    <w:rsid w:val="008B6277"/>
    <w:rsid w:val="008C4F5F"/>
    <w:rsid w:val="008D6F33"/>
    <w:rsid w:val="008D723F"/>
    <w:rsid w:val="008E1FE9"/>
    <w:rsid w:val="008E2F4B"/>
    <w:rsid w:val="008E4F4B"/>
    <w:rsid w:val="008F2F80"/>
    <w:rsid w:val="008F5A87"/>
    <w:rsid w:val="00900CF3"/>
    <w:rsid w:val="00914E4C"/>
    <w:rsid w:val="00931363"/>
    <w:rsid w:val="0093177D"/>
    <w:rsid w:val="00982371"/>
    <w:rsid w:val="00992D17"/>
    <w:rsid w:val="00996EED"/>
    <w:rsid w:val="009C7380"/>
    <w:rsid w:val="009D437C"/>
    <w:rsid w:val="009D49C8"/>
    <w:rsid w:val="009E06DF"/>
    <w:rsid w:val="009E3115"/>
    <w:rsid w:val="009F288C"/>
    <w:rsid w:val="009F6012"/>
    <w:rsid w:val="00A100A2"/>
    <w:rsid w:val="00A1114A"/>
    <w:rsid w:val="00A24820"/>
    <w:rsid w:val="00A4614D"/>
    <w:rsid w:val="00A54C30"/>
    <w:rsid w:val="00A72CB2"/>
    <w:rsid w:val="00A72E74"/>
    <w:rsid w:val="00A735E0"/>
    <w:rsid w:val="00A75554"/>
    <w:rsid w:val="00AA012F"/>
    <w:rsid w:val="00AA69CA"/>
    <w:rsid w:val="00AB0503"/>
    <w:rsid w:val="00AD241A"/>
    <w:rsid w:val="00AE20CD"/>
    <w:rsid w:val="00B040FC"/>
    <w:rsid w:val="00B12797"/>
    <w:rsid w:val="00B142A1"/>
    <w:rsid w:val="00B1701F"/>
    <w:rsid w:val="00B2218A"/>
    <w:rsid w:val="00B3412C"/>
    <w:rsid w:val="00B342AF"/>
    <w:rsid w:val="00B51E05"/>
    <w:rsid w:val="00B54F4F"/>
    <w:rsid w:val="00B75202"/>
    <w:rsid w:val="00B8141D"/>
    <w:rsid w:val="00B9213C"/>
    <w:rsid w:val="00BB0680"/>
    <w:rsid w:val="00BB5A2D"/>
    <w:rsid w:val="00BD7493"/>
    <w:rsid w:val="00BE1C15"/>
    <w:rsid w:val="00BF05EE"/>
    <w:rsid w:val="00BF2315"/>
    <w:rsid w:val="00C00554"/>
    <w:rsid w:val="00C24E05"/>
    <w:rsid w:val="00C262FC"/>
    <w:rsid w:val="00C45A5C"/>
    <w:rsid w:val="00C54B85"/>
    <w:rsid w:val="00C70E0B"/>
    <w:rsid w:val="00C93FEE"/>
    <w:rsid w:val="00CA5245"/>
    <w:rsid w:val="00CA63DE"/>
    <w:rsid w:val="00CB6A54"/>
    <w:rsid w:val="00CC6A78"/>
    <w:rsid w:val="00CE46FC"/>
    <w:rsid w:val="00CF7353"/>
    <w:rsid w:val="00D016A2"/>
    <w:rsid w:val="00D10981"/>
    <w:rsid w:val="00D126FA"/>
    <w:rsid w:val="00D12BE7"/>
    <w:rsid w:val="00D20F64"/>
    <w:rsid w:val="00D32817"/>
    <w:rsid w:val="00D54544"/>
    <w:rsid w:val="00D56BB4"/>
    <w:rsid w:val="00D642E4"/>
    <w:rsid w:val="00D70E50"/>
    <w:rsid w:val="00D72AF4"/>
    <w:rsid w:val="00DA2148"/>
    <w:rsid w:val="00DA3DB1"/>
    <w:rsid w:val="00DA7DD4"/>
    <w:rsid w:val="00DC7394"/>
    <w:rsid w:val="00DD6B0E"/>
    <w:rsid w:val="00DF399F"/>
    <w:rsid w:val="00DF6C13"/>
    <w:rsid w:val="00E236AC"/>
    <w:rsid w:val="00E27D12"/>
    <w:rsid w:val="00E30876"/>
    <w:rsid w:val="00E50148"/>
    <w:rsid w:val="00E531CB"/>
    <w:rsid w:val="00E571E2"/>
    <w:rsid w:val="00E730EE"/>
    <w:rsid w:val="00E763B0"/>
    <w:rsid w:val="00EA5F18"/>
    <w:rsid w:val="00EB08F4"/>
    <w:rsid w:val="00EB0E2C"/>
    <w:rsid w:val="00EC04DB"/>
    <w:rsid w:val="00ED2AEA"/>
    <w:rsid w:val="00EF2D98"/>
    <w:rsid w:val="00F04380"/>
    <w:rsid w:val="00F05798"/>
    <w:rsid w:val="00F14C14"/>
    <w:rsid w:val="00F26917"/>
    <w:rsid w:val="00F2795B"/>
    <w:rsid w:val="00F4115E"/>
    <w:rsid w:val="00F44A1C"/>
    <w:rsid w:val="00F56D3E"/>
    <w:rsid w:val="00F609A3"/>
    <w:rsid w:val="00F624B0"/>
    <w:rsid w:val="00F733E2"/>
    <w:rsid w:val="00F82AF1"/>
    <w:rsid w:val="00F83217"/>
    <w:rsid w:val="00FA57C5"/>
    <w:rsid w:val="00FB27EC"/>
    <w:rsid w:val="00FE4BF6"/>
    <w:rsid w:val="00FE5F02"/>
    <w:rsid w:val="00FF0417"/>
    <w:rsid w:val="00FF1AF0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B19D"/>
  <w15:chartTrackingRefBased/>
  <w15:docId w15:val="{915152E2-7D0D-48B2-9488-981E42C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4B0B"/>
    <w:pPr>
      <w:keepNext/>
      <w:keepLines/>
      <w:numPr>
        <w:numId w:val="29"/>
      </w:numPr>
      <w:spacing w:before="240"/>
      <w:ind w:hanging="720"/>
      <w:contextualSpacing/>
      <w:outlineLvl w:val="0"/>
    </w:pPr>
    <w:rPr>
      <w:rFonts w:eastAsiaTheme="majorEastAsia" w:cstheme="majorBidi"/>
      <w:b/>
      <w:color w:val="0156A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B"/>
    <w:rPr>
      <w:rFonts w:eastAsiaTheme="majorEastAsia" w:cstheme="majorBidi"/>
      <w:b/>
      <w:color w:val="0156A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0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115"/>
  </w:style>
  <w:style w:type="paragraph" w:styleId="Footer">
    <w:name w:val="footer"/>
    <w:basedOn w:val="Normal"/>
    <w:link w:val="FooterChar"/>
    <w:uiPriority w:val="99"/>
    <w:unhideWhenUsed/>
    <w:rsid w:val="009E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599">
          <w:marLeft w:val="108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97">
          <w:marLeft w:val="108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53">
          <w:marLeft w:val="108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46">
          <w:marLeft w:val="108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08">
          <w:marLeft w:val="108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86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329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68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6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276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866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689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399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55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394">
          <w:marLeft w:val="109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8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5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412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55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11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292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34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5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8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80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40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37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8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dy.gonzalez@dor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la.harper@dor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cia.lucas@dor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inette.deboisblanc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158317CB874DBDE31248EB0499A3" ma:contentTypeVersion="8" ma:contentTypeDescription="Create a new document." ma:contentTypeScope="" ma:versionID="47edd1d7d91280231526ac7e45686623">
  <xsd:schema xmlns:xsd="http://www.w3.org/2001/XMLSchema" xmlns:xs="http://www.w3.org/2001/XMLSchema" xmlns:p="http://schemas.microsoft.com/office/2006/metadata/properties" xmlns:ns1="http://schemas.microsoft.com/sharepoint/v3" xmlns:ns3="1dccabb8-778c-4ce1-8c3a-c5b8029c65f8" targetNamespace="http://schemas.microsoft.com/office/2006/metadata/properties" ma:root="true" ma:fieldsID="0bbdfe8f6a5f1e0802cbe92b0c3c076f" ns1:_="" ns3:_="">
    <xsd:import namespace="http://schemas.microsoft.com/sharepoint/v3"/>
    <xsd:import namespace="1dccabb8-778c-4ce1-8c3a-c5b8029c6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abb8-778c-4ce1-8c3a-c5b8029c6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72C894-18BA-45E3-9059-95AF2D2AD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EE195-5248-4C12-91CE-8221112CA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cabb8-778c-4ce1-8c3a-c5b8029c6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C884F-228D-43ED-8277-5FF775A69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4C1E7-1D67-44D8-9F10-C896F57603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Foote, Molly@DOR</dc:creator>
  <cp:keywords/>
  <dc:description/>
  <cp:lastModifiedBy>Huynh, Duy@DOR</cp:lastModifiedBy>
  <cp:revision>2</cp:revision>
  <dcterms:created xsi:type="dcterms:W3CDTF">2022-12-20T19:37:00Z</dcterms:created>
  <dcterms:modified xsi:type="dcterms:W3CDTF">2022-12-20T19:37:00Z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0x01010093DA158317CB874DBDE31248EB0499A3</vt:lpwstr>
  </property>
</Properties>
</file>