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167B" w14:textId="3F93B250" w:rsidR="009E6A4C" w:rsidRPr="009A05BD" w:rsidRDefault="009E6A4C" w:rsidP="009A05BD">
      <w:pPr>
        <w:pStyle w:val="ListParagraph"/>
        <w:numPr>
          <w:ilvl w:val="0"/>
          <w:numId w:val="16"/>
        </w:numPr>
        <w:spacing w:after="0"/>
        <w:rPr>
          <w:b/>
          <w:bCs/>
        </w:rPr>
      </w:pPr>
      <w:r w:rsidRPr="009A05BD">
        <w:rPr>
          <w:b/>
          <w:bCs/>
        </w:rPr>
        <w:t xml:space="preserve">STATE PLAN PROGRESS </w:t>
      </w:r>
      <w:r w:rsidR="0045012C" w:rsidRPr="009A05BD">
        <w:rPr>
          <w:b/>
          <w:bCs/>
        </w:rPr>
        <w:t xml:space="preserve">- </w:t>
      </w:r>
      <w:r w:rsidRPr="009A05BD">
        <w:rPr>
          <w:b/>
          <w:bCs/>
        </w:rPr>
        <w:t>(Program Year 2021-22 Quarters 1-</w:t>
      </w:r>
      <w:r w:rsidR="00F85B20" w:rsidRPr="009A05BD">
        <w:rPr>
          <w:b/>
          <w:bCs/>
        </w:rPr>
        <w:t>4</w:t>
      </w:r>
      <w:r w:rsidRPr="009A05BD">
        <w:rPr>
          <w:b/>
          <w:bCs/>
        </w:rPr>
        <w:t>)</w:t>
      </w:r>
    </w:p>
    <w:p w14:paraId="028843AE" w14:textId="3E22AEE5" w:rsidR="009E6A4C" w:rsidRPr="009E6A4C" w:rsidRDefault="00F85B20" w:rsidP="009A05BD">
      <w:pPr>
        <w:pStyle w:val="ListParagraph"/>
        <w:numPr>
          <w:ilvl w:val="1"/>
          <w:numId w:val="8"/>
        </w:numPr>
        <w:spacing w:after="0"/>
      </w:pPr>
      <w:r>
        <w:t>Presentation to</w:t>
      </w:r>
      <w:r w:rsidR="009E6A4C">
        <w:t xml:space="preserve"> </w:t>
      </w:r>
      <w:r w:rsidR="55C3462B">
        <w:t>SRC</w:t>
      </w:r>
    </w:p>
    <w:p w14:paraId="40991944" w14:textId="43DC6B31" w:rsidR="009E6A4C" w:rsidRDefault="55C3462B" w:rsidP="009A05BD">
      <w:pPr>
        <w:pStyle w:val="ListParagraph"/>
        <w:numPr>
          <w:ilvl w:val="1"/>
          <w:numId w:val="8"/>
        </w:numPr>
        <w:spacing w:after="0"/>
      </w:pPr>
      <w:r>
        <w:t>November 30</w:t>
      </w:r>
      <w:r w:rsidRPr="705AE6D1">
        <w:rPr>
          <w:vertAlign w:val="superscript"/>
        </w:rPr>
        <w:t xml:space="preserve">th </w:t>
      </w:r>
      <w:r w:rsidR="009E6A4C">
        <w:t>2022</w:t>
      </w:r>
    </w:p>
    <w:p w14:paraId="7A091774" w14:textId="77777777" w:rsidR="009A05BD" w:rsidRPr="009E6A4C" w:rsidRDefault="009A05BD" w:rsidP="009A05BD">
      <w:pPr>
        <w:pStyle w:val="ListParagraph"/>
        <w:spacing w:after="0"/>
        <w:ind w:left="1080"/>
      </w:pPr>
    </w:p>
    <w:p w14:paraId="78BCD913" w14:textId="299F55C4" w:rsidR="00600354" w:rsidRPr="009A05BD" w:rsidRDefault="009A05BD" w:rsidP="009A05BD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9A05BD">
        <w:rPr>
          <w:b/>
          <w:bCs/>
        </w:rPr>
        <w:t>FALL 2022 STATE PLAN UPDATE</w:t>
      </w:r>
    </w:p>
    <w:p w14:paraId="0FC62417" w14:textId="77777777" w:rsidR="009F77B4" w:rsidRPr="009A05BD" w:rsidRDefault="009F77B4" w:rsidP="009A05BD">
      <w:pPr>
        <w:pStyle w:val="ListParagraph"/>
        <w:numPr>
          <w:ilvl w:val="1"/>
          <w:numId w:val="8"/>
        </w:numPr>
        <w:spacing w:after="0"/>
      </w:pPr>
      <w:r w:rsidRPr="009A05BD">
        <w:t>Current update covers State Plan tracking for Quarters 1 through 4: July 1, 2021, through June 30, 2022. </w:t>
      </w:r>
    </w:p>
    <w:p w14:paraId="3F6333FD" w14:textId="77777777" w:rsidR="009F77B4" w:rsidRPr="009A05BD" w:rsidRDefault="009F77B4" w:rsidP="009A05BD">
      <w:pPr>
        <w:pStyle w:val="ListParagraph"/>
        <w:numPr>
          <w:ilvl w:val="1"/>
          <w:numId w:val="8"/>
        </w:numPr>
        <w:spacing w:after="0"/>
      </w:pPr>
      <w:r w:rsidRPr="009A05BD">
        <w:t>State Plan Modification went into effect July 1, 2022.</w:t>
      </w:r>
    </w:p>
    <w:p w14:paraId="5BCE3C23" w14:textId="77777777" w:rsidR="009F77B4" w:rsidRPr="009A05BD" w:rsidRDefault="009F77B4" w:rsidP="009A05BD">
      <w:pPr>
        <w:pStyle w:val="ListParagraph"/>
        <w:numPr>
          <w:ilvl w:val="1"/>
          <w:numId w:val="8"/>
        </w:numPr>
        <w:spacing w:after="0"/>
      </w:pPr>
      <w:r w:rsidRPr="009A05BD">
        <w:t xml:space="preserve">Next State Plan Quarterly update will report on the few objectives that were changed in the State Plan Modification. </w:t>
      </w:r>
    </w:p>
    <w:p w14:paraId="0486C473" w14:textId="455CE7A7" w:rsidR="00600354" w:rsidRDefault="009F77B4" w:rsidP="009A05BD">
      <w:pPr>
        <w:pStyle w:val="ListParagraph"/>
        <w:numPr>
          <w:ilvl w:val="2"/>
          <w:numId w:val="8"/>
        </w:numPr>
        <w:spacing w:after="0"/>
      </w:pPr>
      <w:r w:rsidRPr="009A05BD">
        <w:t>Updated some of the objectives to modify the way that progress was being tracked.</w:t>
      </w:r>
    </w:p>
    <w:p w14:paraId="182FCE5B" w14:textId="77777777" w:rsidR="009A05BD" w:rsidRPr="009A05BD" w:rsidRDefault="009A05BD" w:rsidP="009A05BD">
      <w:pPr>
        <w:pStyle w:val="ListParagraph"/>
        <w:spacing w:after="0"/>
        <w:ind w:left="1800"/>
      </w:pPr>
    </w:p>
    <w:p w14:paraId="685CA6E0" w14:textId="10700DD7" w:rsidR="009E6A4C" w:rsidRPr="009A05BD" w:rsidRDefault="009E6A4C" w:rsidP="009A05BD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9A05BD">
        <w:rPr>
          <w:b/>
          <w:bCs/>
        </w:rPr>
        <w:t>GOAL 1 - PROVIDING EFFECTIVE VR SERVICES</w:t>
      </w: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917"/>
        <w:gridCol w:w="2493"/>
        <w:gridCol w:w="1809"/>
        <w:gridCol w:w="1737"/>
        <w:gridCol w:w="1447"/>
        <w:gridCol w:w="1523"/>
      </w:tblGrid>
      <w:tr w:rsidR="00C43C6A" w:rsidRPr="009E6A4C" w14:paraId="0AD90F8A" w14:textId="77777777" w:rsidTr="0068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62" w:type="pct"/>
            <w:shd w:val="clear" w:color="auto" w:fill="D9D9D9" w:themeFill="background1" w:themeFillShade="D9"/>
            <w:hideMark/>
          </w:tcPr>
          <w:p w14:paraId="353097A6" w14:textId="77777777" w:rsidR="009E6A4C" w:rsidRPr="00686FC3" w:rsidRDefault="009E6A4C" w:rsidP="009A05BD">
            <w:pPr>
              <w:rPr>
                <w:rFonts w:eastAsia="Times New Roman" w:cs="Arial"/>
                <w:szCs w:val="28"/>
              </w:rPr>
            </w:pPr>
            <w:r w:rsidRPr="00686FC3">
              <w:rPr>
                <w:rFonts w:eastAsia="Times New Roman" w:cs="Arial"/>
                <w:color w:val="000000"/>
                <w:kern w:val="24"/>
                <w:szCs w:val="28"/>
              </w:rPr>
              <w:t>OBJ</w:t>
            </w:r>
          </w:p>
        </w:tc>
        <w:tc>
          <w:tcPr>
            <w:tcW w:w="1256" w:type="pct"/>
            <w:shd w:val="clear" w:color="auto" w:fill="D9D9D9" w:themeFill="background1" w:themeFillShade="D9"/>
            <w:hideMark/>
          </w:tcPr>
          <w:p w14:paraId="243699F1" w14:textId="77777777" w:rsidR="009E6A4C" w:rsidRPr="00686FC3" w:rsidRDefault="009E6A4C" w:rsidP="009A05BD">
            <w:pPr>
              <w:rPr>
                <w:rFonts w:eastAsia="Times New Roman" w:cs="Arial"/>
                <w:szCs w:val="28"/>
              </w:rPr>
            </w:pPr>
            <w:r w:rsidRPr="00686FC3">
              <w:rPr>
                <w:rFonts w:eastAsia="Times New Roman" w:cs="Arial"/>
                <w:color w:val="000000"/>
                <w:kern w:val="24"/>
                <w:szCs w:val="28"/>
              </w:rPr>
              <w:t>TRACKING</w:t>
            </w:r>
          </w:p>
        </w:tc>
        <w:tc>
          <w:tcPr>
            <w:tcW w:w="911" w:type="pct"/>
            <w:shd w:val="clear" w:color="auto" w:fill="D9D9D9" w:themeFill="background1" w:themeFillShade="D9"/>
            <w:hideMark/>
          </w:tcPr>
          <w:p w14:paraId="5DBC75D6" w14:textId="77777777" w:rsidR="009E6A4C" w:rsidRPr="00686FC3" w:rsidRDefault="009E6A4C" w:rsidP="009A05BD">
            <w:pPr>
              <w:rPr>
                <w:rFonts w:eastAsia="Times New Roman" w:cs="Arial"/>
                <w:szCs w:val="28"/>
              </w:rPr>
            </w:pPr>
            <w:r w:rsidRPr="00686FC3">
              <w:rPr>
                <w:rFonts w:eastAsia="Times New Roman" w:cs="Arial"/>
                <w:color w:val="000000"/>
                <w:kern w:val="24"/>
                <w:szCs w:val="28"/>
              </w:rPr>
              <w:t>BASELINE</w:t>
            </w:r>
          </w:p>
        </w:tc>
        <w:tc>
          <w:tcPr>
            <w:tcW w:w="875" w:type="pct"/>
            <w:shd w:val="clear" w:color="auto" w:fill="D9D9D9" w:themeFill="background1" w:themeFillShade="D9"/>
            <w:hideMark/>
          </w:tcPr>
          <w:p w14:paraId="220170EE" w14:textId="77777777" w:rsidR="009E6A4C" w:rsidRPr="00686FC3" w:rsidRDefault="009E6A4C" w:rsidP="009A05BD">
            <w:pPr>
              <w:rPr>
                <w:rFonts w:eastAsia="Times New Roman" w:cs="Arial"/>
                <w:szCs w:val="28"/>
              </w:rPr>
            </w:pPr>
            <w:r w:rsidRPr="00686FC3">
              <w:rPr>
                <w:rFonts w:eastAsia="Times New Roman" w:cs="Arial"/>
                <w:color w:val="000000"/>
                <w:kern w:val="24"/>
                <w:szCs w:val="28"/>
              </w:rPr>
              <w:t>GOAL</w:t>
            </w:r>
          </w:p>
          <w:p w14:paraId="2C561A4D" w14:textId="77777777" w:rsidR="009E6A4C" w:rsidRPr="00686FC3" w:rsidRDefault="009E6A4C" w:rsidP="009A05BD">
            <w:pPr>
              <w:rPr>
                <w:rFonts w:eastAsia="Times New Roman" w:cs="Arial"/>
                <w:szCs w:val="28"/>
              </w:rPr>
            </w:pPr>
            <w:r w:rsidRPr="00686FC3">
              <w:rPr>
                <w:rFonts w:eastAsia="Times New Roman" w:cs="Arial"/>
                <w:color w:val="000000"/>
                <w:kern w:val="24"/>
                <w:szCs w:val="28"/>
              </w:rPr>
              <w:t>(PY 2021)</w:t>
            </w:r>
          </w:p>
        </w:tc>
        <w:tc>
          <w:tcPr>
            <w:tcW w:w="729" w:type="pct"/>
            <w:shd w:val="clear" w:color="auto" w:fill="D9D9D9" w:themeFill="background1" w:themeFillShade="D9"/>
            <w:hideMark/>
          </w:tcPr>
          <w:p w14:paraId="7E3BCC84" w14:textId="77777777" w:rsidR="009E6A4C" w:rsidRPr="00686FC3" w:rsidRDefault="009E6A4C" w:rsidP="009A05BD">
            <w:pPr>
              <w:rPr>
                <w:rFonts w:eastAsia="Times New Roman" w:cs="Arial"/>
                <w:szCs w:val="28"/>
              </w:rPr>
            </w:pPr>
            <w:r w:rsidRPr="00686FC3">
              <w:rPr>
                <w:rFonts w:eastAsia="Times New Roman" w:cs="Arial"/>
                <w:color w:val="000000"/>
                <w:kern w:val="24"/>
                <w:szCs w:val="28"/>
              </w:rPr>
              <w:t>DOR</w:t>
            </w:r>
          </w:p>
          <w:p w14:paraId="5721EE45" w14:textId="77777777" w:rsidR="009E6A4C" w:rsidRPr="00686FC3" w:rsidRDefault="009E6A4C" w:rsidP="009A05BD">
            <w:pPr>
              <w:rPr>
                <w:rFonts w:eastAsia="Times New Roman" w:cs="Arial"/>
                <w:szCs w:val="28"/>
              </w:rPr>
            </w:pPr>
            <w:r w:rsidRPr="00686FC3">
              <w:rPr>
                <w:rFonts w:eastAsia="Times New Roman" w:cs="Arial"/>
                <w:color w:val="000000"/>
                <w:kern w:val="24"/>
                <w:szCs w:val="28"/>
              </w:rPr>
              <w:t>(PY 2021*)</w:t>
            </w:r>
          </w:p>
        </w:tc>
        <w:tc>
          <w:tcPr>
            <w:tcW w:w="767" w:type="pct"/>
            <w:shd w:val="clear" w:color="auto" w:fill="D9D9D9" w:themeFill="background1" w:themeFillShade="D9"/>
            <w:hideMark/>
          </w:tcPr>
          <w:p w14:paraId="4BBEB2E5" w14:textId="77777777" w:rsidR="009E6A4C" w:rsidRPr="00686FC3" w:rsidRDefault="009E6A4C" w:rsidP="009A05BD">
            <w:pPr>
              <w:rPr>
                <w:rFonts w:eastAsia="Times New Roman" w:cs="Arial"/>
                <w:szCs w:val="28"/>
              </w:rPr>
            </w:pPr>
            <w:r w:rsidRPr="00686FC3">
              <w:rPr>
                <w:rFonts w:eastAsia="Times New Roman" w:cs="Arial"/>
                <w:color w:val="000000"/>
                <w:kern w:val="24"/>
                <w:szCs w:val="28"/>
              </w:rPr>
              <w:t>PY 2021 DIFF</w:t>
            </w:r>
          </w:p>
          <w:p w14:paraId="6DE1CF42" w14:textId="77777777" w:rsidR="009E6A4C" w:rsidRPr="00686FC3" w:rsidRDefault="009E6A4C" w:rsidP="009A05BD">
            <w:pPr>
              <w:rPr>
                <w:rFonts w:eastAsia="Times New Roman" w:cs="Arial"/>
                <w:szCs w:val="28"/>
              </w:rPr>
            </w:pPr>
            <w:r w:rsidRPr="00686FC3">
              <w:rPr>
                <w:rFonts w:eastAsia="Times New Roman" w:cs="Arial"/>
                <w:color w:val="000000"/>
                <w:kern w:val="24"/>
                <w:szCs w:val="28"/>
              </w:rPr>
              <w:t>(DOR – GOAL)</w:t>
            </w:r>
          </w:p>
        </w:tc>
      </w:tr>
      <w:tr w:rsidR="00C43C6A" w:rsidRPr="009E6A4C" w14:paraId="3FB81D89" w14:textId="77777777" w:rsidTr="00686FC3">
        <w:trPr>
          <w:trHeight w:val="20"/>
        </w:trPr>
        <w:tc>
          <w:tcPr>
            <w:tcW w:w="462" w:type="pct"/>
            <w:hideMark/>
          </w:tcPr>
          <w:p w14:paraId="4435DEA6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1.1</w:t>
            </w:r>
          </w:p>
        </w:tc>
        <w:tc>
          <w:tcPr>
            <w:tcW w:w="1256" w:type="pct"/>
            <w:hideMark/>
          </w:tcPr>
          <w:p w14:paraId="61AB6503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Number of consumers that attain credentials</w:t>
            </w:r>
          </w:p>
        </w:tc>
        <w:tc>
          <w:tcPr>
            <w:tcW w:w="911" w:type="pct"/>
            <w:hideMark/>
          </w:tcPr>
          <w:p w14:paraId="074F14B6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1,550</w:t>
            </w:r>
          </w:p>
          <w:p w14:paraId="7FDA3DD0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(PY 2020)</w:t>
            </w:r>
          </w:p>
        </w:tc>
        <w:tc>
          <w:tcPr>
            <w:tcW w:w="875" w:type="pct"/>
            <w:hideMark/>
          </w:tcPr>
          <w:p w14:paraId="72826180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1,628</w:t>
            </w:r>
          </w:p>
          <w:p w14:paraId="0EE35EF8" w14:textId="67BAB481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(Baseline</w:t>
            </w:r>
            <w:r w:rsidR="00C43C6A">
              <w:rPr>
                <w:rFonts w:eastAsia="Times New Roman" w:cs="Arial"/>
                <w:color w:val="000000"/>
                <w:kern w:val="24"/>
                <w:szCs w:val="28"/>
              </w:rPr>
              <w:t xml:space="preserve"> </w:t>
            </w:r>
            <w:r w:rsidR="00C43C6A" w:rsidRPr="009E6A4C">
              <w:rPr>
                <w:rFonts w:eastAsia="Times New Roman" w:cs="Arial"/>
                <w:color w:val="000000"/>
                <w:kern w:val="24"/>
                <w:szCs w:val="28"/>
              </w:rPr>
              <w:t>+</w:t>
            </w:r>
            <w:r w:rsidR="00C43C6A">
              <w:rPr>
                <w:rFonts w:eastAsia="Times New Roman" w:cs="Arial"/>
                <w:color w:val="000000"/>
                <w:kern w:val="24"/>
                <w:szCs w:val="28"/>
              </w:rPr>
              <w:t xml:space="preserve"> </w:t>
            </w:r>
            <w:r w:rsidR="00C43C6A" w:rsidRPr="009E6A4C">
              <w:rPr>
                <w:rFonts w:eastAsia="Times New Roman" w:cs="Arial"/>
                <w:color w:val="000000"/>
                <w:kern w:val="24"/>
                <w:szCs w:val="28"/>
              </w:rPr>
              <w:t>5%</w:t>
            </w: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)</w:t>
            </w:r>
          </w:p>
        </w:tc>
        <w:tc>
          <w:tcPr>
            <w:tcW w:w="729" w:type="pct"/>
            <w:hideMark/>
          </w:tcPr>
          <w:p w14:paraId="43BF001F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TBD</w:t>
            </w:r>
          </w:p>
        </w:tc>
        <w:tc>
          <w:tcPr>
            <w:tcW w:w="767" w:type="pct"/>
            <w:hideMark/>
          </w:tcPr>
          <w:p w14:paraId="11748FAA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TBD</w:t>
            </w:r>
          </w:p>
        </w:tc>
      </w:tr>
      <w:tr w:rsidR="00C43C6A" w:rsidRPr="009E6A4C" w14:paraId="7ED4F0DB" w14:textId="77777777" w:rsidTr="00686FC3">
        <w:trPr>
          <w:trHeight w:val="20"/>
        </w:trPr>
        <w:tc>
          <w:tcPr>
            <w:tcW w:w="462" w:type="pct"/>
            <w:hideMark/>
          </w:tcPr>
          <w:p w14:paraId="1551F421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1.2</w:t>
            </w:r>
          </w:p>
        </w:tc>
        <w:tc>
          <w:tcPr>
            <w:tcW w:w="1256" w:type="pct"/>
            <w:hideMark/>
          </w:tcPr>
          <w:p w14:paraId="040F43EC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Number of consumers that achieve measurable skills gains</w:t>
            </w:r>
          </w:p>
        </w:tc>
        <w:tc>
          <w:tcPr>
            <w:tcW w:w="911" w:type="pct"/>
            <w:hideMark/>
          </w:tcPr>
          <w:p w14:paraId="58AD7579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6,719</w:t>
            </w:r>
          </w:p>
          <w:p w14:paraId="11807A67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(PY 2020)</w:t>
            </w:r>
          </w:p>
        </w:tc>
        <w:tc>
          <w:tcPr>
            <w:tcW w:w="875" w:type="pct"/>
            <w:hideMark/>
          </w:tcPr>
          <w:p w14:paraId="08E473EC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7,055</w:t>
            </w:r>
          </w:p>
          <w:p w14:paraId="3F3FE88B" w14:textId="7B0C60B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(Baseline</w:t>
            </w:r>
            <w:r w:rsidR="00C43C6A">
              <w:rPr>
                <w:rFonts w:eastAsia="Times New Roman" w:cs="Arial"/>
                <w:color w:val="000000"/>
                <w:kern w:val="24"/>
                <w:szCs w:val="28"/>
              </w:rPr>
              <w:t xml:space="preserve"> + 5%</w:t>
            </w: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)</w:t>
            </w:r>
          </w:p>
        </w:tc>
        <w:tc>
          <w:tcPr>
            <w:tcW w:w="729" w:type="pct"/>
            <w:hideMark/>
          </w:tcPr>
          <w:p w14:paraId="11C90519" w14:textId="770A7EE8" w:rsidR="009E6A4C" w:rsidRPr="009E6A4C" w:rsidRDefault="00EC6C6A" w:rsidP="009A05BD">
            <w:pPr>
              <w:jc w:val="center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2,174*</w:t>
            </w:r>
          </w:p>
        </w:tc>
        <w:tc>
          <w:tcPr>
            <w:tcW w:w="767" w:type="pct"/>
            <w:hideMark/>
          </w:tcPr>
          <w:p w14:paraId="67D5596F" w14:textId="4671AB5F" w:rsidR="009E6A4C" w:rsidRPr="009E6A4C" w:rsidRDefault="00EC6C6A" w:rsidP="009A05BD">
            <w:pPr>
              <w:jc w:val="center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color w:val="000000"/>
                <w:kern w:val="24"/>
                <w:szCs w:val="28"/>
              </w:rPr>
              <w:t>30.8%</w:t>
            </w:r>
            <w:r w:rsidR="00B05E68">
              <w:rPr>
                <w:rFonts w:eastAsia="Times New Roman" w:cs="Arial"/>
                <w:color w:val="000000"/>
                <w:kern w:val="24"/>
                <w:szCs w:val="28"/>
              </w:rPr>
              <w:t xml:space="preserve"> </w:t>
            </w:r>
            <w:r w:rsidR="00B66A11">
              <w:rPr>
                <w:rFonts w:eastAsia="Times New Roman" w:cs="Arial"/>
                <w:color w:val="000000"/>
                <w:kern w:val="24"/>
                <w:szCs w:val="28"/>
              </w:rPr>
              <w:t>(-</w:t>
            </w:r>
            <w:r w:rsidR="00D0001B">
              <w:rPr>
                <w:rFonts w:eastAsia="Times New Roman" w:cs="Arial"/>
                <w:color w:val="000000"/>
                <w:kern w:val="24"/>
                <w:szCs w:val="28"/>
              </w:rPr>
              <w:t>4,881)</w:t>
            </w:r>
          </w:p>
        </w:tc>
      </w:tr>
      <w:tr w:rsidR="00C43C6A" w:rsidRPr="009E6A4C" w14:paraId="39C5FBB5" w14:textId="77777777" w:rsidTr="00686FC3">
        <w:trPr>
          <w:trHeight w:val="20"/>
        </w:trPr>
        <w:tc>
          <w:tcPr>
            <w:tcW w:w="462" w:type="pct"/>
            <w:hideMark/>
          </w:tcPr>
          <w:p w14:paraId="4A28F339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1.3</w:t>
            </w:r>
          </w:p>
        </w:tc>
        <w:tc>
          <w:tcPr>
            <w:tcW w:w="1256" w:type="pct"/>
            <w:hideMark/>
          </w:tcPr>
          <w:p w14:paraId="2007C0AE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Average consumer wage at closure</w:t>
            </w:r>
          </w:p>
        </w:tc>
        <w:tc>
          <w:tcPr>
            <w:tcW w:w="911" w:type="pct"/>
            <w:hideMark/>
          </w:tcPr>
          <w:p w14:paraId="6477870F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$16.48</w:t>
            </w:r>
          </w:p>
          <w:p w14:paraId="58853EF6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(PY 2019)</w:t>
            </w:r>
          </w:p>
        </w:tc>
        <w:tc>
          <w:tcPr>
            <w:tcW w:w="875" w:type="pct"/>
            <w:hideMark/>
          </w:tcPr>
          <w:p w14:paraId="0ACD4E85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$19.78</w:t>
            </w:r>
          </w:p>
          <w:p w14:paraId="0149EE0E" w14:textId="06483333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(Baseline</w:t>
            </w:r>
            <w:r w:rsidR="00C43C6A">
              <w:rPr>
                <w:rFonts w:eastAsia="Times New Roman" w:cs="Arial"/>
                <w:color w:val="000000"/>
                <w:kern w:val="24"/>
                <w:szCs w:val="28"/>
              </w:rPr>
              <w:t xml:space="preserve"> + 20%</w:t>
            </w: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)</w:t>
            </w:r>
          </w:p>
        </w:tc>
        <w:tc>
          <w:tcPr>
            <w:tcW w:w="729" w:type="pct"/>
            <w:hideMark/>
          </w:tcPr>
          <w:p w14:paraId="0C3E493C" w14:textId="2B013B24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$</w:t>
            </w:r>
            <w:r w:rsidR="00B05E68">
              <w:rPr>
                <w:rFonts w:eastAsia="Times New Roman" w:cs="Arial"/>
                <w:color w:val="000000"/>
                <w:kern w:val="24"/>
                <w:szCs w:val="28"/>
              </w:rPr>
              <w:t>19.30**</w:t>
            </w:r>
          </w:p>
        </w:tc>
        <w:tc>
          <w:tcPr>
            <w:tcW w:w="767" w:type="pct"/>
            <w:hideMark/>
          </w:tcPr>
          <w:p w14:paraId="4C8C347A" w14:textId="256E7E18" w:rsidR="009E6A4C" w:rsidRPr="009E6A4C" w:rsidRDefault="00D975C9" w:rsidP="009A05BD">
            <w:pPr>
              <w:jc w:val="center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color w:val="000000"/>
                <w:kern w:val="24"/>
                <w:szCs w:val="28"/>
              </w:rPr>
              <w:t>97.5% (</w:t>
            </w:r>
            <w:r w:rsidR="009E6A4C" w:rsidRPr="009E6A4C">
              <w:rPr>
                <w:rFonts w:eastAsia="Times New Roman" w:cs="Arial"/>
                <w:color w:val="000000"/>
                <w:kern w:val="24"/>
                <w:szCs w:val="28"/>
              </w:rPr>
              <w:t>-$</w:t>
            </w:r>
            <w:r w:rsidR="00341D1F">
              <w:rPr>
                <w:rFonts w:eastAsia="Times New Roman" w:cs="Arial"/>
                <w:color w:val="000000"/>
                <w:kern w:val="24"/>
                <w:szCs w:val="28"/>
              </w:rPr>
              <w:t>0.48</w:t>
            </w:r>
            <w:r>
              <w:rPr>
                <w:rFonts w:eastAsia="Times New Roman" w:cs="Arial"/>
                <w:color w:val="000000"/>
                <w:kern w:val="24"/>
                <w:szCs w:val="28"/>
              </w:rPr>
              <w:t>)</w:t>
            </w:r>
          </w:p>
        </w:tc>
      </w:tr>
    </w:tbl>
    <w:p w14:paraId="63B7B4D4" w14:textId="77777777" w:rsidR="009A05BD" w:rsidRPr="00B05E68" w:rsidRDefault="009A05BD" w:rsidP="009A05BD">
      <w:pPr>
        <w:spacing w:after="0" w:line="240" w:lineRule="auto"/>
        <w:rPr>
          <w:rFonts w:eastAsia="Times New Roman" w:cs="Arial"/>
          <w:i/>
          <w:iCs/>
          <w:color w:val="000000"/>
          <w:kern w:val="24"/>
          <w:szCs w:val="28"/>
        </w:rPr>
      </w:pPr>
      <w:r w:rsidRPr="00B05E68">
        <w:rPr>
          <w:rFonts w:eastAsia="Times New Roman" w:cs="Arial"/>
          <w:i/>
          <w:iCs/>
          <w:color w:val="000000"/>
          <w:kern w:val="24"/>
          <w:szCs w:val="28"/>
        </w:rPr>
        <w:t>*Data shown represents Program Year 2021 Q1, Q2 and Q3 from RSA's dashboards (July 1, 2021, through March 31, 2022) for Objective 1.2</w:t>
      </w:r>
      <w:r>
        <w:rPr>
          <w:rFonts w:eastAsia="Times New Roman" w:cs="Arial"/>
          <w:i/>
          <w:iCs/>
          <w:color w:val="000000"/>
          <w:kern w:val="24"/>
          <w:szCs w:val="28"/>
        </w:rPr>
        <w:t xml:space="preserve">. </w:t>
      </w:r>
    </w:p>
    <w:p w14:paraId="6FE73AFA" w14:textId="2B756595" w:rsidR="009A05BD" w:rsidRDefault="009A05BD" w:rsidP="009A05BD">
      <w:pPr>
        <w:spacing w:after="0" w:line="240" w:lineRule="auto"/>
        <w:rPr>
          <w:rFonts w:eastAsia="Times New Roman" w:cs="Arial"/>
          <w:i/>
          <w:iCs/>
          <w:color w:val="000000"/>
          <w:kern w:val="24"/>
          <w:szCs w:val="28"/>
        </w:rPr>
      </w:pPr>
      <w:r w:rsidRPr="00B05E68">
        <w:rPr>
          <w:rFonts w:eastAsia="Times New Roman" w:cs="Arial"/>
          <w:i/>
          <w:iCs/>
          <w:color w:val="000000"/>
          <w:kern w:val="24"/>
          <w:szCs w:val="28"/>
        </w:rPr>
        <w:t>**Data shown represents Program Year 2021 Q1 through Q4 (July 1, 2021, through June 30, 2022) for Objective 1.3. </w:t>
      </w:r>
    </w:p>
    <w:p w14:paraId="51C6DD52" w14:textId="5525649C" w:rsidR="009A05BD" w:rsidRDefault="009A05BD" w:rsidP="009A05BD">
      <w:pPr>
        <w:spacing w:after="0"/>
        <w:rPr>
          <w:rFonts w:eastAsia="Times New Roman" w:cs="Arial"/>
          <w:i/>
          <w:iCs/>
          <w:color w:val="000000"/>
          <w:kern w:val="24"/>
          <w:szCs w:val="28"/>
        </w:rPr>
      </w:pPr>
      <w:r>
        <w:rPr>
          <w:rFonts w:eastAsia="Times New Roman" w:cs="Arial"/>
          <w:i/>
          <w:iCs/>
          <w:color w:val="000000"/>
          <w:kern w:val="24"/>
          <w:szCs w:val="28"/>
        </w:rPr>
        <w:br w:type="page"/>
      </w:r>
    </w:p>
    <w:p w14:paraId="1AB942BA" w14:textId="207AAB04" w:rsidR="009E6A4C" w:rsidRPr="009A05BD" w:rsidRDefault="009E6A4C" w:rsidP="009A05BD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9A05BD">
        <w:rPr>
          <w:b/>
          <w:bCs/>
        </w:rPr>
        <w:lastRenderedPageBreak/>
        <w:t>GOAL 2 - SUPPORTING CONSUMER EMPLOYMENT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917"/>
        <w:gridCol w:w="1951"/>
        <w:gridCol w:w="2370"/>
        <w:gridCol w:w="1747"/>
        <w:gridCol w:w="1265"/>
        <w:gridCol w:w="1676"/>
      </w:tblGrid>
      <w:tr w:rsidR="00C43C6A" w:rsidRPr="009E6A4C" w14:paraId="60F17937" w14:textId="77777777" w:rsidTr="00686FC3">
        <w:trPr>
          <w:trHeight w:val="20"/>
        </w:trPr>
        <w:tc>
          <w:tcPr>
            <w:tcW w:w="462" w:type="pct"/>
            <w:shd w:val="clear" w:color="auto" w:fill="D9D9D9" w:themeFill="background1" w:themeFillShade="D9"/>
            <w:hideMark/>
          </w:tcPr>
          <w:p w14:paraId="450FF62C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OBJ</w:t>
            </w:r>
          </w:p>
        </w:tc>
        <w:tc>
          <w:tcPr>
            <w:tcW w:w="983" w:type="pct"/>
            <w:shd w:val="clear" w:color="auto" w:fill="D9D9D9" w:themeFill="background1" w:themeFillShade="D9"/>
            <w:hideMark/>
          </w:tcPr>
          <w:p w14:paraId="1063BE4B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TRACKING</w:t>
            </w:r>
          </w:p>
        </w:tc>
        <w:tc>
          <w:tcPr>
            <w:tcW w:w="1194" w:type="pct"/>
            <w:shd w:val="clear" w:color="auto" w:fill="D9D9D9" w:themeFill="background1" w:themeFillShade="D9"/>
            <w:hideMark/>
          </w:tcPr>
          <w:p w14:paraId="5D880196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BASELINE</w:t>
            </w:r>
          </w:p>
          <w:p w14:paraId="45B1B620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(PY 2020)</w:t>
            </w:r>
          </w:p>
        </w:tc>
        <w:tc>
          <w:tcPr>
            <w:tcW w:w="880" w:type="pct"/>
            <w:shd w:val="clear" w:color="auto" w:fill="D9D9D9" w:themeFill="background1" w:themeFillShade="D9"/>
            <w:hideMark/>
          </w:tcPr>
          <w:p w14:paraId="4DA4D346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GOAL</w:t>
            </w:r>
          </w:p>
          <w:p w14:paraId="474A029D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(PY 2021)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14:paraId="7D53273C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DOR</w:t>
            </w:r>
          </w:p>
          <w:p w14:paraId="7A151FB4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(PY 2021*)</w:t>
            </w:r>
          </w:p>
        </w:tc>
        <w:tc>
          <w:tcPr>
            <w:tcW w:w="844" w:type="pct"/>
            <w:shd w:val="clear" w:color="auto" w:fill="D9D9D9" w:themeFill="background1" w:themeFillShade="D9"/>
            <w:hideMark/>
          </w:tcPr>
          <w:p w14:paraId="176E46C9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PY 2021 DIFF</w:t>
            </w:r>
          </w:p>
          <w:p w14:paraId="7C9E5360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(DOR – GOAL)</w:t>
            </w:r>
          </w:p>
        </w:tc>
      </w:tr>
      <w:tr w:rsidR="0045012C" w:rsidRPr="009E6A4C" w14:paraId="0C7494F2" w14:textId="77777777" w:rsidTr="00686FC3">
        <w:trPr>
          <w:trHeight w:val="20"/>
        </w:trPr>
        <w:tc>
          <w:tcPr>
            <w:tcW w:w="462" w:type="pct"/>
            <w:hideMark/>
          </w:tcPr>
          <w:p w14:paraId="2AC43030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2.1</w:t>
            </w:r>
          </w:p>
        </w:tc>
        <w:tc>
          <w:tcPr>
            <w:tcW w:w="983" w:type="pct"/>
            <w:hideMark/>
          </w:tcPr>
          <w:p w14:paraId="437968EB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Number of consumers employed two quarters post exit</w:t>
            </w:r>
          </w:p>
        </w:tc>
        <w:tc>
          <w:tcPr>
            <w:tcW w:w="1194" w:type="pct"/>
            <w:hideMark/>
          </w:tcPr>
          <w:p w14:paraId="23BAE427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9,026</w:t>
            </w:r>
          </w:p>
          <w:p w14:paraId="53CF6B68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</w:t>
            </w:r>
            <w:proofErr w:type="gramStart"/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consumers</w:t>
            </w:r>
            <w:proofErr w:type="gramEnd"/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 xml:space="preserve"> exited 7/1/2019 – 6/30/2020)</w:t>
            </w:r>
          </w:p>
        </w:tc>
        <w:tc>
          <w:tcPr>
            <w:tcW w:w="880" w:type="pct"/>
            <w:hideMark/>
          </w:tcPr>
          <w:p w14:paraId="57585A4F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9,477</w:t>
            </w:r>
          </w:p>
          <w:p w14:paraId="738D6742" w14:textId="3149D2CE" w:rsidR="009E6A4C" w:rsidRPr="009E6A4C" w:rsidRDefault="00C43C6A" w:rsidP="009A05BD">
            <w:pPr>
              <w:jc w:val="center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color w:val="000000"/>
                <w:kern w:val="24"/>
                <w:szCs w:val="28"/>
              </w:rPr>
              <w:t>(</w:t>
            </w: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 xml:space="preserve">Baseline </w:t>
            </w:r>
            <w:r w:rsidR="009E6A4C" w:rsidRPr="009E6A4C">
              <w:rPr>
                <w:rFonts w:eastAsia="Times New Roman" w:cs="Arial"/>
                <w:color w:val="000000"/>
                <w:kern w:val="24"/>
                <w:szCs w:val="28"/>
              </w:rPr>
              <w:t>+</w:t>
            </w:r>
            <w:r>
              <w:rPr>
                <w:rFonts w:eastAsia="Times New Roman" w:cs="Arial"/>
                <w:color w:val="000000"/>
                <w:kern w:val="24"/>
                <w:szCs w:val="28"/>
              </w:rPr>
              <w:t xml:space="preserve"> </w:t>
            </w:r>
            <w:r w:rsidR="009E6A4C" w:rsidRPr="009E6A4C">
              <w:rPr>
                <w:rFonts w:eastAsia="Times New Roman" w:cs="Arial"/>
                <w:color w:val="000000"/>
                <w:kern w:val="24"/>
                <w:szCs w:val="28"/>
              </w:rPr>
              <w:t>5%)</w:t>
            </w:r>
          </w:p>
        </w:tc>
        <w:tc>
          <w:tcPr>
            <w:tcW w:w="637" w:type="pct"/>
            <w:hideMark/>
          </w:tcPr>
          <w:p w14:paraId="12BF31A9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TBD</w:t>
            </w:r>
          </w:p>
        </w:tc>
        <w:tc>
          <w:tcPr>
            <w:tcW w:w="844" w:type="pct"/>
            <w:hideMark/>
          </w:tcPr>
          <w:p w14:paraId="4BE0DC69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TBD</w:t>
            </w:r>
          </w:p>
        </w:tc>
      </w:tr>
      <w:tr w:rsidR="0045012C" w:rsidRPr="009E6A4C" w14:paraId="05660150" w14:textId="77777777" w:rsidTr="00686FC3">
        <w:trPr>
          <w:trHeight w:val="20"/>
        </w:trPr>
        <w:tc>
          <w:tcPr>
            <w:tcW w:w="462" w:type="pct"/>
            <w:hideMark/>
          </w:tcPr>
          <w:p w14:paraId="6F82B17F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b/>
                <w:bCs/>
                <w:color w:val="000000"/>
                <w:kern w:val="24"/>
                <w:szCs w:val="28"/>
              </w:rPr>
              <w:t>2.2</w:t>
            </w:r>
          </w:p>
        </w:tc>
        <w:tc>
          <w:tcPr>
            <w:tcW w:w="983" w:type="pct"/>
            <w:hideMark/>
          </w:tcPr>
          <w:p w14:paraId="03E04E13" w14:textId="77777777" w:rsidR="009E6A4C" w:rsidRPr="009E6A4C" w:rsidRDefault="009E6A4C" w:rsidP="009A05BD">
            <w:pPr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Number of consumers employed four quarters post exit</w:t>
            </w:r>
          </w:p>
        </w:tc>
        <w:tc>
          <w:tcPr>
            <w:tcW w:w="1194" w:type="pct"/>
            <w:hideMark/>
          </w:tcPr>
          <w:p w14:paraId="4F1FE8F9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8,925</w:t>
            </w:r>
          </w:p>
          <w:p w14:paraId="16396988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(</w:t>
            </w:r>
            <w:proofErr w:type="gramStart"/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consumers</w:t>
            </w:r>
            <w:proofErr w:type="gramEnd"/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 xml:space="preserve"> exited 1/1/2019 - 12/31/2019)</w:t>
            </w:r>
          </w:p>
        </w:tc>
        <w:tc>
          <w:tcPr>
            <w:tcW w:w="880" w:type="pct"/>
            <w:hideMark/>
          </w:tcPr>
          <w:p w14:paraId="33924E6A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9,371</w:t>
            </w:r>
          </w:p>
          <w:p w14:paraId="0ED70157" w14:textId="420DDF90" w:rsidR="009E6A4C" w:rsidRPr="009E6A4C" w:rsidRDefault="00C43C6A" w:rsidP="009A05BD">
            <w:pPr>
              <w:jc w:val="center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color w:val="000000"/>
                <w:kern w:val="24"/>
                <w:szCs w:val="28"/>
              </w:rPr>
              <w:t>(</w:t>
            </w: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 xml:space="preserve">Baseline </w:t>
            </w:r>
            <w:r w:rsidR="009E6A4C" w:rsidRPr="009E6A4C">
              <w:rPr>
                <w:rFonts w:eastAsia="Times New Roman" w:cs="Arial"/>
                <w:color w:val="000000"/>
                <w:kern w:val="24"/>
                <w:szCs w:val="28"/>
              </w:rPr>
              <w:t>+</w:t>
            </w:r>
            <w:r>
              <w:rPr>
                <w:rFonts w:eastAsia="Times New Roman" w:cs="Arial"/>
                <w:color w:val="000000"/>
                <w:kern w:val="24"/>
                <w:szCs w:val="28"/>
              </w:rPr>
              <w:t xml:space="preserve"> </w:t>
            </w:r>
            <w:r w:rsidR="009E6A4C" w:rsidRPr="009E6A4C">
              <w:rPr>
                <w:rFonts w:eastAsia="Times New Roman" w:cs="Arial"/>
                <w:color w:val="000000"/>
                <w:kern w:val="24"/>
                <w:szCs w:val="28"/>
              </w:rPr>
              <w:t>5%)</w:t>
            </w:r>
          </w:p>
        </w:tc>
        <w:tc>
          <w:tcPr>
            <w:tcW w:w="637" w:type="pct"/>
            <w:hideMark/>
          </w:tcPr>
          <w:p w14:paraId="695B2F5C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TBD</w:t>
            </w:r>
          </w:p>
        </w:tc>
        <w:tc>
          <w:tcPr>
            <w:tcW w:w="844" w:type="pct"/>
            <w:hideMark/>
          </w:tcPr>
          <w:p w14:paraId="6A34C492" w14:textId="77777777" w:rsidR="009E6A4C" w:rsidRPr="009E6A4C" w:rsidRDefault="009E6A4C" w:rsidP="009A05BD">
            <w:pPr>
              <w:jc w:val="center"/>
              <w:rPr>
                <w:rFonts w:eastAsia="Times New Roman" w:cs="Arial"/>
                <w:szCs w:val="28"/>
              </w:rPr>
            </w:pPr>
            <w:r w:rsidRPr="009E6A4C">
              <w:rPr>
                <w:rFonts w:eastAsia="Times New Roman" w:cs="Arial"/>
                <w:color w:val="000000"/>
                <w:kern w:val="24"/>
                <w:szCs w:val="28"/>
              </w:rPr>
              <w:t>TBD</w:t>
            </w:r>
          </w:p>
        </w:tc>
      </w:tr>
    </w:tbl>
    <w:p w14:paraId="3982DDEC" w14:textId="26A23B4C" w:rsidR="009A05BD" w:rsidRDefault="009A05BD" w:rsidP="009A05BD">
      <w:pPr>
        <w:spacing w:after="0" w:line="240" w:lineRule="auto"/>
        <w:rPr>
          <w:rFonts w:eastAsia="Times New Roman" w:cs="Arial"/>
          <w:i/>
          <w:iCs/>
          <w:color w:val="000000"/>
          <w:kern w:val="24"/>
          <w:szCs w:val="28"/>
        </w:rPr>
      </w:pPr>
      <w:r w:rsidRPr="009E6A4C">
        <w:rPr>
          <w:rFonts w:eastAsia="Times New Roman" w:cs="Arial"/>
          <w:i/>
          <w:iCs/>
          <w:color w:val="000000"/>
          <w:kern w:val="24"/>
          <w:szCs w:val="28"/>
        </w:rPr>
        <w:t>*RSA reports this data annually from EDD and it is delayed usually by one quarter. (Source BFFR)</w:t>
      </w:r>
    </w:p>
    <w:p w14:paraId="38C99A2B" w14:textId="77777777" w:rsidR="009A05BD" w:rsidRDefault="009A05BD" w:rsidP="009A05BD">
      <w:pPr>
        <w:spacing w:after="0" w:line="240" w:lineRule="auto"/>
        <w:rPr>
          <w:b/>
          <w:bCs/>
        </w:rPr>
      </w:pPr>
    </w:p>
    <w:p w14:paraId="14BACFA2" w14:textId="5FEF178C" w:rsidR="009E6A4C" w:rsidRPr="009A05BD" w:rsidRDefault="009E6A4C" w:rsidP="009A05BD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9A05BD">
        <w:rPr>
          <w:b/>
          <w:bCs/>
        </w:rPr>
        <w:t xml:space="preserve">GOAL 3 - CREATING PATHWAYS TO EMPLOYMENT 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917"/>
        <w:gridCol w:w="2597"/>
        <w:gridCol w:w="1809"/>
        <w:gridCol w:w="1755"/>
        <w:gridCol w:w="1288"/>
        <w:gridCol w:w="1560"/>
      </w:tblGrid>
      <w:tr w:rsidR="004A75AE" w:rsidRPr="009E6A4C" w14:paraId="53CB732D" w14:textId="77777777" w:rsidTr="00686FC3">
        <w:trPr>
          <w:trHeight w:val="20"/>
        </w:trPr>
        <w:tc>
          <w:tcPr>
            <w:tcW w:w="462" w:type="pct"/>
            <w:shd w:val="clear" w:color="auto" w:fill="D9D9D9" w:themeFill="background1" w:themeFillShade="D9"/>
            <w:hideMark/>
          </w:tcPr>
          <w:p w14:paraId="772342B3" w14:textId="77777777" w:rsidR="009E6A4C" w:rsidRPr="00686FC3" w:rsidRDefault="009E6A4C" w:rsidP="009A05BD">
            <w:r w:rsidRPr="00686FC3">
              <w:rPr>
                <w:b/>
                <w:bCs/>
              </w:rPr>
              <w:t>OBJ</w:t>
            </w:r>
          </w:p>
        </w:tc>
        <w:tc>
          <w:tcPr>
            <w:tcW w:w="1308" w:type="pct"/>
            <w:shd w:val="clear" w:color="auto" w:fill="D9D9D9" w:themeFill="background1" w:themeFillShade="D9"/>
            <w:hideMark/>
          </w:tcPr>
          <w:p w14:paraId="1EC2C85D" w14:textId="77777777" w:rsidR="009E6A4C" w:rsidRPr="00686FC3" w:rsidRDefault="009E6A4C" w:rsidP="009A05BD">
            <w:r w:rsidRPr="00686FC3">
              <w:rPr>
                <w:b/>
                <w:bCs/>
              </w:rPr>
              <w:t>TRACKING</w:t>
            </w:r>
          </w:p>
        </w:tc>
        <w:tc>
          <w:tcPr>
            <w:tcW w:w="911" w:type="pct"/>
            <w:shd w:val="clear" w:color="auto" w:fill="D9D9D9" w:themeFill="background1" w:themeFillShade="D9"/>
            <w:hideMark/>
          </w:tcPr>
          <w:p w14:paraId="318D4AAA" w14:textId="77777777" w:rsidR="009E6A4C" w:rsidRPr="00686FC3" w:rsidRDefault="009E6A4C" w:rsidP="009A05BD">
            <w:r w:rsidRPr="00686FC3">
              <w:rPr>
                <w:b/>
                <w:bCs/>
              </w:rPr>
              <w:t>BASELINE</w:t>
            </w:r>
          </w:p>
          <w:p w14:paraId="14761C0D" w14:textId="77777777" w:rsidR="009E6A4C" w:rsidRPr="00686FC3" w:rsidRDefault="009E6A4C" w:rsidP="009A05BD">
            <w:r w:rsidRPr="00686FC3">
              <w:t>(PY 2019)</w:t>
            </w:r>
          </w:p>
        </w:tc>
        <w:tc>
          <w:tcPr>
            <w:tcW w:w="884" w:type="pct"/>
            <w:shd w:val="clear" w:color="auto" w:fill="D9D9D9" w:themeFill="background1" w:themeFillShade="D9"/>
            <w:hideMark/>
          </w:tcPr>
          <w:p w14:paraId="121ECC5B" w14:textId="77777777" w:rsidR="009E6A4C" w:rsidRPr="00686FC3" w:rsidRDefault="009E6A4C" w:rsidP="009A05BD">
            <w:r w:rsidRPr="00686FC3">
              <w:rPr>
                <w:b/>
                <w:bCs/>
              </w:rPr>
              <w:t>GOAL</w:t>
            </w:r>
          </w:p>
          <w:p w14:paraId="42928A49" w14:textId="77777777" w:rsidR="009E6A4C" w:rsidRPr="00686FC3" w:rsidRDefault="009E6A4C" w:rsidP="009A05BD">
            <w:r w:rsidRPr="00686FC3">
              <w:t>(PY 2021)</w:t>
            </w:r>
          </w:p>
        </w:tc>
        <w:tc>
          <w:tcPr>
            <w:tcW w:w="649" w:type="pct"/>
            <w:shd w:val="clear" w:color="auto" w:fill="D9D9D9" w:themeFill="background1" w:themeFillShade="D9"/>
            <w:hideMark/>
          </w:tcPr>
          <w:p w14:paraId="0ACFFA73" w14:textId="77777777" w:rsidR="009E6A4C" w:rsidRPr="00686FC3" w:rsidRDefault="009E6A4C" w:rsidP="009A05BD">
            <w:r w:rsidRPr="00686FC3">
              <w:rPr>
                <w:b/>
                <w:bCs/>
              </w:rPr>
              <w:t>DOR</w:t>
            </w:r>
          </w:p>
          <w:p w14:paraId="67C7BEC7" w14:textId="77777777" w:rsidR="009E6A4C" w:rsidRPr="00686FC3" w:rsidRDefault="009E6A4C" w:rsidP="009A05BD">
            <w:r w:rsidRPr="00686FC3">
              <w:t>(PY 2021*)</w:t>
            </w:r>
          </w:p>
        </w:tc>
        <w:tc>
          <w:tcPr>
            <w:tcW w:w="786" w:type="pct"/>
            <w:shd w:val="clear" w:color="auto" w:fill="D9D9D9" w:themeFill="background1" w:themeFillShade="D9"/>
            <w:hideMark/>
          </w:tcPr>
          <w:p w14:paraId="74EED08D" w14:textId="77777777" w:rsidR="009E6A4C" w:rsidRPr="00686FC3" w:rsidRDefault="009E6A4C" w:rsidP="009A05BD">
            <w:r w:rsidRPr="00686FC3">
              <w:rPr>
                <w:b/>
                <w:bCs/>
              </w:rPr>
              <w:t>PY 2021 DIFF</w:t>
            </w:r>
          </w:p>
          <w:p w14:paraId="08C39F85" w14:textId="77777777" w:rsidR="009E6A4C" w:rsidRPr="00686FC3" w:rsidRDefault="009E6A4C" w:rsidP="009A05BD">
            <w:r w:rsidRPr="00686FC3">
              <w:t>(DOR – GOAL)</w:t>
            </w:r>
          </w:p>
        </w:tc>
      </w:tr>
      <w:tr w:rsidR="004A75AE" w:rsidRPr="009E6A4C" w14:paraId="268C197B" w14:textId="77777777" w:rsidTr="00686FC3">
        <w:trPr>
          <w:trHeight w:val="20"/>
        </w:trPr>
        <w:tc>
          <w:tcPr>
            <w:tcW w:w="462" w:type="pct"/>
            <w:hideMark/>
          </w:tcPr>
          <w:p w14:paraId="3F0E7896" w14:textId="77777777" w:rsidR="009E6A4C" w:rsidRPr="009E6A4C" w:rsidRDefault="009E6A4C" w:rsidP="009A05BD">
            <w:r w:rsidRPr="009E6A4C">
              <w:rPr>
                <w:b/>
                <w:bCs/>
              </w:rPr>
              <w:t>3.1</w:t>
            </w:r>
          </w:p>
        </w:tc>
        <w:tc>
          <w:tcPr>
            <w:tcW w:w="1308" w:type="pct"/>
            <w:hideMark/>
          </w:tcPr>
          <w:p w14:paraId="2934FA45" w14:textId="77777777" w:rsidR="009E6A4C" w:rsidRPr="009E6A4C" w:rsidRDefault="009E6A4C" w:rsidP="009A05BD">
            <w:r w:rsidRPr="009E6A4C">
              <w:t>Number of cases unsuccessfully closed for BH consumers</w:t>
            </w:r>
          </w:p>
        </w:tc>
        <w:tc>
          <w:tcPr>
            <w:tcW w:w="911" w:type="pct"/>
            <w:hideMark/>
          </w:tcPr>
          <w:p w14:paraId="7071F27E" w14:textId="77777777" w:rsidR="009E6A4C" w:rsidRPr="009E6A4C" w:rsidRDefault="009E6A4C" w:rsidP="009A05BD">
            <w:pPr>
              <w:jc w:val="center"/>
            </w:pPr>
            <w:r w:rsidRPr="009E6A4C">
              <w:t>6,614</w:t>
            </w:r>
          </w:p>
        </w:tc>
        <w:tc>
          <w:tcPr>
            <w:tcW w:w="884" w:type="pct"/>
            <w:hideMark/>
          </w:tcPr>
          <w:p w14:paraId="5E70CC46" w14:textId="77777777" w:rsidR="009E6A4C" w:rsidRPr="009E6A4C" w:rsidRDefault="009E6A4C" w:rsidP="009A05BD">
            <w:pPr>
              <w:jc w:val="center"/>
            </w:pPr>
            <w:r w:rsidRPr="009E6A4C">
              <w:t>6,217</w:t>
            </w:r>
          </w:p>
          <w:p w14:paraId="2859870D" w14:textId="17CC9B97" w:rsidR="009E6A4C" w:rsidRPr="009E6A4C" w:rsidRDefault="009E6A4C" w:rsidP="009A05BD">
            <w:pPr>
              <w:jc w:val="center"/>
            </w:pPr>
            <w:r w:rsidRPr="009E6A4C">
              <w:t>(Baseline</w:t>
            </w:r>
            <w:r w:rsidR="004A75AE">
              <w:t xml:space="preserve"> – 6%</w:t>
            </w:r>
            <w:r w:rsidRPr="009E6A4C">
              <w:t>)</w:t>
            </w:r>
          </w:p>
        </w:tc>
        <w:tc>
          <w:tcPr>
            <w:tcW w:w="649" w:type="pct"/>
            <w:hideMark/>
          </w:tcPr>
          <w:p w14:paraId="0D9ECD9A" w14:textId="4C484D47" w:rsidR="009E6A4C" w:rsidRPr="009E6A4C" w:rsidRDefault="00341D1F" w:rsidP="009A05BD">
            <w:pPr>
              <w:jc w:val="center"/>
            </w:pPr>
            <w:r>
              <w:t>6,020</w:t>
            </w:r>
          </w:p>
        </w:tc>
        <w:tc>
          <w:tcPr>
            <w:tcW w:w="786" w:type="pct"/>
            <w:hideMark/>
          </w:tcPr>
          <w:p w14:paraId="20423230" w14:textId="621F835B" w:rsidR="009E6A4C" w:rsidRPr="009E6A4C" w:rsidRDefault="00341D1F" w:rsidP="009A05BD">
            <w:pPr>
              <w:jc w:val="center"/>
            </w:pPr>
            <w:r>
              <w:t>96.8%</w:t>
            </w:r>
            <w:r w:rsidR="007C0652">
              <w:t xml:space="preserve"> (-197)</w:t>
            </w:r>
          </w:p>
        </w:tc>
      </w:tr>
      <w:tr w:rsidR="004A75AE" w:rsidRPr="009E6A4C" w14:paraId="4FDAFE73" w14:textId="77777777" w:rsidTr="00686FC3">
        <w:trPr>
          <w:trHeight w:val="20"/>
        </w:trPr>
        <w:tc>
          <w:tcPr>
            <w:tcW w:w="462" w:type="pct"/>
            <w:hideMark/>
          </w:tcPr>
          <w:p w14:paraId="67BA4671" w14:textId="77777777" w:rsidR="009E6A4C" w:rsidRPr="009E6A4C" w:rsidRDefault="009E6A4C" w:rsidP="009A05BD">
            <w:r w:rsidRPr="009E6A4C">
              <w:rPr>
                <w:b/>
                <w:bCs/>
              </w:rPr>
              <w:t>3.2</w:t>
            </w:r>
          </w:p>
        </w:tc>
        <w:tc>
          <w:tcPr>
            <w:tcW w:w="1308" w:type="pct"/>
            <w:hideMark/>
          </w:tcPr>
          <w:p w14:paraId="702D572E" w14:textId="77777777" w:rsidR="009E6A4C" w:rsidRPr="009E6A4C" w:rsidRDefault="009E6A4C" w:rsidP="009A05BD">
            <w:r w:rsidRPr="009E6A4C">
              <w:t>Number of Students receiving work-based learning experiences (</w:t>
            </w:r>
            <w:proofErr w:type="gramStart"/>
            <w:r w:rsidRPr="009E6A4C">
              <w:t>Pre-ETS</w:t>
            </w:r>
            <w:proofErr w:type="gramEnd"/>
            <w:r w:rsidRPr="009E6A4C">
              <w:t xml:space="preserve"> 2)</w:t>
            </w:r>
          </w:p>
        </w:tc>
        <w:tc>
          <w:tcPr>
            <w:tcW w:w="911" w:type="pct"/>
            <w:hideMark/>
          </w:tcPr>
          <w:p w14:paraId="167682C3" w14:textId="77777777" w:rsidR="009E6A4C" w:rsidRPr="009E6A4C" w:rsidRDefault="009E6A4C" w:rsidP="009A05BD">
            <w:pPr>
              <w:jc w:val="center"/>
            </w:pPr>
            <w:r w:rsidRPr="009E6A4C">
              <w:t>11,184</w:t>
            </w:r>
          </w:p>
        </w:tc>
        <w:tc>
          <w:tcPr>
            <w:tcW w:w="884" w:type="pct"/>
            <w:hideMark/>
          </w:tcPr>
          <w:p w14:paraId="5B8340D7" w14:textId="77777777" w:rsidR="009E6A4C" w:rsidRPr="009E6A4C" w:rsidRDefault="009E6A4C" w:rsidP="009A05BD">
            <w:pPr>
              <w:jc w:val="center"/>
            </w:pPr>
            <w:r w:rsidRPr="009E6A4C">
              <w:t>12,302</w:t>
            </w:r>
          </w:p>
          <w:p w14:paraId="555B5551" w14:textId="2138DA48" w:rsidR="009E6A4C" w:rsidRPr="009E6A4C" w:rsidRDefault="009E6A4C" w:rsidP="009A05BD">
            <w:pPr>
              <w:jc w:val="center"/>
            </w:pPr>
            <w:r w:rsidRPr="009E6A4C">
              <w:t>(Baseline</w:t>
            </w:r>
            <w:r w:rsidR="004A75AE">
              <w:t xml:space="preserve"> + 10%</w:t>
            </w:r>
            <w:r w:rsidRPr="009E6A4C">
              <w:t>)</w:t>
            </w:r>
          </w:p>
        </w:tc>
        <w:tc>
          <w:tcPr>
            <w:tcW w:w="649" w:type="pct"/>
            <w:hideMark/>
          </w:tcPr>
          <w:p w14:paraId="2BE4DCC5" w14:textId="01D92F62" w:rsidR="009E6A4C" w:rsidRPr="009E6A4C" w:rsidRDefault="00341D1F" w:rsidP="009A05BD">
            <w:pPr>
              <w:jc w:val="center"/>
            </w:pPr>
            <w:r>
              <w:t>10,378</w:t>
            </w:r>
          </w:p>
        </w:tc>
        <w:tc>
          <w:tcPr>
            <w:tcW w:w="786" w:type="pct"/>
            <w:hideMark/>
          </w:tcPr>
          <w:p w14:paraId="05F62AF7" w14:textId="3873B4A4" w:rsidR="009E6A4C" w:rsidRPr="009E6A4C" w:rsidRDefault="00341D1F" w:rsidP="009A05BD">
            <w:pPr>
              <w:jc w:val="center"/>
            </w:pPr>
            <w:r>
              <w:t>84.4%</w:t>
            </w:r>
            <w:r w:rsidR="007C0652">
              <w:t xml:space="preserve"> (-1,924)</w:t>
            </w:r>
          </w:p>
        </w:tc>
      </w:tr>
      <w:tr w:rsidR="004A75AE" w:rsidRPr="009E6A4C" w14:paraId="20DA0C9B" w14:textId="77777777" w:rsidTr="00686FC3">
        <w:trPr>
          <w:trHeight w:val="20"/>
        </w:trPr>
        <w:tc>
          <w:tcPr>
            <w:tcW w:w="462" w:type="pct"/>
            <w:hideMark/>
          </w:tcPr>
          <w:p w14:paraId="1F606EE0" w14:textId="77777777" w:rsidR="009E6A4C" w:rsidRPr="009E6A4C" w:rsidRDefault="009E6A4C" w:rsidP="009A05BD">
            <w:r w:rsidRPr="009E6A4C">
              <w:rPr>
                <w:b/>
                <w:bCs/>
              </w:rPr>
              <w:t>3.3</w:t>
            </w:r>
          </w:p>
        </w:tc>
        <w:tc>
          <w:tcPr>
            <w:tcW w:w="1308" w:type="pct"/>
            <w:hideMark/>
          </w:tcPr>
          <w:p w14:paraId="518A4CD5" w14:textId="77777777" w:rsidR="009E6A4C" w:rsidRPr="009E6A4C" w:rsidRDefault="009E6A4C" w:rsidP="009A05BD">
            <w:r w:rsidRPr="009E6A4C">
              <w:t>Number of cases unsuccessfully closed for transition age foster youth</w:t>
            </w:r>
          </w:p>
        </w:tc>
        <w:tc>
          <w:tcPr>
            <w:tcW w:w="911" w:type="pct"/>
            <w:hideMark/>
          </w:tcPr>
          <w:p w14:paraId="41B26FD4" w14:textId="77777777" w:rsidR="009E6A4C" w:rsidRPr="009E6A4C" w:rsidRDefault="009E6A4C" w:rsidP="009A05BD">
            <w:pPr>
              <w:jc w:val="center"/>
            </w:pPr>
            <w:r w:rsidRPr="009E6A4C">
              <w:t>232</w:t>
            </w:r>
          </w:p>
        </w:tc>
        <w:tc>
          <w:tcPr>
            <w:tcW w:w="884" w:type="pct"/>
            <w:hideMark/>
          </w:tcPr>
          <w:p w14:paraId="7578F9CB" w14:textId="77777777" w:rsidR="009E6A4C" w:rsidRPr="009E6A4C" w:rsidRDefault="009E6A4C" w:rsidP="009A05BD">
            <w:pPr>
              <w:jc w:val="center"/>
            </w:pPr>
            <w:r w:rsidRPr="009E6A4C">
              <w:t>216</w:t>
            </w:r>
          </w:p>
          <w:p w14:paraId="3D13E286" w14:textId="195D0942" w:rsidR="009E6A4C" w:rsidRPr="009E6A4C" w:rsidRDefault="009E6A4C" w:rsidP="009A05BD">
            <w:pPr>
              <w:jc w:val="center"/>
            </w:pPr>
            <w:r w:rsidRPr="009E6A4C">
              <w:t>(Baseline</w:t>
            </w:r>
            <w:r w:rsidR="004A75AE">
              <w:t xml:space="preserve"> – 6%</w:t>
            </w:r>
            <w:r w:rsidRPr="009E6A4C">
              <w:t>)</w:t>
            </w:r>
          </w:p>
        </w:tc>
        <w:tc>
          <w:tcPr>
            <w:tcW w:w="649" w:type="pct"/>
            <w:hideMark/>
          </w:tcPr>
          <w:p w14:paraId="3EE5F93C" w14:textId="581DB465" w:rsidR="009E6A4C" w:rsidRPr="009E6A4C" w:rsidRDefault="00341D1F" w:rsidP="009A05BD">
            <w:pPr>
              <w:jc w:val="center"/>
            </w:pPr>
            <w:r>
              <w:t>158</w:t>
            </w:r>
          </w:p>
        </w:tc>
        <w:tc>
          <w:tcPr>
            <w:tcW w:w="786" w:type="pct"/>
            <w:hideMark/>
          </w:tcPr>
          <w:p w14:paraId="17974260" w14:textId="0036E8F3" w:rsidR="009E6A4C" w:rsidRPr="009E6A4C" w:rsidRDefault="00341D1F" w:rsidP="009A05BD">
            <w:pPr>
              <w:jc w:val="center"/>
            </w:pPr>
            <w:r>
              <w:t>73.2%</w:t>
            </w:r>
            <w:r w:rsidR="007C0652">
              <w:t xml:space="preserve"> (-58)</w:t>
            </w:r>
          </w:p>
        </w:tc>
      </w:tr>
    </w:tbl>
    <w:p w14:paraId="61526C2A" w14:textId="0F3145BD" w:rsidR="009A05BD" w:rsidRDefault="009A05BD" w:rsidP="009A05BD">
      <w:pPr>
        <w:spacing w:after="0" w:line="240" w:lineRule="auto"/>
        <w:rPr>
          <w:b/>
          <w:bCs/>
        </w:rPr>
      </w:pPr>
      <w:r w:rsidRPr="003E1A66">
        <w:rPr>
          <w:i/>
          <w:iCs/>
        </w:rPr>
        <w:t>*Data shown represents Program Year 2021 Q1 through Q4 (July 1, 2021, through June 30, 2022).</w:t>
      </w:r>
    </w:p>
    <w:p w14:paraId="1B48C642" w14:textId="77777777" w:rsidR="009A05BD" w:rsidRDefault="009A05BD" w:rsidP="009A05BD">
      <w:pPr>
        <w:spacing w:after="0" w:line="240" w:lineRule="auto"/>
        <w:rPr>
          <w:b/>
          <w:bCs/>
        </w:rPr>
      </w:pPr>
    </w:p>
    <w:p w14:paraId="5DBC2B3A" w14:textId="07ACEABE" w:rsidR="009E6A4C" w:rsidRPr="009A05BD" w:rsidRDefault="009E6A4C" w:rsidP="009A05BD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9A05BD">
        <w:rPr>
          <w:b/>
          <w:bCs/>
        </w:rPr>
        <w:lastRenderedPageBreak/>
        <w:t>GOAL 3 - CREATING PATHWAYS TO EMPLOYMENT (cont.)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918"/>
        <w:gridCol w:w="2677"/>
        <w:gridCol w:w="1809"/>
        <w:gridCol w:w="1658"/>
        <w:gridCol w:w="1294"/>
        <w:gridCol w:w="1570"/>
      </w:tblGrid>
      <w:tr w:rsidR="004A75AE" w:rsidRPr="0045012C" w14:paraId="47F04DC1" w14:textId="77777777" w:rsidTr="00686FC3">
        <w:trPr>
          <w:trHeight w:val="20"/>
        </w:trPr>
        <w:tc>
          <w:tcPr>
            <w:tcW w:w="462" w:type="pct"/>
            <w:shd w:val="clear" w:color="auto" w:fill="D9D9D9" w:themeFill="background1" w:themeFillShade="D9"/>
            <w:hideMark/>
          </w:tcPr>
          <w:p w14:paraId="1CC047E7" w14:textId="77777777" w:rsidR="0045012C" w:rsidRPr="0045012C" w:rsidRDefault="0045012C" w:rsidP="009A05BD">
            <w:r w:rsidRPr="0045012C">
              <w:rPr>
                <w:b/>
                <w:bCs/>
              </w:rPr>
              <w:t>OBJ</w:t>
            </w:r>
          </w:p>
        </w:tc>
        <w:tc>
          <w:tcPr>
            <w:tcW w:w="1348" w:type="pct"/>
            <w:shd w:val="clear" w:color="auto" w:fill="D9D9D9" w:themeFill="background1" w:themeFillShade="D9"/>
            <w:hideMark/>
          </w:tcPr>
          <w:p w14:paraId="17932371" w14:textId="77777777" w:rsidR="0045012C" w:rsidRPr="0045012C" w:rsidRDefault="0045012C" w:rsidP="009A05BD">
            <w:r w:rsidRPr="0045012C">
              <w:rPr>
                <w:b/>
                <w:bCs/>
              </w:rPr>
              <w:t>TRACKING</w:t>
            </w:r>
          </w:p>
        </w:tc>
        <w:tc>
          <w:tcPr>
            <w:tcW w:w="911" w:type="pct"/>
            <w:shd w:val="clear" w:color="auto" w:fill="D9D9D9" w:themeFill="background1" w:themeFillShade="D9"/>
            <w:hideMark/>
          </w:tcPr>
          <w:p w14:paraId="02C35FB6" w14:textId="77777777" w:rsidR="0045012C" w:rsidRPr="0045012C" w:rsidRDefault="0045012C" w:rsidP="009A05BD">
            <w:r w:rsidRPr="0045012C">
              <w:rPr>
                <w:b/>
                <w:bCs/>
              </w:rPr>
              <w:t>BASELINE</w:t>
            </w:r>
          </w:p>
        </w:tc>
        <w:tc>
          <w:tcPr>
            <w:tcW w:w="835" w:type="pct"/>
            <w:shd w:val="clear" w:color="auto" w:fill="D9D9D9" w:themeFill="background1" w:themeFillShade="D9"/>
            <w:hideMark/>
          </w:tcPr>
          <w:p w14:paraId="1C3B870C" w14:textId="77777777" w:rsidR="0045012C" w:rsidRPr="0045012C" w:rsidRDefault="0045012C" w:rsidP="009A05BD">
            <w:r w:rsidRPr="0045012C">
              <w:rPr>
                <w:b/>
                <w:bCs/>
              </w:rPr>
              <w:t>GOAL</w:t>
            </w:r>
          </w:p>
          <w:p w14:paraId="32B8A2DA" w14:textId="77777777" w:rsidR="0045012C" w:rsidRPr="0045012C" w:rsidRDefault="0045012C" w:rsidP="009A05BD">
            <w:r w:rsidRPr="0045012C">
              <w:t>(PY 2021)</w:t>
            </w:r>
          </w:p>
        </w:tc>
        <w:tc>
          <w:tcPr>
            <w:tcW w:w="652" w:type="pct"/>
            <w:shd w:val="clear" w:color="auto" w:fill="D9D9D9" w:themeFill="background1" w:themeFillShade="D9"/>
            <w:hideMark/>
          </w:tcPr>
          <w:p w14:paraId="704C62F7" w14:textId="77777777" w:rsidR="0045012C" w:rsidRPr="0045012C" w:rsidRDefault="0045012C" w:rsidP="009A05BD">
            <w:r w:rsidRPr="0045012C">
              <w:rPr>
                <w:b/>
                <w:bCs/>
              </w:rPr>
              <w:t>DOR</w:t>
            </w:r>
          </w:p>
          <w:p w14:paraId="3D7D9727" w14:textId="77777777" w:rsidR="0045012C" w:rsidRPr="0045012C" w:rsidRDefault="0045012C" w:rsidP="009A05BD">
            <w:r w:rsidRPr="0045012C">
              <w:t>(PY 2021*)</w:t>
            </w:r>
          </w:p>
        </w:tc>
        <w:tc>
          <w:tcPr>
            <w:tcW w:w="791" w:type="pct"/>
            <w:shd w:val="clear" w:color="auto" w:fill="D9D9D9" w:themeFill="background1" w:themeFillShade="D9"/>
            <w:hideMark/>
          </w:tcPr>
          <w:p w14:paraId="161C8751" w14:textId="77777777" w:rsidR="0045012C" w:rsidRPr="0045012C" w:rsidRDefault="0045012C" w:rsidP="009A05BD">
            <w:r w:rsidRPr="0045012C">
              <w:rPr>
                <w:b/>
                <w:bCs/>
              </w:rPr>
              <w:t>PY 2021 DIFF</w:t>
            </w:r>
          </w:p>
          <w:p w14:paraId="5F7FE13A" w14:textId="77777777" w:rsidR="0045012C" w:rsidRPr="0045012C" w:rsidRDefault="0045012C" w:rsidP="009A05BD">
            <w:r w:rsidRPr="0045012C">
              <w:t>(DOR – GOAL)</w:t>
            </w:r>
          </w:p>
        </w:tc>
      </w:tr>
      <w:tr w:rsidR="004A75AE" w:rsidRPr="0045012C" w14:paraId="4CE4D645" w14:textId="77777777" w:rsidTr="00686FC3">
        <w:trPr>
          <w:trHeight w:val="20"/>
        </w:trPr>
        <w:tc>
          <w:tcPr>
            <w:tcW w:w="462" w:type="pct"/>
            <w:hideMark/>
          </w:tcPr>
          <w:p w14:paraId="68E3BD3A" w14:textId="77777777" w:rsidR="0045012C" w:rsidRPr="0045012C" w:rsidRDefault="0045012C" w:rsidP="009A05BD">
            <w:r w:rsidRPr="0045012C">
              <w:rPr>
                <w:b/>
                <w:bCs/>
              </w:rPr>
              <w:t>3.4</w:t>
            </w:r>
          </w:p>
        </w:tc>
        <w:tc>
          <w:tcPr>
            <w:tcW w:w="1348" w:type="pct"/>
            <w:hideMark/>
          </w:tcPr>
          <w:p w14:paraId="03DF4B4A" w14:textId="77777777" w:rsidR="0045012C" w:rsidRPr="0045012C" w:rsidRDefault="0045012C" w:rsidP="009A05BD">
            <w:r w:rsidRPr="0045012C">
              <w:t>Number of applications received from individuals who left SMW employment</w:t>
            </w:r>
          </w:p>
        </w:tc>
        <w:tc>
          <w:tcPr>
            <w:tcW w:w="911" w:type="pct"/>
            <w:hideMark/>
          </w:tcPr>
          <w:p w14:paraId="28581AF8" w14:textId="77777777" w:rsidR="0045012C" w:rsidRPr="0045012C" w:rsidRDefault="0045012C" w:rsidP="009A05BD">
            <w:pPr>
              <w:jc w:val="center"/>
            </w:pPr>
            <w:r w:rsidRPr="0045012C">
              <w:t>178</w:t>
            </w:r>
          </w:p>
          <w:p w14:paraId="570F61B3" w14:textId="77777777" w:rsidR="0045012C" w:rsidRPr="0045012C" w:rsidRDefault="0045012C" w:rsidP="009A05BD">
            <w:pPr>
              <w:jc w:val="center"/>
            </w:pPr>
            <w:r w:rsidRPr="0045012C">
              <w:t>(PY 2020)</w:t>
            </w:r>
          </w:p>
        </w:tc>
        <w:tc>
          <w:tcPr>
            <w:tcW w:w="835" w:type="pct"/>
            <w:hideMark/>
          </w:tcPr>
          <w:p w14:paraId="0424066B" w14:textId="77777777" w:rsidR="0045012C" w:rsidRPr="0045012C" w:rsidRDefault="0045012C" w:rsidP="009A05BD">
            <w:pPr>
              <w:jc w:val="center"/>
            </w:pPr>
            <w:r w:rsidRPr="0045012C">
              <w:t>187</w:t>
            </w:r>
          </w:p>
          <w:p w14:paraId="7516EA0B" w14:textId="5086F308" w:rsidR="0045012C" w:rsidRPr="0045012C" w:rsidRDefault="0045012C" w:rsidP="009A05BD">
            <w:pPr>
              <w:jc w:val="center"/>
            </w:pPr>
            <w:r w:rsidRPr="0045012C">
              <w:t>(Baseline</w:t>
            </w:r>
            <w:r w:rsidR="004A75AE">
              <w:t xml:space="preserve"> + 5%</w:t>
            </w:r>
            <w:r w:rsidRPr="0045012C">
              <w:t>)</w:t>
            </w:r>
          </w:p>
        </w:tc>
        <w:tc>
          <w:tcPr>
            <w:tcW w:w="652" w:type="pct"/>
            <w:hideMark/>
          </w:tcPr>
          <w:p w14:paraId="0B1DAA86" w14:textId="562990B6" w:rsidR="0045012C" w:rsidRPr="0045012C" w:rsidRDefault="003E1A66" w:rsidP="009A05BD">
            <w:pPr>
              <w:jc w:val="center"/>
            </w:pPr>
            <w:r>
              <w:t>235</w:t>
            </w:r>
          </w:p>
        </w:tc>
        <w:tc>
          <w:tcPr>
            <w:tcW w:w="791" w:type="pct"/>
            <w:hideMark/>
          </w:tcPr>
          <w:p w14:paraId="0C239A58" w14:textId="685878E2" w:rsidR="0045012C" w:rsidRPr="0045012C" w:rsidRDefault="009D44A4" w:rsidP="009A05BD">
            <w:pPr>
              <w:jc w:val="center"/>
            </w:pPr>
            <w:r>
              <w:t>126% (+48)</w:t>
            </w:r>
          </w:p>
        </w:tc>
      </w:tr>
      <w:tr w:rsidR="004A75AE" w:rsidRPr="0045012C" w14:paraId="191042ED" w14:textId="77777777" w:rsidTr="00686FC3">
        <w:trPr>
          <w:trHeight w:val="20"/>
        </w:trPr>
        <w:tc>
          <w:tcPr>
            <w:tcW w:w="462" w:type="pct"/>
            <w:hideMark/>
          </w:tcPr>
          <w:p w14:paraId="01FCE6AB" w14:textId="77777777" w:rsidR="0045012C" w:rsidRPr="0045012C" w:rsidRDefault="0045012C" w:rsidP="009A05BD">
            <w:r w:rsidRPr="0045012C">
              <w:rPr>
                <w:b/>
                <w:bCs/>
              </w:rPr>
              <w:t>3.5</w:t>
            </w:r>
          </w:p>
        </w:tc>
        <w:tc>
          <w:tcPr>
            <w:tcW w:w="1348" w:type="pct"/>
            <w:hideMark/>
          </w:tcPr>
          <w:p w14:paraId="5E29DA2D" w14:textId="77777777" w:rsidR="0045012C" w:rsidRPr="0045012C" w:rsidRDefault="0045012C" w:rsidP="009A05BD">
            <w:r w:rsidRPr="0045012C">
              <w:t>Number of cases successfully closed for individuals who left SMW employment</w:t>
            </w:r>
          </w:p>
        </w:tc>
        <w:tc>
          <w:tcPr>
            <w:tcW w:w="911" w:type="pct"/>
            <w:hideMark/>
          </w:tcPr>
          <w:p w14:paraId="06A3E910" w14:textId="77777777" w:rsidR="0045012C" w:rsidRPr="0045012C" w:rsidRDefault="0045012C" w:rsidP="009A05BD">
            <w:pPr>
              <w:jc w:val="center"/>
            </w:pPr>
            <w:r w:rsidRPr="0045012C">
              <w:t>68</w:t>
            </w:r>
          </w:p>
          <w:p w14:paraId="5930C6D4" w14:textId="77777777" w:rsidR="0045012C" w:rsidRPr="0045012C" w:rsidRDefault="0045012C" w:rsidP="009A05BD">
            <w:pPr>
              <w:jc w:val="center"/>
            </w:pPr>
            <w:r w:rsidRPr="0045012C">
              <w:t>(PY 2020)</w:t>
            </w:r>
          </w:p>
        </w:tc>
        <w:tc>
          <w:tcPr>
            <w:tcW w:w="835" w:type="pct"/>
            <w:hideMark/>
          </w:tcPr>
          <w:p w14:paraId="3F489FD0" w14:textId="77777777" w:rsidR="0045012C" w:rsidRPr="0045012C" w:rsidRDefault="0045012C" w:rsidP="009A05BD">
            <w:pPr>
              <w:jc w:val="center"/>
            </w:pPr>
            <w:r w:rsidRPr="0045012C">
              <w:t>71</w:t>
            </w:r>
          </w:p>
          <w:p w14:paraId="6027BE82" w14:textId="2765C88A" w:rsidR="0045012C" w:rsidRPr="0045012C" w:rsidRDefault="0045012C" w:rsidP="009A05BD">
            <w:pPr>
              <w:jc w:val="center"/>
            </w:pPr>
            <w:r w:rsidRPr="0045012C">
              <w:t>(Baseline</w:t>
            </w:r>
            <w:r w:rsidR="004A75AE">
              <w:t xml:space="preserve"> + 5%</w:t>
            </w:r>
            <w:r w:rsidRPr="0045012C">
              <w:t>)</w:t>
            </w:r>
          </w:p>
        </w:tc>
        <w:tc>
          <w:tcPr>
            <w:tcW w:w="652" w:type="pct"/>
            <w:hideMark/>
          </w:tcPr>
          <w:p w14:paraId="6FC47A29" w14:textId="51B5142A" w:rsidR="0045012C" w:rsidRPr="0045012C" w:rsidRDefault="009D44A4" w:rsidP="009A05BD">
            <w:pPr>
              <w:jc w:val="center"/>
            </w:pPr>
            <w:r>
              <w:t>84</w:t>
            </w:r>
          </w:p>
        </w:tc>
        <w:tc>
          <w:tcPr>
            <w:tcW w:w="791" w:type="pct"/>
            <w:hideMark/>
          </w:tcPr>
          <w:p w14:paraId="5F8F572D" w14:textId="4DA45308" w:rsidR="0045012C" w:rsidRPr="0045012C" w:rsidRDefault="009D44A4" w:rsidP="009A05BD">
            <w:pPr>
              <w:jc w:val="center"/>
            </w:pPr>
            <w:r>
              <w:t>118% (+13)</w:t>
            </w:r>
          </w:p>
        </w:tc>
      </w:tr>
      <w:tr w:rsidR="004A75AE" w:rsidRPr="0045012C" w14:paraId="3AC98EF3" w14:textId="77777777" w:rsidTr="00686FC3">
        <w:trPr>
          <w:trHeight w:val="20"/>
        </w:trPr>
        <w:tc>
          <w:tcPr>
            <w:tcW w:w="462" w:type="pct"/>
            <w:hideMark/>
          </w:tcPr>
          <w:p w14:paraId="1FE42EF4" w14:textId="77777777" w:rsidR="0045012C" w:rsidRPr="0045012C" w:rsidRDefault="0045012C" w:rsidP="009A05BD">
            <w:r w:rsidRPr="0045012C">
              <w:rPr>
                <w:b/>
                <w:bCs/>
              </w:rPr>
              <w:t>3.6</w:t>
            </w:r>
          </w:p>
        </w:tc>
        <w:tc>
          <w:tcPr>
            <w:tcW w:w="1348" w:type="pct"/>
            <w:hideMark/>
          </w:tcPr>
          <w:p w14:paraId="0FEA0A9B" w14:textId="77777777" w:rsidR="0045012C" w:rsidRPr="0045012C" w:rsidRDefault="0045012C" w:rsidP="009A05BD">
            <w:r w:rsidRPr="0045012C">
              <w:t>Number of cases unsuccessfully closed for justice involved consumers</w:t>
            </w:r>
          </w:p>
        </w:tc>
        <w:tc>
          <w:tcPr>
            <w:tcW w:w="911" w:type="pct"/>
            <w:hideMark/>
          </w:tcPr>
          <w:p w14:paraId="20A5861F" w14:textId="77777777" w:rsidR="0045012C" w:rsidRPr="0045012C" w:rsidRDefault="0045012C" w:rsidP="009A05BD">
            <w:pPr>
              <w:jc w:val="center"/>
            </w:pPr>
            <w:r w:rsidRPr="0045012C">
              <w:t>3,036</w:t>
            </w:r>
          </w:p>
          <w:p w14:paraId="09171461" w14:textId="77777777" w:rsidR="0045012C" w:rsidRPr="0045012C" w:rsidRDefault="0045012C" w:rsidP="009A05BD">
            <w:pPr>
              <w:jc w:val="center"/>
            </w:pPr>
            <w:r w:rsidRPr="0045012C">
              <w:t>(PY 2019)</w:t>
            </w:r>
          </w:p>
        </w:tc>
        <w:tc>
          <w:tcPr>
            <w:tcW w:w="835" w:type="pct"/>
            <w:hideMark/>
          </w:tcPr>
          <w:p w14:paraId="55757ACB" w14:textId="77777777" w:rsidR="0045012C" w:rsidRPr="0045012C" w:rsidRDefault="0045012C" w:rsidP="009A05BD">
            <w:pPr>
              <w:jc w:val="center"/>
            </w:pPr>
            <w:r w:rsidRPr="0045012C">
              <w:t>2,854</w:t>
            </w:r>
          </w:p>
          <w:p w14:paraId="16F4A85F" w14:textId="53E317E9" w:rsidR="0045012C" w:rsidRPr="0045012C" w:rsidRDefault="0045012C" w:rsidP="009A05BD">
            <w:pPr>
              <w:jc w:val="center"/>
            </w:pPr>
            <w:r w:rsidRPr="0045012C">
              <w:t>(Baseline</w:t>
            </w:r>
            <w:r w:rsidR="004A75AE">
              <w:t xml:space="preserve"> – 6%</w:t>
            </w:r>
            <w:r w:rsidRPr="0045012C">
              <w:t>)</w:t>
            </w:r>
          </w:p>
        </w:tc>
        <w:tc>
          <w:tcPr>
            <w:tcW w:w="652" w:type="pct"/>
            <w:hideMark/>
          </w:tcPr>
          <w:p w14:paraId="42EC0A32" w14:textId="3FE972AD" w:rsidR="0045012C" w:rsidRPr="0045012C" w:rsidRDefault="009D44A4" w:rsidP="009A05BD">
            <w:pPr>
              <w:jc w:val="center"/>
            </w:pPr>
            <w:r>
              <w:t>3,552</w:t>
            </w:r>
          </w:p>
        </w:tc>
        <w:tc>
          <w:tcPr>
            <w:tcW w:w="791" w:type="pct"/>
            <w:hideMark/>
          </w:tcPr>
          <w:p w14:paraId="744FF727" w14:textId="2EAFD93D" w:rsidR="0045012C" w:rsidRPr="0045012C" w:rsidRDefault="009D44A4" w:rsidP="009A05BD">
            <w:pPr>
              <w:jc w:val="center"/>
            </w:pPr>
            <w:r>
              <w:t>124% (+</w:t>
            </w:r>
            <w:r w:rsidR="00FD5693">
              <w:t>698)</w:t>
            </w:r>
          </w:p>
        </w:tc>
      </w:tr>
    </w:tbl>
    <w:p w14:paraId="60ED8556" w14:textId="06655A07" w:rsidR="009A05BD" w:rsidRDefault="009A05BD" w:rsidP="009A05BD">
      <w:pPr>
        <w:spacing w:after="0"/>
        <w:rPr>
          <w:i/>
          <w:iCs/>
        </w:rPr>
      </w:pPr>
      <w:r w:rsidRPr="009A05BD">
        <w:rPr>
          <w:i/>
          <w:iCs/>
        </w:rPr>
        <w:t>*Data represents Program Year 2021 Q1 through Q4 (July 1, 2021, through June 30, 2022)</w:t>
      </w:r>
    </w:p>
    <w:p w14:paraId="3318BCE1" w14:textId="45192401" w:rsidR="009A05BD" w:rsidRPr="00686FC3" w:rsidRDefault="00686FC3" w:rsidP="00686FC3">
      <w:pPr>
        <w:rPr>
          <w:i/>
          <w:iCs/>
        </w:rPr>
      </w:pPr>
      <w:r>
        <w:rPr>
          <w:i/>
          <w:iCs/>
        </w:rPr>
        <w:br w:type="page"/>
      </w:r>
    </w:p>
    <w:p w14:paraId="16D344D0" w14:textId="578D8C24" w:rsidR="009E6A4C" w:rsidRPr="00686FC3" w:rsidRDefault="009E6A4C" w:rsidP="00686FC3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686FC3">
        <w:rPr>
          <w:b/>
          <w:bCs/>
        </w:rPr>
        <w:lastRenderedPageBreak/>
        <w:t xml:space="preserve">GOAL 4 - MEETING BUSINESS TALENT NEEDS </w:t>
      </w: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918"/>
        <w:gridCol w:w="2529"/>
        <w:gridCol w:w="1809"/>
        <w:gridCol w:w="1828"/>
        <w:gridCol w:w="1284"/>
        <w:gridCol w:w="1558"/>
      </w:tblGrid>
      <w:tr w:rsidR="0045012C" w:rsidRPr="0045012C" w14:paraId="47A825BB" w14:textId="77777777" w:rsidTr="0068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62" w:type="pct"/>
            <w:shd w:val="clear" w:color="auto" w:fill="D9D9D9" w:themeFill="background1" w:themeFillShade="D9"/>
            <w:hideMark/>
          </w:tcPr>
          <w:p w14:paraId="2EE23699" w14:textId="77777777" w:rsidR="0045012C" w:rsidRPr="0045012C" w:rsidRDefault="0045012C" w:rsidP="009A05BD">
            <w:r w:rsidRPr="0045012C">
              <w:t>OBJ</w:t>
            </w:r>
          </w:p>
        </w:tc>
        <w:tc>
          <w:tcPr>
            <w:tcW w:w="1274" w:type="pct"/>
            <w:shd w:val="clear" w:color="auto" w:fill="D9D9D9" w:themeFill="background1" w:themeFillShade="D9"/>
            <w:hideMark/>
          </w:tcPr>
          <w:p w14:paraId="375550AB" w14:textId="77777777" w:rsidR="0045012C" w:rsidRPr="0045012C" w:rsidRDefault="0045012C" w:rsidP="009A05BD">
            <w:r w:rsidRPr="0045012C">
              <w:t>TRACKING</w:t>
            </w:r>
          </w:p>
        </w:tc>
        <w:tc>
          <w:tcPr>
            <w:tcW w:w="911" w:type="pct"/>
            <w:shd w:val="clear" w:color="auto" w:fill="D9D9D9" w:themeFill="background1" w:themeFillShade="D9"/>
            <w:hideMark/>
          </w:tcPr>
          <w:p w14:paraId="5F0475BA" w14:textId="77777777" w:rsidR="0045012C" w:rsidRPr="0045012C" w:rsidRDefault="0045012C" w:rsidP="009A05BD">
            <w:r w:rsidRPr="0045012C">
              <w:t>BASELINE</w:t>
            </w:r>
          </w:p>
          <w:p w14:paraId="492556F5" w14:textId="77777777" w:rsidR="0045012C" w:rsidRPr="0045012C" w:rsidRDefault="0045012C" w:rsidP="009A05BD">
            <w:r w:rsidRPr="0045012C">
              <w:t>(PY 2020)</w:t>
            </w:r>
          </w:p>
        </w:tc>
        <w:tc>
          <w:tcPr>
            <w:tcW w:w="921" w:type="pct"/>
            <w:shd w:val="clear" w:color="auto" w:fill="D9D9D9" w:themeFill="background1" w:themeFillShade="D9"/>
            <w:hideMark/>
          </w:tcPr>
          <w:p w14:paraId="3885CE8B" w14:textId="77777777" w:rsidR="0045012C" w:rsidRPr="0045012C" w:rsidRDefault="0045012C" w:rsidP="009A05BD">
            <w:r w:rsidRPr="0045012C">
              <w:t>GOAL</w:t>
            </w:r>
          </w:p>
          <w:p w14:paraId="005186A9" w14:textId="77777777" w:rsidR="0045012C" w:rsidRPr="0045012C" w:rsidRDefault="0045012C" w:rsidP="009A05BD">
            <w:r w:rsidRPr="0045012C">
              <w:t>(PY 2021)</w:t>
            </w:r>
          </w:p>
        </w:tc>
        <w:tc>
          <w:tcPr>
            <w:tcW w:w="647" w:type="pct"/>
            <w:shd w:val="clear" w:color="auto" w:fill="D9D9D9" w:themeFill="background1" w:themeFillShade="D9"/>
            <w:hideMark/>
          </w:tcPr>
          <w:p w14:paraId="52A7C4E7" w14:textId="77777777" w:rsidR="0045012C" w:rsidRPr="0045012C" w:rsidRDefault="0045012C" w:rsidP="009A05BD">
            <w:r w:rsidRPr="0045012C">
              <w:t>DOR</w:t>
            </w:r>
          </w:p>
          <w:p w14:paraId="0939C503" w14:textId="77777777" w:rsidR="0045012C" w:rsidRPr="0045012C" w:rsidRDefault="0045012C" w:rsidP="009A05BD">
            <w:r w:rsidRPr="0045012C">
              <w:t>(PY 2021*)</w:t>
            </w:r>
          </w:p>
        </w:tc>
        <w:tc>
          <w:tcPr>
            <w:tcW w:w="786" w:type="pct"/>
            <w:shd w:val="clear" w:color="auto" w:fill="D9D9D9" w:themeFill="background1" w:themeFillShade="D9"/>
            <w:hideMark/>
          </w:tcPr>
          <w:p w14:paraId="0847C5F5" w14:textId="77777777" w:rsidR="0045012C" w:rsidRPr="0045012C" w:rsidRDefault="0045012C" w:rsidP="009A05BD">
            <w:r w:rsidRPr="0045012C">
              <w:t>PY 2021 DIFF</w:t>
            </w:r>
          </w:p>
          <w:p w14:paraId="4481EE84" w14:textId="77777777" w:rsidR="0045012C" w:rsidRPr="0045012C" w:rsidRDefault="0045012C" w:rsidP="009A05BD">
            <w:r w:rsidRPr="0045012C">
              <w:t>(DOR – GOAL)</w:t>
            </w:r>
          </w:p>
        </w:tc>
      </w:tr>
      <w:tr w:rsidR="0045012C" w:rsidRPr="0045012C" w14:paraId="60E9D95B" w14:textId="77777777" w:rsidTr="00686FC3">
        <w:trPr>
          <w:trHeight w:val="20"/>
        </w:trPr>
        <w:tc>
          <w:tcPr>
            <w:tcW w:w="462" w:type="pct"/>
            <w:hideMark/>
          </w:tcPr>
          <w:p w14:paraId="18BC405E" w14:textId="77777777" w:rsidR="0045012C" w:rsidRPr="0045012C" w:rsidRDefault="0045012C" w:rsidP="009A05BD">
            <w:r w:rsidRPr="0045012C">
              <w:rPr>
                <w:b/>
                <w:bCs/>
              </w:rPr>
              <w:t>4.1</w:t>
            </w:r>
          </w:p>
        </w:tc>
        <w:tc>
          <w:tcPr>
            <w:tcW w:w="1274" w:type="pct"/>
            <w:hideMark/>
          </w:tcPr>
          <w:p w14:paraId="08FE09ED" w14:textId="77777777" w:rsidR="0045012C" w:rsidRPr="0045012C" w:rsidRDefault="0045012C" w:rsidP="009A05BD">
            <w:r w:rsidRPr="0045012C">
              <w:t>Number of consumers that obtained apprenticeships</w:t>
            </w:r>
          </w:p>
        </w:tc>
        <w:tc>
          <w:tcPr>
            <w:tcW w:w="911" w:type="pct"/>
            <w:hideMark/>
          </w:tcPr>
          <w:p w14:paraId="14CF9048" w14:textId="77777777" w:rsidR="0045012C" w:rsidRPr="0045012C" w:rsidRDefault="0045012C" w:rsidP="009A05BD">
            <w:pPr>
              <w:jc w:val="center"/>
            </w:pPr>
            <w:r w:rsidRPr="0045012C">
              <w:t>483</w:t>
            </w:r>
          </w:p>
        </w:tc>
        <w:tc>
          <w:tcPr>
            <w:tcW w:w="921" w:type="pct"/>
            <w:hideMark/>
          </w:tcPr>
          <w:p w14:paraId="79DEE30F" w14:textId="77777777" w:rsidR="0045012C" w:rsidRPr="0045012C" w:rsidRDefault="0045012C" w:rsidP="009A05BD">
            <w:pPr>
              <w:jc w:val="center"/>
            </w:pPr>
            <w:r w:rsidRPr="0045012C">
              <w:t>507</w:t>
            </w:r>
          </w:p>
          <w:p w14:paraId="76B9AC88" w14:textId="27C1631D" w:rsidR="0045012C" w:rsidRPr="0045012C" w:rsidRDefault="0045012C" w:rsidP="009A05BD">
            <w:pPr>
              <w:jc w:val="center"/>
            </w:pPr>
            <w:r w:rsidRPr="0045012C">
              <w:t>(B</w:t>
            </w:r>
            <w:r w:rsidR="000C7AD1" w:rsidRPr="0045012C">
              <w:t>aseline</w:t>
            </w:r>
            <w:r w:rsidRPr="0045012C">
              <w:t xml:space="preserve"> + 5%)</w:t>
            </w:r>
          </w:p>
        </w:tc>
        <w:tc>
          <w:tcPr>
            <w:tcW w:w="647" w:type="pct"/>
            <w:hideMark/>
          </w:tcPr>
          <w:p w14:paraId="4C1CE7CC" w14:textId="1CA8DB03" w:rsidR="0045012C" w:rsidRPr="0045012C" w:rsidRDefault="008E0389" w:rsidP="009A05BD">
            <w:pPr>
              <w:jc w:val="center"/>
            </w:pPr>
            <w:r>
              <w:t>415</w:t>
            </w:r>
          </w:p>
        </w:tc>
        <w:tc>
          <w:tcPr>
            <w:tcW w:w="786" w:type="pct"/>
            <w:hideMark/>
          </w:tcPr>
          <w:p w14:paraId="0BF569D5" w14:textId="406912DA" w:rsidR="0045012C" w:rsidRPr="0045012C" w:rsidRDefault="008E0389" w:rsidP="009A05BD">
            <w:pPr>
              <w:jc w:val="center"/>
            </w:pPr>
            <w:r>
              <w:t>81.9% (-92)</w:t>
            </w:r>
          </w:p>
        </w:tc>
      </w:tr>
      <w:tr w:rsidR="0045012C" w:rsidRPr="0045012C" w14:paraId="0A985923" w14:textId="77777777" w:rsidTr="00686FC3">
        <w:trPr>
          <w:trHeight w:val="20"/>
        </w:trPr>
        <w:tc>
          <w:tcPr>
            <w:tcW w:w="462" w:type="pct"/>
            <w:hideMark/>
          </w:tcPr>
          <w:p w14:paraId="0644751E" w14:textId="77777777" w:rsidR="0045012C" w:rsidRPr="0045012C" w:rsidRDefault="0045012C" w:rsidP="009A05BD">
            <w:r w:rsidRPr="0045012C">
              <w:rPr>
                <w:b/>
                <w:bCs/>
              </w:rPr>
              <w:t>4.2</w:t>
            </w:r>
          </w:p>
        </w:tc>
        <w:tc>
          <w:tcPr>
            <w:tcW w:w="1274" w:type="pct"/>
            <w:hideMark/>
          </w:tcPr>
          <w:p w14:paraId="0B4DB972" w14:textId="77777777" w:rsidR="0045012C" w:rsidRPr="0045012C" w:rsidRDefault="0045012C" w:rsidP="009A05BD">
            <w:r w:rsidRPr="0045012C">
              <w:t>Number of consumers receiving work-based learning experiences</w:t>
            </w:r>
          </w:p>
        </w:tc>
        <w:tc>
          <w:tcPr>
            <w:tcW w:w="911" w:type="pct"/>
            <w:hideMark/>
          </w:tcPr>
          <w:p w14:paraId="3FD01112" w14:textId="77777777" w:rsidR="0045012C" w:rsidRPr="0045012C" w:rsidRDefault="0045012C" w:rsidP="009A05BD">
            <w:pPr>
              <w:jc w:val="center"/>
            </w:pPr>
            <w:r w:rsidRPr="0045012C">
              <w:t>1,047</w:t>
            </w:r>
          </w:p>
        </w:tc>
        <w:tc>
          <w:tcPr>
            <w:tcW w:w="921" w:type="pct"/>
            <w:hideMark/>
          </w:tcPr>
          <w:p w14:paraId="2C2BC465" w14:textId="77777777" w:rsidR="0045012C" w:rsidRPr="0045012C" w:rsidRDefault="0045012C" w:rsidP="009A05BD">
            <w:pPr>
              <w:jc w:val="center"/>
            </w:pPr>
            <w:r w:rsidRPr="0045012C">
              <w:t>1,099</w:t>
            </w:r>
          </w:p>
          <w:p w14:paraId="261A1CE7" w14:textId="7F99FB14" w:rsidR="0045012C" w:rsidRPr="0045012C" w:rsidRDefault="0045012C" w:rsidP="009A05BD">
            <w:pPr>
              <w:jc w:val="center"/>
            </w:pPr>
            <w:r w:rsidRPr="0045012C">
              <w:t>(</w:t>
            </w:r>
            <w:r w:rsidR="000C7AD1">
              <w:t>B</w:t>
            </w:r>
            <w:r w:rsidR="000C7AD1" w:rsidRPr="0045012C">
              <w:t>aseline</w:t>
            </w:r>
            <w:r w:rsidRPr="0045012C">
              <w:t xml:space="preserve"> + 5%)</w:t>
            </w:r>
          </w:p>
        </w:tc>
        <w:tc>
          <w:tcPr>
            <w:tcW w:w="647" w:type="pct"/>
            <w:hideMark/>
          </w:tcPr>
          <w:p w14:paraId="52D384F6" w14:textId="747CA6BA" w:rsidR="0045012C" w:rsidRPr="0045012C" w:rsidRDefault="008E0389" w:rsidP="009A05BD">
            <w:pPr>
              <w:jc w:val="center"/>
            </w:pPr>
            <w:r>
              <w:t>10,382</w:t>
            </w:r>
          </w:p>
        </w:tc>
        <w:tc>
          <w:tcPr>
            <w:tcW w:w="786" w:type="pct"/>
            <w:hideMark/>
          </w:tcPr>
          <w:p w14:paraId="17A0B04E" w14:textId="385E47E6" w:rsidR="0045012C" w:rsidRPr="0045012C" w:rsidRDefault="008E0389" w:rsidP="009A05BD">
            <w:pPr>
              <w:jc w:val="center"/>
            </w:pPr>
            <w:r>
              <w:t>944% (+9,283)</w:t>
            </w:r>
          </w:p>
        </w:tc>
      </w:tr>
      <w:tr w:rsidR="0045012C" w:rsidRPr="0045012C" w14:paraId="33A2B5E2" w14:textId="77777777" w:rsidTr="00686FC3">
        <w:trPr>
          <w:trHeight w:val="20"/>
        </w:trPr>
        <w:tc>
          <w:tcPr>
            <w:tcW w:w="462" w:type="pct"/>
            <w:hideMark/>
          </w:tcPr>
          <w:p w14:paraId="11A03B0E" w14:textId="77777777" w:rsidR="0045012C" w:rsidRPr="0045012C" w:rsidRDefault="0045012C" w:rsidP="009A05BD">
            <w:r w:rsidRPr="0045012C">
              <w:rPr>
                <w:b/>
                <w:bCs/>
              </w:rPr>
              <w:t>4.3</w:t>
            </w:r>
          </w:p>
        </w:tc>
        <w:tc>
          <w:tcPr>
            <w:tcW w:w="1274" w:type="pct"/>
            <w:hideMark/>
          </w:tcPr>
          <w:p w14:paraId="4B06496C" w14:textId="77777777" w:rsidR="0045012C" w:rsidRPr="0045012C" w:rsidRDefault="0045012C" w:rsidP="009A05BD">
            <w:r w:rsidRPr="0045012C">
              <w:t>Number of consumers co-enrolled in AJCCs</w:t>
            </w:r>
          </w:p>
        </w:tc>
        <w:tc>
          <w:tcPr>
            <w:tcW w:w="911" w:type="pct"/>
            <w:hideMark/>
          </w:tcPr>
          <w:p w14:paraId="4B3B9D0F" w14:textId="77777777" w:rsidR="0045012C" w:rsidRPr="0045012C" w:rsidRDefault="0045012C" w:rsidP="009A05BD">
            <w:pPr>
              <w:jc w:val="center"/>
            </w:pPr>
            <w:r w:rsidRPr="0045012C">
              <w:t>2,077</w:t>
            </w:r>
          </w:p>
        </w:tc>
        <w:tc>
          <w:tcPr>
            <w:tcW w:w="921" w:type="pct"/>
            <w:hideMark/>
          </w:tcPr>
          <w:p w14:paraId="490526B5" w14:textId="77777777" w:rsidR="0045012C" w:rsidRPr="0045012C" w:rsidRDefault="0045012C" w:rsidP="009A05BD">
            <w:pPr>
              <w:jc w:val="center"/>
            </w:pPr>
            <w:r w:rsidRPr="0045012C">
              <w:t>2,181</w:t>
            </w:r>
          </w:p>
          <w:p w14:paraId="65AADAEC" w14:textId="750E6B8B" w:rsidR="0045012C" w:rsidRPr="0045012C" w:rsidRDefault="0045012C" w:rsidP="009A05BD">
            <w:pPr>
              <w:jc w:val="center"/>
            </w:pPr>
            <w:r w:rsidRPr="0045012C">
              <w:t>(B</w:t>
            </w:r>
            <w:r w:rsidR="000C7AD1" w:rsidRPr="0045012C">
              <w:t>aseline</w:t>
            </w:r>
            <w:r w:rsidRPr="0045012C">
              <w:t xml:space="preserve"> + 5%)</w:t>
            </w:r>
          </w:p>
        </w:tc>
        <w:tc>
          <w:tcPr>
            <w:tcW w:w="647" w:type="pct"/>
            <w:hideMark/>
          </w:tcPr>
          <w:p w14:paraId="669D8286" w14:textId="157E3062" w:rsidR="0045012C" w:rsidRPr="0045012C" w:rsidRDefault="008E0389" w:rsidP="009A05BD">
            <w:pPr>
              <w:jc w:val="center"/>
            </w:pPr>
            <w:r>
              <w:t>2,011</w:t>
            </w:r>
          </w:p>
        </w:tc>
        <w:tc>
          <w:tcPr>
            <w:tcW w:w="786" w:type="pct"/>
            <w:hideMark/>
          </w:tcPr>
          <w:p w14:paraId="43A53302" w14:textId="628F9610" w:rsidR="0045012C" w:rsidRPr="0045012C" w:rsidRDefault="008E0389" w:rsidP="009A05BD">
            <w:pPr>
              <w:jc w:val="center"/>
            </w:pPr>
            <w:r>
              <w:t>92.2% (-170)</w:t>
            </w:r>
          </w:p>
        </w:tc>
      </w:tr>
    </w:tbl>
    <w:p w14:paraId="7BF33CE2" w14:textId="77777777" w:rsidR="00686FC3" w:rsidRPr="00EB206C" w:rsidRDefault="00686FC3" w:rsidP="00686FC3">
      <w:pPr>
        <w:spacing w:after="0" w:line="240" w:lineRule="auto"/>
        <w:rPr>
          <w:i/>
          <w:iCs/>
        </w:rPr>
      </w:pPr>
      <w:r w:rsidRPr="00EB206C">
        <w:rPr>
          <w:i/>
          <w:iCs/>
        </w:rPr>
        <w:t>*Data represents Program Year 2021 Q1 through Q4 (July 1, 2021, through June 30,</w:t>
      </w:r>
      <w:r>
        <w:rPr>
          <w:i/>
          <w:iCs/>
        </w:rPr>
        <w:t xml:space="preserve"> </w:t>
      </w:r>
      <w:r w:rsidRPr="00EB206C">
        <w:rPr>
          <w:i/>
          <w:iCs/>
        </w:rPr>
        <w:t>2022)</w:t>
      </w:r>
    </w:p>
    <w:p w14:paraId="44F4207C" w14:textId="77777777" w:rsidR="00686FC3" w:rsidRDefault="00686FC3" w:rsidP="00686FC3">
      <w:pPr>
        <w:pStyle w:val="ListParagraph"/>
        <w:spacing w:after="0"/>
        <w:ind w:left="360"/>
        <w:contextualSpacing w:val="0"/>
        <w:rPr>
          <w:b/>
          <w:bCs/>
        </w:rPr>
      </w:pPr>
    </w:p>
    <w:p w14:paraId="420392E3" w14:textId="01C7FFD3" w:rsidR="009E6A4C" w:rsidRPr="00686FC3" w:rsidRDefault="009E6A4C" w:rsidP="00686FC3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686FC3">
        <w:rPr>
          <w:b/>
          <w:bCs/>
        </w:rPr>
        <w:t>GOAL 5 - ENGAGING BUSINESSES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918"/>
        <w:gridCol w:w="2437"/>
        <w:gridCol w:w="1809"/>
        <w:gridCol w:w="1818"/>
        <w:gridCol w:w="1334"/>
        <w:gridCol w:w="1610"/>
      </w:tblGrid>
      <w:tr w:rsidR="000C7AD1" w:rsidRPr="0045012C" w14:paraId="0AB4694D" w14:textId="77777777" w:rsidTr="00686FC3">
        <w:trPr>
          <w:trHeight w:val="20"/>
        </w:trPr>
        <w:tc>
          <w:tcPr>
            <w:tcW w:w="462" w:type="pct"/>
            <w:shd w:val="clear" w:color="auto" w:fill="D9D9D9" w:themeFill="background1" w:themeFillShade="D9"/>
            <w:hideMark/>
          </w:tcPr>
          <w:p w14:paraId="6424A64A" w14:textId="77777777" w:rsidR="0045012C" w:rsidRPr="0045012C" w:rsidRDefault="0045012C" w:rsidP="009A05BD">
            <w:r w:rsidRPr="0045012C">
              <w:rPr>
                <w:b/>
                <w:bCs/>
              </w:rPr>
              <w:t>OBJ</w:t>
            </w:r>
          </w:p>
        </w:tc>
        <w:tc>
          <w:tcPr>
            <w:tcW w:w="1227" w:type="pct"/>
            <w:shd w:val="clear" w:color="auto" w:fill="D9D9D9" w:themeFill="background1" w:themeFillShade="D9"/>
            <w:hideMark/>
          </w:tcPr>
          <w:p w14:paraId="6D0C4829" w14:textId="77777777" w:rsidR="0045012C" w:rsidRPr="0045012C" w:rsidRDefault="0045012C" w:rsidP="009A05BD">
            <w:r w:rsidRPr="0045012C">
              <w:rPr>
                <w:b/>
                <w:bCs/>
              </w:rPr>
              <w:t>TRACKING</w:t>
            </w:r>
          </w:p>
        </w:tc>
        <w:tc>
          <w:tcPr>
            <w:tcW w:w="911" w:type="pct"/>
            <w:shd w:val="clear" w:color="auto" w:fill="D9D9D9" w:themeFill="background1" w:themeFillShade="D9"/>
            <w:hideMark/>
          </w:tcPr>
          <w:p w14:paraId="0B394096" w14:textId="77777777" w:rsidR="0045012C" w:rsidRPr="0045012C" w:rsidRDefault="0045012C" w:rsidP="009A05BD">
            <w:r w:rsidRPr="0045012C">
              <w:rPr>
                <w:b/>
                <w:bCs/>
              </w:rPr>
              <w:t>BASELINE</w:t>
            </w:r>
          </w:p>
        </w:tc>
        <w:tc>
          <w:tcPr>
            <w:tcW w:w="916" w:type="pct"/>
            <w:shd w:val="clear" w:color="auto" w:fill="D9D9D9" w:themeFill="background1" w:themeFillShade="D9"/>
            <w:hideMark/>
          </w:tcPr>
          <w:p w14:paraId="2E6F7F5A" w14:textId="77777777" w:rsidR="0045012C" w:rsidRPr="0045012C" w:rsidRDefault="0045012C" w:rsidP="009A05BD">
            <w:r w:rsidRPr="0045012C">
              <w:rPr>
                <w:b/>
                <w:bCs/>
              </w:rPr>
              <w:t>GOAL</w:t>
            </w:r>
          </w:p>
          <w:p w14:paraId="067576C4" w14:textId="77777777" w:rsidR="0045012C" w:rsidRPr="0045012C" w:rsidRDefault="0045012C" w:rsidP="009A05BD">
            <w:r w:rsidRPr="0045012C">
              <w:t>(PY 2021)</w:t>
            </w:r>
          </w:p>
        </w:tc>
        <w:tc>
          <w:tcPr>
            <w:tcW w:w="672" w:type="pct"/>
            <w:shd w:val="clear" w:color="auto" w:fill="D9D9D9" w:themeFill="background1" w:themeFillShade="D9"/>
            <w:hideMark/>
          </w:tcPr>
          <w:p w14:paraId="6359F339" w14:textId="77777777" w:rsidR="0045012C" w:rsidRPr="0045012C" w:rsidRDefault="0045012C" w:rsidP="009A05BD">
            <w:r w:rsidRPr="0045012C">
              <w:rPr>
                <w:b/>
                <w:bCs/>
              </w:rPr>
              <w:t>DOR</w:t>
            </w:r>
          </w:p>
          <w:p w14:paraId="0CD4D07D" w14:textId="77777777" w:rsidR="0045012C" w:rsidRPr="0045012C" w:rsidRDefault="0045012C" w:rsidP="009A05BD">
            <w:r w:rsidRPr="0045012C">
              <w:t>(PY 2021*)</w:t>
            </w:r>
          </w:p>
        </w:tc>
        <w:tc>
          <w:tcPr>
            <w:tcW w:w="811" w:type="pct"/>
            <w:shd w:val="clear" w:color="auto" w:fill="D9D9D9" w:themeFill="background1" w:themeFillShade="D9"/>
            <w:hideMark/>
          </w:tcPr>
          <w:p w14:paraId="5B4F0BC6" w14:textId="77777777" w:rsidR="0045012C" w:rsidRPr="0045012C" w:rsidRDefault="0045012C" w:rsidP="009A05BD">
            <w:r w:rsidRPr="0045012C">
              <w:rPr>
                <w:b/>
                <w:bCs/>
              </w:rPr>
              <w:t>PY 2021 DIFF</w:t>
            </w:r>
          </w:p>
          <w:p w14:paraId="028385E6" w14:textId="77777777" w:rsidR="0045012C" w:rsidRPr="0045012C" w:rsidRDefault="0045012C" w:rsidP="009A05BD">
            <w:r w:rsidRPr="0045012C">
              <w:t>(DOR – GOAL)</w:t>
            </w:r>
          </w:p>
        </w:tc>
      </w:tr>
      <w:tr w:rsidR="000C7AD1" w:rsidRPr="0045012C" w14:paraId="0C726BD2" w14:textId="77777777" w:rsidTr="00686FC3">
        <w:trPr>
          <w:trHeight w:val="20"/>
        </w:trPr>
        <w:tc>
          <w:tcPr>
            <w:tcW w:w="462" w:type="pct"/>
            <w:hideMark/>
          </w:tcPr>
          <w:p w14:paraId="463870E9" w14:textId="77777777" w:rsidR="0045012C" w:rsidRPr="0045012C" w:rsidRDefault="0045012C" w:rsidP="009A05BD">
            <w:r w:rsidRPr="0045012C">
              <w:rPr>
                <w:b/>
                <w:bCs/>
              </w:rPr>
              <w:t>5.1</w:t>
            </w:r>
          </w:p>
        </w:tc>
        <w:tc>
          <w:tcPr>
            <w:tcW w:w="1227" w:type="pct"/>
            <w:hideMark/>
          </w:tcPr>
          <w:p w14:paraId="7E50857B" w14:textId="77777777" w:rsidR="0045012C" w:rsidRPr="0045012C" w:rsidRDefault="0045012C" w:rsidP="009A05BD">
            <w:r w:rsidRPr="0045012C">
              <w:t>Number of new business relationships</w:t>
            </w:r>
          </w:p>
        </w:tc>
        <w:tc>
          <w:tcPr>
            <w:tcW w:w="911" w:type="pct"/>
            <w:hideMark/>
          </w:tcPr>
          <w:p w14:paraId="721DB159" w14:textId="5AC93F28" w:rsidR="0045012C" w:rsidRPr="0045012C" w:rsidRDefault="002A06CD" w:rsidP="009A05BD">
            <w:r>
              <w:t>3,014</w:t>
            </w:r>
          </w:p>
          <w:p w14:paraId="7829924C" w14:textId="77777777" w:rsidR="0045012C" w:rsidRPr="0045012C" w:rsidRDefault="0045012C" w:rsidP="009A05BD">
            <w:r w:rsidRPr="0045012C">
              <w:t>(PY 2019)</w:t>
            </w:r>
          </w:p>
        </w:tc>
        <w:tc>
          <w:tcPr>
            <w:tcW w:w="916" w:type="pct"/>
            <w:hideMark/>
          </w:tcPr>
          <w:p w14:paraId="6DDE6E42" w14:textId="7838AD16" w:rsidR="0045012C" w:rsidRPr="0045012C" w:rsidRDefault="002A06CD" w:rsidP="009A05BD">
            <w:r>
              <w:t>3,315</w:t>
            </w:r>
          </w:p>
          <w:p w14:paraId="0938D589" w14:textId="7120CA86" w:rsidR="0045012C" w:rsidRPr="0045012C" w:rsidRDefault="0045012C" w:rsidP="009A05BD">
            <w:r w:rsidRPr="0045012C">
              <w:t>(B</w:t>
            </w:r>
            <w:r w:rsidR="000C7AD1">
              <w:t>aseline</w:t>
            </w:r>
            <w:r w:rsidRPr="0045012C">
              <w:t xml:space="preserve"> + </w:t>
            </w:r>
            <w:r w:rsidR="002A06CD">
              <w:t>10</w:t>
            </w:r>
            <w:r w:rsidRPr="0045012C">
              <w:t>%)</w:t>
            </w:r>
          </w:p>
        </w:tc>
        <w:tc>
          <w:tcPr>
            <w:tcW w:w="672" w:type="pct"/>
            <w:hideMark/>
          </w:tcPr>
          <w:p w14:paraId="6464B079" w14:textId="0A322281" w:rsidR="0045012C" w:rsidRPr="0045012C" w:rsidRDefault="002A06CD" w:rsidP="009A05BD">
            <w:r>
              <w:t>3,312</w:t>
            </w:r>
          </w:p>
        </w:tc>
        <w:tc>
          <w:tcPr>
            <w:tcW w:w="811" w:type="pct"/>
            <w:hideMark/>
          </w:tcPr>
          <w:p w14:paraId="05D30BA5" w14:textId="253F7C4C" w:rsidR="0045012C" w:rsidRPr="0045012C" w:rsidRDefault="002A06CD" w:rsidP="009A05BD">
            <w:r>
              <w:t>99.9% (-3)</w:t>
            </w:r>
          </w:p>
        </w:tc>
      </w:tr>
      <w:tr w:rsidR="000C7AD1" w:rsidRPr="0045012C" w14:paraId="2ECAAFCD" w14:textId="77777777" w:rsidTr="00686FC3">
        <w:trPr>
          <w:trHeight w:val="20"/>
        </w:trPr>
        <w:tc>
          <w:tcPr>
            <w:tcW w:w="462" w:type="pct"/>
            <w:hideMark/>
          </w:tcPr>
          <w:p w14:paraId="1C9F1794" w14:textId="77777777" w:rsidR="0045012C" w:rsidRPr="0045012C" w:rsidRDefault="0045012C" w:rsidP="009A05BD">
            <w:r w:rsidRPr="0045012C">
              <w:rPr>
                <w:b/>
                <w:bCs/>
              </w:rPr>
              <w:t>5.2</w:t>
            </w:r>
          </w:p>
        </w:tc>
        <w:tc>
          <w:tcPr>
            <w:tcW w:w="1227" w:type="pct"/>
            <w:hideMark/>
          </w:tcPr>
          <w:p w14:paraId="1E585CC3" w14:textId="77777777" w:rsidR="0045012C" w:rsidRPr="0045012C" w:rsidRDefault="0045012C" w:rsidP="009A05BD">
            <w:r w:rsidRPr="0045012C">
              <w:t>Number of trainings to businesses</w:t>
            </w:r>
          </w:p>
        </w:tc>
        <w:tc>
          <w:tcPr>
            <w:tcW w:w="911" w:type="pct"/>
            <w:hideMark/>
          </w:tcPr>
          <w:p w14:paraId="3EEB7011" w14:textId="77777777" w:rsidR="0045012C" w:rsidRPr="0045012C" w:rsidRDefault="0045012C" w:rsidP="009A05BD">
            <w:pPr>
              <w:jc w:val="center"/>
            </w:pPr>
            <w:r w:rsidRPr="0045012C">
              <w:t>NONE</w:t>
            </w:r>
          </w:p>
        </w:tc>
        <w:tc>
          <w:tcPr>
            <w:tcW w:w="916" w:type="pct"/>
            <w:hideMark/>
          </w:tcPr>
          <w:p w14:paraId="69372419" w14:textId="77777777" w:rsidR="0045012C" w:rsidRPr="0045012C" w:rsidRDefault="0045012C" w:rsidP="009A05BD">
            <w:pPr>
              <w:jc w:val="center"/>
            </w:pPr>
            <w:r w:rsidRPr="0045012C">
              <w:t>60</w:t>
            </w:r>
          </w:p>
        </w:tc>
        <w:tc>
          <w:tcPr>
            <w:tcW w:w="672" w:type="pct"/>
            <w:hideMark/>
          </w:tcPr>
          <w:p w14:paraId="0370D0D1" w14:textId="61D33FD7" w:rsidR="0045012C" w:rsidRPr="0045012C" w:rsidRDefault="002A06CD" w:rsidP="009A05BD">
            <w:pPr>
              <w:jc w:val="center"/>
            </w:pPr>
            <w:r>
              <w:t>69</w:t>
            </w:r>
          </w:p>
        </w:tc>
        <w:tc>
          <w:tcPr>
            <w:tcW w:w="811" w:type="pct"/>
            <w:hideMark/>
          </w:tcPr>
          <w:p w14:paraId="1A078D76" w14:textId="43719B61" w:rsidR="0045012C" w:rsidRPr="0045012C" w:rsidRDefault="002A06CD" w:rsidP="009A05BD">
            <w:pPr>
              <w:jc w:val="center"/>
            </w:pPr>
            <w:r>
              <w:t>115% (+9)</w:t>
            </w:r>
          </w:p>
        </w:tc>
      </w:tr>
    </w:tbl>
    <w:p w14:paraId="447ECED8" w14:textId="01811C30" w:rsidR="00686FC3" w:rsidRPr="00686FC3" w:rsidRDefault="00686FC3" w:rsidP="00686FC3">
      <w:pPr>
        <w:spacing w:after="0" w:line="240" w:lineRule="auto"/>
        <w:rPr>
          <w:b/>
          <w:bCs/>
        </w:rPr>
      </w:pPr>
      <w:r w:rsidRPr="00686FC3">
        <w:rPr>
          <w:i/>
          <w:iCs/>
        </w:rPr>
        <w:t>*Data represents Program Year 2021 Q1 through Q4 (July 1, 2021, through June 30, 2022)</w:t>
      </w:r>
    </w:p>
    <w:p w14:paraId="4A5EA8A5" w14:textId="77777777" w:rsidR="00686FC3" w:rsidRDefault="00686FC3" w:rsidP="00686FC3">
      <w:pPr>
        <w:pStyle w:val="ListParagraph"/>
        <w:spacing w:after="0" w:line="240" w:lineRule="auto"/>
        <w:ind w:left="360"/>
        <w:contextualSpacing w:val="0"/>
        <w:rPr>
          <w:b/>
          <w:bCs/>
        </w:rPr>
      </w:pPr>
    </w:p>
    <w:p w14:paraId="1E26F891" w14:textId="20FCAE0D" w:rsidR="009E6A4C" w:rsidRPr="00686FC3" w:rsidRDefault="009E6A4C" w:rsidP="00686FC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686FC3">
        <w:rPr>
          <w:b/>
          <w:bCs/>
        </w:rPr>
        <w:t>Summary</w:t>
      </w:r>
    </w:p>
    <w:p w14:paraId="235EBF79" w14:textId="77777777" w:rsidR="007469DE" w:rsidRDefault="007469DE" w:rsidP="009A05BD">
      <w:pPr>
        <w:pStyle w:val="ListParagraph"/>
        <w:numPr>
          <w:ilvl w:val="0"/>
          <w:numId w:val="13"/>
        </w:numPr>
        <w:spacing w:after="0"/>
      </w:pPr>
      <w:r w:rsidRPr="007469DE">
        <w:t>State Plan modifications went into effect July 1</w:t>
      </w:r>
      <w:r w:rsidRPr="007469DE">
        <w:rPr>
          <w:vertAlign w:val="superscript"/>
        </w:rPr>
        <w:t>st</w:t>
      </w:r>
      <w:r w:rsidRPr="007469DE">
        <w:t>, 2022, which has altered how some objectives will be tracked going forward. Some of the changes include:</w:t>
      </w:r>
    </w:p>
    <w:p w14:paraId="55394260" w14:textId="77777777" w:rsidR="007469DE" w:rsidRDefault="007469DE" w:rsidP="009A05BD">
      <w:pPr>
        <w:pStyle w:val="ListParagraph"/>
        <w:numPr>
          <w:ilvl w:val="1"/>
          <w:numId w:val="13"/>
        </w:numPr>
        <w:spacing w:after="0"/>
      </w:pPr>
      <w:r w:rsidRPr="007469DE">
        <w:lastRenderedPageBreak/>
        <w:t>Objectives 3.1, 3.2, 3.3, 3.5, 3.6, and 4.3, dates were changed to begin tracking them on July 1, 2022. Where applicable, dates for establishing baseline were also changed.</w:t>
      </w:r>
    </w:p>
    <w:p w14:paraId="3AB8EA2E" w14:textId="4DC9E3E9" w:rsidR="007469DE" w:rsidRPr="007469DE" w:rsidRDefault="007469DE" w:rsidP="009A05BD">
      <w:pPr>
        <w:pStyle w:val="ListParagraph"/>
        <w:numPr>
          <w:ilvl w:val="1"/>
          <w:numId w:val="13"/>
        </w:numPr>
        <w:spacing w:after="0"/>
      </w:pPr>
      <w:r>
        <w:t xml:space="preserve">For the above objectives, language was also changed to measure and track the percent change instead of numbers of consumers as it relates to that objective. </w:t>
      </w:r>
    </w:p>
    <w:p w14:paraId="69EDD086" w14:textId="77777777" w:rsidR="00FB27EC" w:rsidRDefault="00FB27EC" w:rsidP="009A05BD">
      <w:pPr>
        <w:spacing w:after="0"/>
      </w:pPr>
    </w:p>
    <w:sectPr w:rsidR="00FB27EC" w:rsidSect="00686FC3">
      <w:footerReference w:type="default" r:id="rId10"/>
      <w:pgSz w:w="12240" w:h="15840"/>
      <w:pgMar w:top="1152" w:right="1152" w:bottom="1152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4167" w14:textId="77777777" w:rsidR="00686FC3" w:rsidRDefault="00686FC3" w:rsidP="00686FC3">
      <w:pPr>
        <w:spacing w:after="0" w:line="240" w:lineRule="auto"/>
      </w:pPr>
      <w:r>
        <w:separator/>
      </w:r>
    </w:p>
  </w:endnote>
  <w:endnote w:type="continuationSeparator" w:id="0">
    <w:p w14:paraId="62EAB4F8" w14:textId="77777777" w:rsidR="00686FC3" w:rsidRDefault="00686FC3" w:rsidP="0068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30CD" w14:textId="32F4882F" w:rsidR="00686FC3" w:rsidRDefault="00686FC3">
    <w:pPr>
      <w:pStyle w:val="Footer"/>
      <w:jc w:val="right"/>
    </w:pPr>
    <w:r>
      <w:t xml:space="preserve">Page </w:t>
    </w:r>
    <w:sdt>
      <w:sdtPr>
        <w:id w:val="-1916013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047BA91" w14:textId="77777777" w:rsidR="00686FC3" w:rsidRDefault="0068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41F3" w14:textId="77777777" w:rsidR="00686FC3" w:rsidRDefault="00686FC3" w:rsidP="00686FC3">
      <w:pPr>
        <w:spacing w:after="0" w:line="240" w:lineRule="auto"/>
      </w:pPr>
      <w:r>
        <w:separator/>
      </w:r>
    </w:p>
  </w:footnote>
  <w:footnote w:type="continuationSeparator" w:id="0">
    <w:p w14:paraId="7ACC8344" w14:textId="77777777" w:rsidR="00686FC3" w:rsidRDefault="00686FC3" w:rsidP="0068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00C1"/>
    <w:multiLevelType w:val="hybridMultilevel"/>
    <w:tmpl w:val="F0F4445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C0F17"/>
    <w:multiLevelType w:val="hybridMultilevel"/>
    <w:tmpl w:val="250ECDAA"/>
    <w:lvl w:ilvl="0" w:tplc="9F2E1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02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ED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288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4B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AF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D06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8C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C0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B73489"/>
    <w:multiLevelType w:val="hybridMultilevel"/>
    <w:tmpl w:val="2FE03086"/>
    <w:lvl w:ilvl="0" w:tplc="FD30A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E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C3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0B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E6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2E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64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0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8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7F1F05"/>
    <w:multiLevelType w:val="hybridMultilevel"/>
    <w:tmpl w:val="90C43974"/>
    <w:lvl w:ilvl="0" w:tplc="A288D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82D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C7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2F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A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E8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0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80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1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965CC2"/>
    <w:multiLevelType w:val="hybridMultilevel"/>
    <w:tmpl w:val="568A49E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16F94"/>
    <w:multiLevelType w:val="hybridMultilevel"/>
    <w:tmpl w:val="96FE0FCC"/>
    <w:lvl w:ilvl="0" w:tplc="819A8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A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88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49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2F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6E5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1EE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AB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A1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1D7E6F"/>
    <w:multiLevelType w:val="hybridMultilevel"/>
    <w:tmpl w:val="204422AC"/>
    <w:lvl w:ilvl="0" w:tplc="7FF2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28D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69A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227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2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4D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A1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6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2D72CE"/>
    <w:multiLevelType w:val="hybridMultilevel"/>
    <w:tmpl w:val="20D25E14"/>
    <w:lvl w:ilvl="0" w:tplc="7FF2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C50C5"/>
    <w:multiLevelType w:val="hybridMultilevel"/>
    <w:tmpl w:val="BE5EC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C64E9"/>
    <w:multiLevelType w:val="hybridMultilevel"/>
    <w:tmpl w:val="568A4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86890"/>
    <w:multiLevelType w:val="hybridMultilevel"/>
    <w:tmpl w:val="5EDEE372"/>
    <w:lvl w:ilvl="0" w:tplc="131EE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4E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68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AD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AF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0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6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A0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324D56"/>
    <w:multiLevelType w:val="hybridMultilevel"/>
    <w:tmpl w:val="45B2416A"/>
    <w:lvl w:ilvl="0" w:tplc="D3C61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0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47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C0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03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AD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E05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2F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26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563DAE"/>
    <w:multiLevelType w:val="hybridMultilevel"/>
    <w:tmpl w:val="F5CEA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537E2"/>
    <w:multiLevelType w:val="hybridMultilevel"/>
    <w:tmpl w:val="1DB05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566208"/>
    <w:multiLevelType w:val="hybridMultilevel"/>
    <w:tmpl w:val="128AB0E8"/>
    <w:lvl w:ilvl="0" w:tplc="25A449E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9436EB"/>
    <w:multiLevelType w:val="hybridMultilevel"/>
    <w:tmpl w:val="05585B70"/>
    <w:lvl w:ilvl="0" w:tplc="696E1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8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2D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C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08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C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65681648">
    <w:abstractNumId w:val="6"/>
  </w:num>
  <w:num w:numId="2" w16cid:durableId="1738238835">
    <w:abstractNumId w:val="2"/>
  </w:num>
  <w:num w:numId="3" w16cid:durableId="1026836275">
    <w:abstractNumId w:val="1"/>
  </w:num>
  <w:num w:numId="4" w16cid:durableId="218053026">
    <w:abstractNumId w:val="5"/>
  </w:num>
  <w:num w:numId="5" w16cid:durableId="1041630731">
    <w:abstractNumId w:val="11"/>
  </w:num>
  <w:num w:numId="6" w16cid:durableId="166410297">
    <w:abstractNumId w:val="13"/>
  </w:num>
  <w:num w:numId="7" w16cid:durableId="1487549320">
    <w:abstractNumId w:val="7"/>
  </w:num>
  <w:num w:numId="8" w16cid:durableId="758597000">
    <w:abstractNumId w:val="14"/>
  </w:num>
  <w:num w:numId="9" w16cid:durableId="383334958">
    <w:abstractNumId w:val="3"/>
  </w:num>
  <w:num w:numId="10" w16cid:durableId="1878078957">
    <w:abstractNumId w:val="15"/>
  </w:num>
  <w:num w:numId="11" w16cid:durableId="55474061">
    <w:abstractNumId w:val="8"/>
  </w:num>
  <w:num w:numId="12" w16cid:durableId="496461186">
    <w:abstractNumId w:val="12"/>
  </w:num>
  <w:num w:numId="13" w16cid:durableId="370301388">
    <w:abstractNumId w:val="9"/>
  </w:num>
  <w:num w:numId="14" w16cid:durableId="203493940">
    <w:abstractNumId w:val="10"/>
  </w:num>
  <w:num w:numId="15" w16cid:durableId="1441605680">
    <w:abstractNumId w:val="4"/>
  </w:num>
  <w:num w:numId="16" w16cid:durableId="49349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4C"/>
    <w:rsid w:val="000C7AD1"/>
    <w:rsid w:val="001F7373"/>
    <w:rsid w:val="00247BA7"/>
    <w:rsid w:val="002A06CD"/>
    <w:rsid w:val="00331DBE"/>
    <w:rsid w:val="00341D1F"/>
    <w:rsid w:val="003E1A66"/>
    <w:rsid w:val="0045012C"/>
    <w:rsid w:val="004A75AE"/>
    <w:rsid w:val="00600354"/>
    <w:rsid w:val="00654213"/>
    <w:rsid w:val="0068670B"/>
    <w:rsid w:val="00686FC3"/>
    <w:rsid w:val="007469DE"/>
    <w:rsid w:val="007C0652"/>
    <w:rsid w:val="008E0389"/>
    <w:rsid w:val="009A05BD"/>
    <w:rsid w:val="009D44A4"/>
    <w:rsid w:val="009E6A4C"/>
    <w:rsid w:val="009F77B4"/>
    <w:rsid w:val="00AD4343"/>
    <w:rsid w:val="00B05E68"/>
    <w:rsid w:val="00B66A11"/>
    <w:rsid w:val="00C4320E"/>
    <w:rsid w:val="00C43C6A"/>
    <w:rsid w:val="00CC6A78"/>
    <w:rsid w:val="00D0001B"/>
    <w:rsid w:val="00D95E5B"/>
    <w:rsid w:val="00D975C9"/>
    <w:rsid w:val="00EB206C"/>
    <w:rsid w:val="00EC6C6A"/>
    <w:rsid w:val="00F85B20"/>
    <w:rsid w:val="00FB27EC"/>
    <w:rsid w:val="00FD5693"/>
    <w:rsid w:val="55C3462B"/>
    <w:rsid w:val="5EC67435"/>
    <w:rsid w:val="705AE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206D"/>
  <w15:chartTrackingRefBased/>
  <w15:docId w15:val="{340E6445-B4F5-47BC-BEC8-5CFC7C5C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A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A4C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86F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8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C3"/>
  </w:style>
  <w:style w:type="paragraph" w:styleId="Footer">
    <w:name w:val="footer"/>
    <w:basedOn w:val="Normal"/>
    <w:link w:val="FooterChar"/>
    <w:uiPriority w:val="99"/>
    <w:unhideWhenUsed/>
    <w:rsid w:val="0068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5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0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9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3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77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8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50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99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42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4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3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66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96B9DC9A2994AA555634849C7EFE6" ma:contentTypeVersion="2" ma:contentTypeDescription="Create a new document." ma:contentTypeScope="" ma:versionID="5bf5208e6814ad3bfef70a76ea9b6fc2">
  <xsd:schema xmlns:xsd="http://www.w3.org/2001/XMLSchema" xmlns:xs="http://www.w3.org/2001/XMLSchema" xmlns:p="http://schemas.microsoft.com/office/2006/metadata/properties" xmlns:ns2="72e2eb23-0788-41e0-be94-99ac99acdac0" targetNamespace="http://schemas.microsoft.com/office/2006/metadata/properties" ma:root="true" ma:fieldsID="4f6db9cdc2e86dedd552b4e1f9222c80" ns2:_="">
    <xsd:import namespace="72e2eb23-0788-41e0-be94-99ac99acd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2eb23-0788-41e0-be94-99ac99acd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19EAB-2824-458E-9B83-C9765C2A70C7}">
  <ds:schemaRefs>
    <ds:schemaRef ds:uri="http://purl.org/dc/elements/1.1/"/>
    <ds:schemaRef ds:uri="http://schemas.microsoft.com/office/2006/metadata/properties"/>
    <ds:schemaRef ds:uri="72e2eb23-0788-41e0-be94-99ac99acda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ECBDB6-7D65-4873-9443-7F7C7BEED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2eb23-0788-41e0-be94-99ac99ac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67891-929E-4F92-ADCA-B3E7AC2DA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Foote, Molly@DOR</dc:creator>
  <cp:keywords/>
  <dc:description/>
  <cp:lastModifiedBy>Huynh, Duy@DOR</cp:lastModifiedBy>
  <cp:revision>2</cp:revision>
  <dcterms:created xsi:type="dcterms:W3CDTF">2022-12-22T19:23:00Z</dcterms:created>
  <dcterms:modified xsi:type="dcterms:W3CDTF">2022-12-22T19:23:00Z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0x01010098096B9DC9A2994AA555634849C7EFE6</vt:lpwstr>
  </property>
</Properties>
</file>