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F1C877" w14:textId="5590AF6E" w:rsidR="00DF3B79" w:rsidRPr="00CA5028" w:rsidRDefault="0093657E" w:rsidP="00CA5028">
      <w:pPr>
        <w:shd w:val="clear" w:color="auto" w:fill="002A52" w:themeFill="accent1" w:themeFillShade="80"/>
        <w:spacing w:before="2400" w:after="0"/>
        <w:ind w:left="720" w:right="720"/>
        <w:jc w:val="center"/>
        <w:rPr>
          <w:b/>
          <w:bCs/>
          <w:color w:val="FFFFFF" w:themeColor="background1"/>
          <w:sz w:val="40"/>
          <w:szCs w:val="40"/>
        </w:rPr>
      </w:pPr>
      <w:r w:rsidRPr="00CA5028">
        <w:rPr>
          <w:b/>
          <w:bCs/>
          <w:noProof/>
          <w:color w:val="FFFFFF" w:themeColor="background1"/>
          <w:sz w:val="56"/>
          <w:szCs w:val="56"/>
        </w:rPr>
        <mc:AlternateContent>
          <mc:Choice Requires="wps">
            <w:drawing>
              <wp:anchor distT="0" distB="0" distL="114300" distR="114300" simplePos="0" relativeHeight="251657728" behindDoc="1" locked="0" layoutInCell="1" allowOverlap="1" wp14:anchorId="57D92A9B" wp14:editId="5A36F41C">
                <wp:simplePos x="513567" y="450937"/>
                <wp:positionH relativeFrom="margin">
                  <wp:align>center</wp:align>
                </wp:positionH>
                <wp:positionV relativeFrom="margin">
                  <wp:align>center</wp:align>
                </wp:positionV>
                <wp:extent cx="6858000" cy="9144000"/>
                <wp:effectExtent l="0" t="0" r="19050" b="19050"/>
                <wp:wrapNone/>
                <wp:docPr id="2"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58000" cy="9144000"/>
                        </a:xfrm>
                        <a:prstGeom prst="rect">
                          <a:avLst/>
                        </a:prstGeom>
                        <a:gradFill>
                          <a:gsLst>
                            <a:gs pos="41000">
                              <a:schemeClr val="accent1">
                                <a:lumMod val="50000"/>
                              </a:schemeClr>
                            </a:gs>
                            <a:gs pos="100000">
                              <a:schemeClr val="accent1"/>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34AE7FB" id="Rectangle 8" o:spid="_x0000_s1026" alt="&quot;&quot;" style="position:absolute;margin-left:0;margin-top:0;width:540pt;height:10in;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2wBAwIAALEEAAAOAAAAZHJzL2Uyb0RvYy54bWysVMtu2zAQvBfoPxC615INO3ANyzkkSC99&#10;BE36AQy5lAjwBZKx7L/vkpRltw0SIOiFWpI7w50hV9vrg1ZkDz5Ia9pqPmsqAoZZLk3XVr8e7z6t&#10;KxIiNZwqa6CtjhCq693HD9vBbWBhe6s4eIIkJmwG11Z9jG5T14H1oGmYWQcGN4X1mkac+q7mng7I&#10;rlW9aJqrerCeO28ZhICrt2Wz2mV+IYDFH0IEiES1FdYW8+jz+JTGerelm85T10s2lkHfUYWm0uCh&#10;E9UtjZQ8e/kPlZbM22BFnDGrayuEZJA1oJp585eah546yFrQnOAmm8L/o2Xf9w/u3qMNgwubgGFS&#10;cRBepy/WRw7ZrONkFhwiYbh4tV6tmwY9Zbj3eb5cpgny1Ge48yF+AatJCtrK421kk+j+a4gl9ZQy&#10;esfvpFI5DphSAuIsCl7OE39ayW8DbpQne4q3ShkDE+d5Sz3rb5aX9RXmnwqaILm8LlwSJ97XmUul&#10;CYXaulNhShpC0ytfJeXIQAKjCjh2wWgDPqtRT302N0fxqCDVoMxPEERytHPxlrbQUw5vScuEiVmg&#10;jxN3MWcy4U/firoxP0Eht80EftX0Ap4Q+WRr4gTW0lj/kjKFNzaeXPLR3AtrUvhk+fHeEx/VjS3d&#10;Sw3rLTYviz6DUxb2RbmX0sOp8S7nmfb8p9n9BgAA//8DAFBLAwQUAAYACAAAACEAsLUkLtwAAAAH&#10;AQAADwAAAGRycy9kb3ducmV2LnhtbEyPQWvCQBCF7wX/wzKFXkR3W6SGNBuxgvRUSqMXb2t2TILZ&#10;2ZhdNf33HXupl+E93vDmm2wxuFZcsA+NJw3PUwUCqfS2oUrDdrOeJCBCNGRN6wk1/GCART56yExq&#10;/ZW+8VLESnAJhdRoqGPsUilDWaMzYeo7JM4Ovncmsu0raXtz5XLXyhelXqUzDfGF2nS4qrE8Fmen&#10;4fjx9T6Xu924KManZHmQavNpt1o/PQ7LNxARh/i/DDd8Roecmfb+TDaIVgM/Ev/mLVOJYr9nNZux&#10;knkm7/nzXwAAAP//AwBQSwECLQAUAAYACAAAACEAtoM4kv4AAADhAQAAEwAAAAAAAAAAAAAAAAAA&#10;AAAAW0NvbnRlbnRfVHlwZXNdLnhtbFBLAQItABQABgAIAAAAIQA4/SH/1gAAAJQBAAALAAAAAAAA&#10;AAAAAAAAAC8BAABfcmVscy8ucmVsc1BLAQItABQABgAIAAAAIQDRk2wBAwIAALEEAAAOAAAAAAAA&#10;AAAAAAAAAC4CAABkcnMvZTJvRG9jLnhtbFBLAQItABQABgAIAAAAIQCwtSQu3AAAAAcBAAAPAAAA&#10;AAAAAAAAAAAAAF0EAABkcnMvZG93bnJldi54bWxQSwUGAAAAAAQABADzAAAAZgUAAAAA&#10;" fillcolor="#002a52 [1604]" strokecolor="#002a52 [1604]" strokeweight="1pt">
                <v:fill color2="#0156a5 [3204]" colors="0 #002b52;26870f #002b52" focus="100%" type="gradient"/>
                <w10:wrap anchorx="margin" anchory="margin"/>
              </v:rect>
            </w:pict>
          </mc:Fallback>
        </mc:AlternateContent>
      </w:r>
      <w:r w:rsidR="00DF3B79" w:rsidRPr="00CA5028">
        <w:rPr>
          <w:b/>
          <w:bCs/>
          <w:color w:val="FFFFFF" w:themeColor="background1"/>
          <w:sz w:val="56"/>
          <w:szCs w:val="56"/>
        </w:rPr>
        <w:t>State Fiscal Year 2020-21</w:t>
      </w:r>
    </w:p>
    <w:p w14:paraId="1006EACD" w14:textId="0D8C2C6B" w:rsidR="003A3021" w:rsidRPr="00CA5028" w:rsidRDefault="00DF3B79" w:rsidP="00CA5028">
      <w:pPr>
        <w:shd w:val="clear" w:color="auto" w:fill="002A52" w:themeFill="accent1" w:themeFillShade="80"/>
        <w:tabs>
          <w:tab w:val="right" w:pos="10800"/>
        </w:tabs>
        <w:spacing w:before="240" w:after="0"/>
        <w:ind w:left="720" w:right="720"/>
        <w:jc w:val="center"/>
        <w:rPr>
          <w:b/>
          <w:bCs/>
          <w:color w:val="FFFFFF" w:themeColor="background1"/>
          <w:sz w:val="56"/>
          <w:szCs w:val="56"/>
        </w:rPr>
      </w:pPr>
      <w:r w:rsidRPr="00CA5028">
        <w:rPr>
          <w:b/>
          <w:bCs/>
          <w:color w:val="FFFFFF" w:themeColor="background1"/>
          <w:sz w:val="56"/>
          <w:szCs w:val="56"/>
        </w:rPr>
        <w:t>Consumer Satisfaction Survey</w:t>
      </w:r>
    </w:p>
    <w:p w14:paraId="78EF4040" w14:textId="77777777" w:rsidR="004C5D37" w:rsidRPr="00CA5028" w:rsidRDefault="00DF3B79" w:rsidP="00CA5028">
      <w:pPr>
        <w:shd w:val="clear" w:color="auto" w:fill="002A52" w:themeFill="accent1" w:themeFillShade="80"/>
        <w:spacing w:before="240" w:after="0"/>
        <w:ind w:left="720" w:right="720"/>
        <w:jc w:val="center"/>
        <w:rPr>
          <w:b/>
          <w:bCs/>
          <w:color w:val="FFFFFF" w:themeColor="background1"/>
          <w:sz w:val="56"/>
          <w:szCs w:val="56"/>
        </w:rPr>
      </w:pPr>
      <w:r w:rsidRPr="00CA5028">
        <w:rPr>
          <w:b/>
          <w:bCs/>
          <w:color w:val="FFFFFF" w:themeColor="background1"/>
          <w:sz w:val="56"/>
          <w:szCs w:val="56"/>
        </w:rPr>
        <w:t>Executive Summary</w:t>
      </w:r>
    </w:p>
    <w:p w14:paraId="3195DA20" w14:textId="0A159484" w:rsidR="003A3021" w:rsidRPr="0079588E" w:rsidRDefault="004C5D37" w:rsidP="00CA5028">
      <w:pPr>
        <w:spacing w:before="2880" w:after="0"/>
        <w:jc w:val="center"/>
        <w:rPr>
          <w:b/>
          <w:bCs/>
          <w:color w:val="FFFFFF" w:themeColor="background1"/>
          <w:sz w:val="56"/>
          <w:szCs w:val="56"/>
        </w:rPr>
      </w:pPr>
      <w:r w:rsidRPr="00DF3B79">
        <w:rPr>
          <w:noProof/>
          <w:color w:val="FFFFFF" w:themeColor="background1"/>
          <w:sz w:val="40"/>
          <w:szCs w:val="40"/>
        </w:rPr>
        <w:drawing>
          <wp:inline distT="0" distB="0" distL="0" distR="0" wp14:anchorId="28662693" wp14:editId="71E29AB5">
            <wp:extent cx="2605414" cy="2605414"/>
            <wp:effectExtent l="0" t="0" r="4445" b="0"/>
            <wp:docPr id="1" name="Picture 1" descr="Logo - Department of Rehabilitation: Employment, Independence, and E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Department of Rehabilitation: Employment, Independence, and Equ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414" cy="2605414"/>
                    </a:xfrm>
                    <a:prstGeom prst="rect">
                      <a:avLst/>
                    </a:prstGeom>
                  </pic:spPr>
                </pic:pic>
              </a:graphicData>
            </a:graphic>
          </wp:inline>
        </w:drawing>
      </w:r>
      <w:r w:rsidR="003A3021" w:rsidRPr="006842A3">
        <w:rPr>
          <w:color w:val="FFFFFF" w:themeColor="background1"/>
        </w:rPr>
        <w:br w:type="page"/>
      </w:r>
    </w:p>
    <w:sdt>
      <w:sdtPr>
        <w:rPr>
          <w:b/>
          <w:bCs/>
          <w:sz w:val="40"/>
          <w:szCs w:val="40"/>
        </w:rPr>
        <w:id w:val="-1342691108"/>
        <w:docPartObj>
          <w:docPartGallery w:val="Table of Contents"/>
          <w:docPartUnique/>
        </w:docPartObj>
      </w:sdtPr>
      <w:sdtEndPr>
        <w:rPr>
          <w:noProof/>
          <w:color w:val="auto"/>
          <w:sz w:val="28"/>
          <w:szCs w:val="28"/>
        </w:rPr>
      </w:sdtEndPr>
      <w:sdtContent>
        <w:p w14:paraId="44753129" w14:textId="608FE400" w:rsidR="0059521C" w:rsidRPr="00CA5028" w:rsidRDefault="00B24545" w:rsidP="00B24545">
          <w:pPr>
            <w:rPr>
              <w:b/>
              <w:bCs/>
              <w:sz w:val="40"/>
              <w:szCs w:val="40"/>
            </w:rPr>
          </w:pPr>
          <w:r w:rsidRPr="00CA5028">
            <w:rPr>
              <w:b/>
              <w:bCs/>
              <w:sz w:val="40"/>
              <w:szCs w:val="40"/>
            </w:rPr>
            <w:t>TABLE OF CONTENTS</w:t>
          </w:r>
        </w:p>
        <w:p w14:paraId="43A53FF5" w14:textId="1F450E62" w:rsidR="00552AED" w:rsidRPr="00B30726" w:rsidRDefault="005A38FD">
          <w:pPr>
            <w:pStyle w:val="TOC1"/>
            <w:rPr>
              <w:rFonts w:asciiTheme="minorHAnsi" w:eastAsiaTheme="minorEastAsia" w:hAnsiTheme="minorHAnsi"/>
              <w:b w:val="0"/>
              <w:caps w:val="0"/>
              <w:color w:val="auto"/>
              <w:sz w:val="22"/>
              <w:szCs w:val="22"/>
            </w:rPr>
          </w:pPr>
          <w:r w:rsidRPr="00B30726">
            <w:rPr>
              <w:color w:val="auto"/>
            </w:rPr>
            <w:fldChar w:fldCharType="begin"/>
          </w:r>
          <w:r w:rsidRPr="00B30726">
            <w:rPr>
              <w:color w:val="auto"/>
            </w:rPr>
            <w:instrText xml:space="preserve"> TOC \o "1-3" \h \z \u </w:instrText>
          </w:r>
          <w:r w:rsidRPr="00B30726">
            <w:rPr>
              <w:color w:val="auto"/>
            </w:rPr>
            <w:fldChar w:fldCharType="separate"/>
          </w:r>
          <w:hyperlink w:anchor="_Toc90632161" w:history="1">
            <w:r w:rsidR="00552AED" w:rsidRPr="00B30726">
              <w:rPr>
                <w:rStyle w:val="Hyperlink"/>
                <w:color w:val="auto"/>
              </w:rPr>
              <w:t>Introduction</w:t>
            </w:r>
            <w:r w:rsidR="00552AED" w:rsidRPr="00B30726">
              <w:rPr>
                <w:webHidden/>
                <w:color w:val="auto"/>
              </w:rPr>
              <w:tab/>
            </w:r>
            <w:r w:rsidR="00552AED" w:rsidRPr="00B30726">
              <w:rPr>
                <w:webHidden/>
                <w:color w:val="auto"/>
              </w:rPr>
              <w:fldChar w:fldCharType="begin"/>
            </w:r>
            <w:r w:rsidR="00552AED" w:rsidRPr="00B30726">
              <w:rPr>
                <w:webHidden/>
                <w:color w:val="auto"/>
              </w:rPr>
              <w:instrText xml:space="preserve"> PAGEREF _Toc90632161 \h </w:instrText>
            </w:r>
            <w:r w:rsidR="00552AED" w:rsidRPr="00B30726">
              <w:rPr>
                <w:webHidden/>
                <w:color w:val="auto"/>
              </w:rPr>
            </w:r>
            <w:r w:rsidR="00552AED" w:rsidRPr="00B30726">
              <w:rPr>
                <w:webHidden/>
                <w:color w:val="auto"/>
              </w:rPr>
              <w:fldChar w:fldCharType="separate"/>
            </w:r>
            <w:r w:rsidR="00552AED" w:rsidRPr="00B30726">
              <w:rPr>
                <w:webHidden/>
                <w:color w:val="auto"/>
              </w:rPr>
              <w:t>3</w:t>
            </w:r>
            <w:r w:rsidR="00552AED" w:rsidRPr="00B30726">
              <w:rPr>
                <w:webHidden/>
                <w:color w:val="auto"/>
              </w:rPr>
              <w:fldChar w:fldCharType="end"/>
            </w:r>
          </w:hyperlink>
        </w:p>
        <w:p w14:paraId="35937BB6" w14:textId="79DDA23A"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62" w:history="1">
            <w:r w:rsidR="00552AED" w:rsidRPr="00B30726">
              <w:rPr>
                <w:rStyle w:val="Hyperlink"/>
                <w:noProof/>
                <w:color w:val="auto"/>
              </w:rPr>
              <w:t>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The Department of Rehabilitation’s Mission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_Toc90632162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3</w:t>
            </w:r>
            <w:r w:rsidR="00552AED" w:rsidRPr="00B30726">
              <w:rPr>
                <w:noProof/>
                <w:webHidden/>
                <w:color w:val="auto"/>
              </w:rPr>
              <w:fldChar w:fldCharType="end"/>
            </w:r>
          </w:hyperlink>
        </w:p>
        <w:p w14:paraId="75FDC98F" w14:textId="4C35C11C"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63" w:history="1">
            <w:r w:rsidR="00552AED" w:rsidRPr="00B30726">
              <w:rPr>
                <w:rStyle w:val="Hyperlink"/>
                <w:noProof/>
                <w:color w:val="auto"/>
              </w:rPr>
              <w:t>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Consumer Satisfaction Survey</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_Toc90632163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3</w:t>
            </w:r>
            <w:r w:rsidR="00552AED" w:rsidRPr="00B30726">
              <w:rPr>
                <w:noProof/>
                <w:webHidden/>
                <w:color w:val="auto"/>
              </w:rPr>
              <w:fldChar w:fldCharType="end"/>
            </w:r>
          </w:hyperlink>
        </w:p>
        <w:p w14:paraId="242A67FD" w14:textId="2B4AFFEB"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64" w:history="1">
            <w:r w:rsidR="00552AED" w:rsidRPr="00B30726">
              <w:rPr>
                <w:rStyle w:val="Hyperlink"/>
                <w:noProof/>
                <w:color w:val="auto"/>
              </w:rPr>
              <w:t>III.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SFY 2020-21 Consumer Satisfcation Survey</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_Toc90632164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3</w:t>
            </w:r>
            <w:r w:rsidR="00552AED" w:rsidRPr="00B30726">
              <w:rPr>
                <w:noProof/>
                <w:webHidden/>
                <w:color w:val="auto"/>
              </w:rPr>
              <w:fldChar w:fldCharType="end"/>
            </w:r>
          </w:hyperlink>
        </w:p>
        <w:p w14:paraId="09E42443" w14:textId="6FB0969D"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65"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Revisions to Survey Methodology, Questions, and Analysis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_Toc90632165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3</w:t>
            </w:r>
            <w:r w:rsidR="00552AED" w:rsidRPr="00B30726">
              <w:rPr>
                <w:noProof/>
                <w:webHidden/>
                <w:color w:val="auto"/>
              </w:rPr>
              <w:fldChar w:fldCharType="end"/>
            </w:r>
          </w:hyperlink>
        </w:p>
        <w:p w14:paraId="104FDF88" w14:textId="37924127"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66"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Overview of CSS Results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_Toc90632166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4</w:t>
            </w:r>
            <w:r w:rsidR="00552AED" w:rsidRPr="00B30726">
              <w:rPr>
                <w:noProof/>
                <w:webHidden/>
                <w:color w:val="auto"/>
              </w:rPr>
              <w:fldChar w:fldCharType="end"/>
            </w:r>
          </w:hyperlink>
        </w:p>
        <w:p w14:paraId="633F18EE" w14:textId="1FEB7557" w:rsidR="00552AED" w:rsidRPr="00B30726" w:rsidRDefault="00B30726">
          <w:pPr>
            <w:pStyle w:val="TOC1"/>
            <w:rPr>
              <w:rFonts w:asciiTheme="minorHAnsi" w:eastAsiaTheme="minorEastAsia" w:hAnsiTheme="minorHAnsi"/>
              <w:b w:val="0"/>
              <w:caps w:val="0"/>
              <w:color w:val="auto"/>
              <w:sz w:val="22"/>
              <w:szCs w:val="22"/>
            </w:rPr>
          </w:pPr>
          <w:hyperlink w:anchor="_Toc90632167" w:history="1">
            <w:r w:rsidR="00552AED" w:rsidRPr="00B30726">
              <w:rPr>
                <w:rStyle w:val="Hyperlink"/>
                <w:color w:val="auto"/>
              </w:rPr>
              <w:t>Methodology</w:t>
            </w:r>
            <w:r w:rsidR="00552AED" w:rsidRPr="00B30726">
              <w:rPr>
                <w:webHidden/>
                <w:color w:val="auto"/>
              </w:rPr>
              <w:tab/>
            </w:r>
            <w:r w:rsidR="00552AED" w:rsidRPr="00B30726">
              <w:rPr>
                <w:webHidden/>
                <w:color w:val="auto"/>
              </w:rPr>
              <w:fldChar w:fldCharType="begin"/>
            </w:r>
            <w:r w:rsidR="00552AED" w:rsidRPr="00B30726">
              <w:rPr>
                <w:webHidden/>
                <w:color w:val="auto"/>
              </w:rPr>
              <w:instrText xml:space="preserve"> PAGEREF _Toc90632167 \h </w:instrText>
            </w:r>
            <w:r w:rsidR="00552AED" w:rsidRPr="00B30726">
              <w:rPr>
                <w:webHidden/>
                <w:color w:val="auto"/>
              </w:rPr>
            </w:r>
            <w:r w:rsidR="00552AED" w:rsidRPr="00B30726">
              <w:rPr>
                <w:webHidden/>
                <w:color w:val="auto"/>
              </w:rPr>
              <w:fldChar w:fldCharType="separate"/>
            </w:r>
            <w:r w:rsidR="00552AED" w:rsidRPr="00B30726">
              <w:rPr>
                <w:webHidden/>
                <w:color w:val="auto"/>
              </w:rPr>
              <w:t>5</w:t>
            </w:r>
            <w:r w:rsidR="00552AED" w:rsidRPr="00B30726">
              <w:rPr>
                <w:webHidden/>
                <w:color w:val="auto"/>
              </w:rPr>
              <w:fldChar w:fldCharType="end"/>
            </w:r>
          </w:hyperlink>
        </w:p>
        <w:p w14:paraId="06AC48F7" w14:textId="590119E2"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68" w:history="1">
            <w:r w:rsidR="00552AED" w:rsidRPr="00B30726">
              <w:rPr>
                <w:rStyle w:val="Hyperlink"/>
                <w:noProof/>
                <w:color w:val="auto"/>
              </w:rPr>
              <w:t>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Design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_Toc90632168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5</w:t>
            </w:r>
            <w:r w:rsidR="00552AED" w:rsidRPr="00B30726">
              <w:rPr>
                <w:noProof/>
                <w:webHidden/>
                <w:color w:val="auto"/>
              </w:rPr>
              <w:fldChar w:fldCharType="end"/>
            </w:r>
          </w:hyperlink>
        </w:p>
        <w:p w14:paraId="1A77F1CB" w14:textId="6BBC4530"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69"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Population Size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_Toc90632169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5</w:t>
            </w:r>
            <w:r w:rsidR="00552AED" w:rsidRPr="00B30726">
              <w:rPr>
                <w:noProof/>
                <w:webHidden/>
                <w:color w:val="auto"/>
              </w:rPr>
              <w:fldChar w:fldCharType="end"/>
            </w:r>
          </w:hyperlink>
        </w:p>
        <w:p w14:paraId="0683A5DB" w14:textId="622BD70B"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70"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Delivery</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_Toc90632170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5</w:t>
            </w:r>
            <w:r w:rsidR="00552AED" w:rsidRPr="00B30726">
              <w:rPr>
                <w:noProof/>
                <w:webHidden/>
                <w:color w:val="auto"/>
              </w:rPr>
              <w:fldChar w:fldCharType="end"/>
            </w:r>
          </w:hyperlink>
        </w:p>
        <w:p w14:paraId="037E8360" w14:textId="5CEC80EA"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71" w:history="1">
            <w:r w:rsidR="00552AED" w:rsidRPr="00B30726">
              <w:rPr>
                <w:rStyle w:val="Hyperlink"/>
                <w:noProof/>
                <w:color w:val="auto"/>
              </w:rPr>
              <w:t>C.</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Languages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_Toc90632171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6</w:t>
            </w:r>
            <w:r w:rsidR="00552AED" w:rsidRPr="00B30726">
              <w:rPr>
                <w:noProof/>
                <w:webHidden/>
                <w:color w:val="auto"/>
              </w:rPr>
              <w:fldChar w:fldCharType="end"/>
            </w:r>
          </w:hyperlink>
        </w:p>
        <w:p w14:paraId="2782B1EC" w14:textId="528437D0"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72" w:history="1">
            <w:r w:rsidR="00552AED" w:rsidRPr="00B30726">
              <w:rPr>
                <w:rStyle w:val="Hyperlink"/>
                <w:noProof/>
                <w:color w:val="auto"/>
              </w:rPr>
              <w:t>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Participant Demographics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_Toc90632172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6</w:t>
            </w:r>
            <w:r w:rsidR="00552AED" w:rsidRPr="00B30726">
              <w:rPr>
                <w:noProof/>
                <w:webHidden/>
                <w:color w:val="auto"/>
              </w:rPr>
              <w:fldChar w:fldCharType="end"/>
            </w:r>
          </w:hyperlink>
        </w:p>
        <w:p w14:paraId="5BF07F7A" w14:textId="16272D8F"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73" w:history="1">
            <w:r w:rsidR="00552AED" w:rsidRPr="00B30726">
              <w:rPr>
                <w:rStyle w:val="Hyperlink"/>
                <w:noProof/>
                <w:color w:val="auto"/>
              </w:rPr>
              <w:t>III.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Satisfaction Ratings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_Toc90632173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6</w:t>
            </w:r>
            <w:r w:rsidR="00552AED" w:rsidRPr="00B30726">
              <w:rPr>
                <w:noProof/>
                <w:webHidden/>
                <w:color w:val="auto"/>
              </w:rPr>
              <w:fldChar w:fldCharType="end"/>
            </w:r>
          </w:hyperlink>
        </w:p>
        <w:p w14:paraId="345755DF" w14:textId="56083511"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74" w:history="1">
            <w:r w:rsidR="00552AED" w:rsidRPr="00B30726">
              <w:rPr>
                <w:rStyle w:val="Hyperlink"/>
                <w:noProof/>
                <w:color w:val="auto"/>
              </w:rPr>
              <w:t>IV.</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Employment Barriers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_Toc90632174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7</w:t>
            </w:r>
            <w:r w:rsidR="00552AED" w:rsidRPr="00B30726">
              <w:rPr>
                <w:noProof/>
                <w:webHidden/>
                <w:color w:val="auto"/>
              </w:rPr>
              <w:fldChar w:fldCharType="end"/>
            </w:r>
          </w:hyperlink>
        </w:p>
        <w:p w14:paraId="15860ABB" w14:textId="3588C7D3"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75" w:history="1">
            <w:r w:rsidR="00552AED" w:rsidRPr="00B30726">
              <w:rPr>
                <w:rStyle w:val="Hyperlink"/>
                <w:noProof/>
                <w:color w:val="auto"/>
              </w:rPr>
              <w:t>V.</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Additional Feedback</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_Toc90632175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7</w:t>
            </w:r>
            <w:r w:rsidR="00552AED" w:rsidRPr="00B30726">
              <w:rPr>
                <w:noProof/>
                <w:webHidden/>
                <w:color w:val="auto"/>
              </w:rPr>
              <w:fldChar w:fldCharType="end"/>
            </w:r>
          </w:hyperlink>
        </w:p>
        <w:p w14:paraId="52565CAF" w14:textId="6C37C9F0" w:rsidR="00552AED" w:rsidRPr="00B30726" w:rsidRDefault="00B30726">
          <w:pPr>
            <w:pStyle w:val="TOC1"/>
            <w:rPr>
              <w:rFonts w:asciiTheme="minorHAnsi" w:eastAsiaTheme="minorEastAsia" w:hAnsiTheme="minorHAnsi"/>
              <w:b w:val="0"/>
              <w:caps w:val="0"/>
              <w:color w:val="auto"/>
              <w:sz w:val="22"/>
              <w:szCs w:val="22"/>
            </w:rPr>
          </w:pPr>
          <w:hyperlink w:anchor="_Toc90632176" w:history="1">
            <w:r w:rsidR="00552AED" w:rsidRPr="00B30726">
              <w:rPr>
                <w:rStyle w:val="Hyperlink"/>
                <w:color w:val="auto"/>
              </w:rPr>
              <w:t>Consumer Satisfaction Survey Results</w:t>
            </w:r>
            <w:r w:rsidR="00552AED" w:rsidRPr="00B30726">
              <w:rPr>
                <w:webHidden/>
                <w:color w:val="auto"/>
              </w:rPr>
              <w:tab/>
            </w:r>
            <w:r w:rsidR="00552AED" w:rsidRPr="00B30726">
              <w:rPr>
                <w:webHidden/>
                <w:color w:val="auto"/>
              </w:rPr>
              <w:fldChar w:fldCharType="begin"/>
            </w:r>
            <w:r w:rsidR="00552AED" w:rsidRPr="00B30726">
              <w:rPr>
                <w:webHidden/>
                <w:color w:val="auto"/>
              </w:rPr>
              <w:instrText xml:space="preserve"> PAGEREF _Toc90632176 \h </w:instrText>
            </w:r>
            <w:r w:rsidR="00552AED" w:rsidRPr="00B30726">
              <w:rPr>
                <w:webHidden/>
                <w:color w:val="auto"/>
              </w:rPr>
            </w:r>
            <w:r w:rsidR="00552AED" w:rsidRPr="00B30726">
              <w:rPr>
                <w:webHidden/>
                <w:color w:val="auto"/>
              </w:rPr>
              <w:fldChar w:fldCharType="separate"/>
            </w:r>
            <w:r w:rsidR="00552AED" w:rsidRPr="00B30726">
              <w:rPr>
                <w:webHidden/>
                <w:color w:val="auto"/>
              </w:rPr>
              <w:t>7</w:t>
            </w:r>
            <w:r w:rsidR="00552AED" w:rsidRPr="00B30726">
              <w:rPr>
                <w:webHidden/>
                <w:color w:val="auto"/>
              </w:rPr>
              <w:fldChar w:fldCharType="end"/>
            </w:r>
          </w:hyperlink>
        </w:p>
        <w:p w14:paraId="562E7A9E" w14:textId="5057D8E7"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77" w:history="1">
            <w:r w:rsidR="00552AED" w:rsidRPr="00B30726">
              <w:rPr>
                <w:rStyle w:val="Hyperlink"/>
                <w:noProof/>
                <w:color w:val="auto"/>
              </w:rPr>
              <w:t>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Engagement</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_Toc90632177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7</w:t>
            </w:r>
            <w:r w:rsidR="00552AED" w:rsidRPr="00B30726">
              <w:rPr>
                <w:noProof/>
                <w:webHidden/>
                <w:color w:val="auto"/>
              </w:rPr>
              <w:fldChar w:fldCharType="end"/>
            </w:r>
          </w:hyperlink>
        </w:p>
        <w:p w14:paraId="5022DF75" w14:textId="0B2616D6"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78" w:history="1">
            <w:r w:rsidR="00552AED" w:rsidRPr="00B30726">
              <w:rPr>
                <w:rStyle w:val="Hyperlink"/>
                <w:noProof/>
                <w:color w:val="auto"/>
              </w:rPr>
              <w:t>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Consumer Satisfaction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_Toc90632178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9</w:t>
            </w:r>
            <w:r w:rsidR="00552AED" w:rsidRPr="00B30726">
              <w:rPr>
                <w:noProof/>
                <w:webHidden/>
                <w:color w:val="auto"/>
              </w:rPr>
              <w:fldChar w:fldCharType="end"/>
            </w:r>
          </w:hyperlink>
        </w:p>
        <w:p w14:paraId="64E36019" w14:textId="04E2B94B"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79"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DOR Experience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_Toc90632179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9</w:t>
            </w:r>
            <w:r w:rsidR="00552AED" w:rsidRPr="00B30726">
              <w:rPr>
                <w:noProof/>
                <w:webHidden/>
                <w:color w:val="auto"/>
              </w:rPr>
              <w:fldChar w:fldCharType="end"/>
            </w:r>
          </w:hyperlink>
        </w:p>
        <w:p w14:paraId="01EA7BB3" w14:textId="6EC92786"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0"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DOR Counselors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_Toc90632180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10</w:t>
            </w:r>
            <w:r w:rsidR="00552AED" w:rsidRPr="00B30726">
              <w:rPr>
                <w:noProof/>
                <w:webHidden/>
                <w:color w:val="auto"/>
              </w:rPr>
              <w:fldChar w:fldCharType="end"/>
            </w:r>
          </w:hyperlink>
        </w:p>
        <w:p w14:paraId="1B9822A0" w14:textId="62A95D07"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1" w:history="1">
            <w:r w:rsidR="00552AED" w:rsidRPr="00B30726">
              <w:rPr>
                <w:rStyle w:val="Hyperlink"/>
                <w:noProof/>
                <w:color w:val="auto"/>
              </w:rPr>
              <w:t>C.</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Service Providers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_Toc90632181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11</w:t>
            </w:r>
            <w:r w:rsidR="00552AED" w:rsidRPr="00B30726">
              <w:rPr>
                <w:noProof/>
                <w:webHidden/>
                <w:color w:val="auto"/>
              </w:rPr>
              <w:fldChar w:fldCharType="end"/>
            </w:r>
          </w:hyperlink>
        </w:p>
        <w:p w14:paraId="36750821" w14:textId="4EA359A1"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2" w:history="1">
            <w:r w:rsidR="00552AED" w:rsidRPr="00B30726">
              <w:rPr>
                <w:rStyle w:val="Hyperlink"/>
                <w:noProof/>
                <w:color w:val="auto"/>
              </w:rPr>
              <w:t>D.</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Employment Services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_Toc90632182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13</w:t>
            </w:r>
            <w:r w:rsidR="00552AED" w:rsidRPr="00B30726">
              <w:rPr>
                <w:noProof/>
                <w:webHidden/>
                <w:color w:val="auto"/>
              </w:rPr>
              <w:fldChar w:fldCharType="end"/>
            </w:r>
          </w:hyperlink>
        </w:p>
        <w:p w14:paraId="42C5A6B7" w14:textId="17C9B318"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3" w:history="1">
            <w:r w:rsidR="00552AED" w:rsidRPr="00B30726">
              <w:rPr>
                <w:rStyle w:val="Hyperlink"/>
                <w:noProof/>
                <w:color w:val="auto"/>
              </w:rPr>
              <w:t>E.</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Current Employment</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_Toc90632183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14</w:t>
            </w:r>
            <w:r w:rsidR="00552AED" w:rsidRPr="00B30726">
              <w:rPr>
                <w:noProof/>
                <w:webHidden/>
                <w:color w:val="auto"/>
              </w:rPr>
              <w:fldChar w:fldCharType="end"/>
            </w:r>
          </w:hyperlink>
        </w:p>
        <w:p w14:paraId="33999452" w14:textId="1004F3DE"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4" w:history="1">
            <w:r w:rsidR="00552AED" w:rsidRPr="00B30726">
              <w:rPr>
                <w:rStyle w:val="Hyperlink"/>
                <w:noProof/>
                <w:color w:val="auto"/>
              </w:rPr>
              <w:t>F.</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Improved Employment Opportunities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_Toc90632184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15</w:t>
            </w:r>
            <w:r w:rsidR="00552AED" w:rsidRPr="00B30726">
              <w:rPr>
                <w:noProof/>
                <w:webHidden/>
                <w:color w:val="auto"/>
              </w:rPr>
              <w:fldChar w:fldCharType="end"/>
            </w:r>
          </w:hyperlink>
        </w:p>
        <w:p w14:paraId="25DBDF76" w14:textId="626715CA"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85" w:history="1">
            <w:r w:rsidR="00552AED" w:rsidRPr="00B30726">
              <w:rPr>
                <w:rStyle w:val="Hyperlink"/>
                <w:noProof/>
                <w:color w:val="auto"/>
              </w:rPr>
              <w:t>III.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Results by Consumer DOR District</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_Toc90632185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16</w:t>
            </w:r>
            <w:r w:rsidR="00552AED" w:rsidRPr="00B30726">
              <w:rPr>
                <w:noProof/>
                <w:webHidden/>
                <w:color w:val="auto"/>
              </w:rPr>
              <w:fldChar w:fldCharType="end"/>
            </w:r>
          </w:hyperlink>
        </w:p>
        <w:p w14:paraId="7F188B41" w14:textId="6297BCD8"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6"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Responses by Consumer DOR District</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_Toc90632186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16</w:t>
            </w:r>
            <w:r w:rsidR="00552AED" w:rsidRPr="00B30726">
              <w:rPr>
                <w:noProof/>
                <w:webHidden/>
                <w:color w:val="auto"/>
              </w:rPr>
              <w:fldChar w:fldCharType="end"/>
            </w:r>
          </w:hyperlink>
        </w:p>
        <w:p w14:paraId="6BA33133" w14:textId="0C519B11"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7"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Satisfaction by Consumer DOR District</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_Toc90632187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18</w:t>
            </w:r>
            <w:r w:rsidR="00552AED" w:rsidRPr="00B30726">
              <w:rPr>
                <w:noProof/>
                <w:webHidden/>
                <w:color w:val="auto"/>
              </w:rPr>
              <w:fldChar w:fldCharType="end"/>
            </w:r>
          </w:hyperlink>
        </w:p>
        <w:p w14:paraId="6EA363A4" w14:textId="59708C98"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88" w:history="1">
            <w:r w:rsidR="00552AED" w:rsidRPr="00B30726">
              <w:rPr>
                <w:rStyle w:val="Hyperlink"/>
                <w:noProof/>
                <w:color w:val="auto"/>
              </w:rPr>
              <w:t>IV.</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Results by Consumer Disability Type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_Toc90632188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20</w:t>
            </w:r>
            <w:r w:rsidR="00552AED" w:rsidRPr="00B30726">
              <w:rPr>
                <w:noProof/>
                <w:webHidden/>
                <w:color w:val="auto"/>
              </w:rPr>
              <w:fldChar w:fldCharType="end"/>
            </w:r>
          </w:hyperlink>
        </w:p>
        <w:p w14:paraId="0D327CFF" w14:textId="12E3796B"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89"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Responses by Consumer Disability Type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_Toc90632189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20</w:t>
            </w:r>
            <w:r w:rsidR="00552AED" w:rsidRPr="00B30726">
              <w:rPr>
                <w:noProof/>
                <w:webHidden/>
                <w:color w:val="auto"/>
              </w:rPr>
              <w:fldChar w:fldCharType="end"/>
            </w:r>
          </w:hyperlink>
        </w:p>
        <w:p w14:paraId="64F20432" w14:textId="1BA596D7"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0"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Satisfaction by Consumer Disability Type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_Toc90632190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21</w:t>
            </w:r>
            <w:r w:rsidR="00552AED" w:rsidRPr="00B30726">
              <w:rPr>
                <w:noProof/>
                <w:webHidden/>
                <w:color w:val="auto"/>
              </w:rPr>
              <w:fldChar w:fldCharType="end"/>
            </w:r>
          </w:hyperlink>
        </w:p>
        <w:p w14:paraId="3397EFE5" w14:textId="6AB353EF"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91" w:history="1">
            <w:r w:rsidR="00552AED" w:rsidRPr="00B30726">
              <w:rPr>
                <w:rStyle w:val="Hyperlink"/>
                <w:noProof/>
                <w:color w:val="auto"/>
              </w:rPr>
              <w:t>V.</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Results by Consumer Age Range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_Toc90632191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22</w:t>
            </w:r>
            <w:r w:rsidR="00552AED" w:rsidRPr="00B30726">
              <w:rPr>
                <w:noProof/>
                <w:webHidden/>
                <w:color w:val="auto"/>
              </w:rPr>
              <w:fldChar w:fldCharType="end"/>
            </w:r>
          </w:hyperlink>
        </w:p>
        <w:p w14:paraId="66DAF616" w14:textId="41FA88D5"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2"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Responses by Consumer Age Range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_Toc90632192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22</w:t>
            </w:r>
            <w:r w:rsidR="00552AED" w:rsidRPr="00B30726">
              <w:rPr>
                <w:noProof/>
                <w:webHidden/>
                <w:color w:val="auto"/>
              </w:rPr>
              <w:fldChar w:fldCharType="end"/>
            </w:r>
          </w:hyperlink>
        </w:p>
        <w:p w14:paraId="791F9849" w14:textId="7B6D676F"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3"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Satisfaction by Consumer Age Range</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_Toc90632193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24</w:t>
            </w:r>
            <w:r w:rsidR="00552AED" w:rsidRPr="00B30726">
              <w:rPr>
                <w:noProof/>
                <w:webHidden/>
                <w:color w:val="auto"/>
              </w:rPr>
              <w:fldChar w:fldCharType="end"/>
            </w:r>
          </w:hyperlink>
        </w:p>
        <w:p w14:paraId="4C2210BF" w14:textId="26B3F677"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94" w:history="1">
            <w:r w:rsidR="00552AED" w:rsidRPr="00B30726">
              <w:rPr>
                <w:rStyle w:val="Hyperlink"/>
                <w:noProof/>
                <w:color w:val="auto"/>
              </w:rPr>
              <w:t>VI.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Survey Results by Consumer Location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_Toc90632194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24</w:t>
            </w:r>
            <w:r w:rsidR="00552AED" w:rsidRPr="00B30726">
              <w:rPr>
                <w:noProof/>
                <w:webHidden/>
                <w:color w:val="auto"/>
              </w:rPr>
              <w:fldChar w:fldCharType="end"/>
            </w:r>
          </w:hyperlink>
        </w:p>
        <w:p w14:paraId="51E93C56" w14:textId="2595778E"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5"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Responses by Consumer Location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_Toc90632195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24</w:t>
            </w:r>
            <w:r w:rsidR="00552AED" w:rsidRPr="00B30726">
              <w:rPr>
                <w:noProof/>
                <w:webHidden/>
                <w:color w:val="auto"/>
              </w:rPr>
              <w:fldChar w:fldCharType="end"/>
            </w:r>
          </w:hyperlink>
        </w:p>
        <w:p w14:paraId="7BBC9DFC" w14:textId="64084CE2"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6"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Satisfaction by Consumer Location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_Toc90632196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25</w:t>
            </w:r>
            <w:r w:rsidR="00552AED" w:rsidRPr="00B30726">
              <w:rPr>
                <w:noProof/>
                <w:webHidden/>
                <w:color w:val="auto"/>
              </w:rPr>
              <w:fldChar w:fldCharType="end"/>
            </w:r>
          </w:hyperlink>
        </w:p>
        <w:p w14:paraId="0E05B839" w14:textId="1D3E813E"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197" w:history="1">
            <w:r w:rsidR="00552AED" w:rsidRPr="00B30726">
              <w:rPr>
                <w:rStyle w:val="Hyperlink"/>
                <w:noProof/>
                <w:color w:val="auto"/>
              </w:rPr>
              <w:t>VII.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Employment Barriers and Consumer Satisfaction</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_Toc90632197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26</w:t>
            </w:r>
            <w:r w:rsidR="00552AED" w:rsidRPr="00B30726">
              <w:rPr>
                <w:noProof/>
                <w:webHidden/>
                <w:color w:val="auto"/>
              </w:rPr>
              <w:fldChar w:fldCharType="end"/>
            </w:r>
          </w:hyperlink>
        </w:p>
        <w:p w14:paraId="0C7916EF" w14:textId="7468D846"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8" w:history="1">
            <w:r w:rsidR="00552AED" w:rsidRPr="00B30726">
              <w:rPr>
                <w:rStyle w:val="Hyperlink"/>
                <w:noProof/>
                <w:color w:val="auto"/>
              </w:rPr>
              <w:t>A.</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Survey Responses by Consumer Unemployment Reasons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_Toc90632198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26</w:t>
            </w:r>
            <w:r w:rsidR="00552AED" w:rsidRPr="00B30726">
              <w:rPr>
                <w:noProof/>
                <w:webHidden/>
                <w:color w:val="auto"/>
              </w:rPr>
              <w:fldChar w:fldCharType="end"/>
            </w:r>
          </w:hyperlink>
        </w:p>
        <w:p w14:paraId="1C719975" w14:textId="50689229" w:rsidR="00552AED" w:rsidRPr="00B30726" w:rsidRDefault="00B30726">
          <w:pPr>
            <w:pStyle w:val="TOC3"/>
            <w:tabs>
              <w:tab w:val="left" w:pos="1540"/>
              <w:tab w:val="right" w:leader="dot" w:pos="10790"/>
            </w:tabs>
            <w:rPr>
              <w:rFonts w:asciiTheme="minorHAnsi" w:eastAsiaTheme="minorEastAsia" w:hAnsiTheme="minorHAnsi"/>
              <w:noProof/>
              <w:color w:val="auto"/>
              <w:sz w:val="22"/>
              <w:szCs w:val="22"/>
            </w:rPr>
          </w:pPr>
          <w:hyperlink w:anchor="_Toc90632199" w:history="1">
            <w:r w:rsidR="00552AED" w:rsidRPr="00B30726">
              <w:rPr>
                <w:rStyle w:val="Hyperlink"/>
                <w:noProof/>
                <w:color w:val="auto"/>
              </w:rPr>
              <w:t>B.</w:t>
            </w:r>
            <w:r w:rsidR="00552AED" w:rsidRPr="00B30726">
              <w:rPr>
                <w:rFonts w:asciiTheme="minorHAnsi" w:eastAsiaTheme="minorEastAsia" w:hAnsiTheme="minorHAnsi"/>
                <w:noProof/>
                <w:color w:val="auto"/>
                <w:sz w:val="22"/>
                <w:szCs w:val="22"/>
              </w:rPr>
              <w:tab/>
            </w:r>
            <w:r w:rsidR="00552AED" w:rsidRPr="00B30726">
              <w:rPr>
                <w:rStyle w:val="Hyperlink"/>
                <w:noProof/>
                <w:color w:val="auto"/>
              </w:rPr>
              <w:t>Satisfaction by Consumer Unemployment Reasons</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_Toc90632199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28</w:t>
            </w:r>
            <w:r w:rsidR="00552AED" w:rsidRPr="00B30726">
              <w:rPr>
                <w:noProof/>
                <w:webHidden/>
                <w:color w:val="auto"/>
              </w:rPr>
              <w:fldChar w:fldCharType="end"/>
            </w:r>
          </w:hyperlink>
        </w:p>
        <w:p w14:paraId="4D18CDAF" w14:textId="587351FE" w:rsidR="00552AED" w:rsidRPr="00B30726" w:rsidRDefault="00B30726">
          <w:pPr>
            <w:pStyle w:val="TOC2"/>
            <w:tabs>
              <w:tab w:val="left" w:pos="1008"/>
              <w:tab w:val="right" w:leader="dot" w:pos="10790"/>
            </w:tabs>
            <w:rPr>
              <w:rFonts w:asciiTheme="minorHAnsi" w:eastAsiaTheme="minorEastAsia" w:hAnsiTheme="minorHAnsi"/>
              <w:b w:val="0"/>
              <w:noProof/>
              <w:color w:val="auto"/>
              <w:sz w:val="22"/>
              <w:szCs w:val="22"/>
            </w:rPr>
          </w:pPr>
          <w:hyperlink w:anchor="_Toc90632200" w:history="1">
            <w:r w:rsidR="00552AED" w:rsidRPr="00B30726">
              <w:rPr>
                <w:rStyle w:val="Hyperlink"/>
                <w:noProof/>
                <w:color w:val="auto"/>
              </w:rPr>
              <w:t>VIII.</w:t>
            </w:r>
            <w:r w:rsidR="00552AED" w:rsidRPr="00B30726">
              <w:rPr>
                <w:rFonts w:asciiTheme="minorHAnsi" w:eastAsiaTheme="minorEastAsia" w:hAnsiTheme="minorHAnsi"/>
                <w:b w:val="0"/>
                <w:noProof/>
                <w:color w:val="auto"/>
                <w:sz w:val="22"/>
                <w:szCs w:val="22"/>
              </w:rPr>
              <w:tab/>
            </w:r>
            <w:r w:rsidR="00552AED" w:rsidRPr="00B30726">
              <w:rPr>
                <w:rStyle w:val="Hyperlink"/>
                <w:noProof/>
                <w:color w:val="auto"/>
              </w:rPr>
              <w:t>Additional Feedback</w:t>
            </w:r>
            <w:r w:rsidR="00552AED" w:rsidRPr="00B30726">
              <w:rPr>
                <w:noProof/>
                <w:webHidden/>
                <w:color w:val="auto"/>
              </w:rPr>
              <w:tab/>
            </w:r>
            <w:r w:rsidR="00552AED" w:rsidRPr="00B30726">
              <w:rPr>
                <w:noProof/>
                <w:webHidden/>
                <w:color w:val="auto"/>
              </w:rPr>
              <w:fldChar w:fldCharType="begin"/>
            </w:r>
            <w:r w:rsidR="00552AED" w:rsidRPr="00B30726">
              <w:rPr>
                <w:noProof/>
                <w:webHidden/>
                <w:color w:val="auto"/>
              </w:rPr>
              <w:instrText xml:space="preserve"> PAGEREF _Toc90632200 \h </w:instrText>
            </w:r>
            <w:r w:rsidR="00552AED" w:rsidRPr="00B30726">
              <w:rPr>
                <w:noProof/>
                <w:webHidden/>
                <w:color w:val="auto"/>
              </w:rPr>
            </w:r>
            <w:r w:rsidR="00552AED" w:rsidRPr="00B30726">
              <w:rPr>
                <w:noProof/>
                <w:webHidden/>
                <w:color w:val="auto"/>
              </w:rPr>
              <w:fldChar w:fldCharType="separate"/>
            </w:r>
            <w:r w:rsidR="00552AED" w:rsidRPr="00B30726">
              <w:rPr>
                <w:noProof/>
                <w:webHidden/>
                <w:color w:val="auto"/>
              </w:rPr>
              <w:t>28</w:t>
            </w:r>
            <w:r w:rsidR="00552AED" w:rsidRPr="00B30726">
              <w:rPr>
                <w:noProof/>
                <w:webHidden/>
                <w:color w:val="auto"/>
              </w:rPr>
              <w:fldChar w:fldCharType="end"/>
            </w:r>
          </w:hyperlink>
        </w:p>
        <w:p w14:paraId="4B97848C" w14:textId="233A2497" w:rsidR="00552AED" w:rsidRPr="00B30726" w:rsidRDefault="00B30726">
          <w:pPr>
            <w:pStyle w:val="TOC1"/>
            <w:rPr>
              <w:rFonts w:asciiTheme="minorHAnsi" w:eastAsiaTheme="minorEastAsia" w:hAnsiTheme="minorHAnsi"/>
              <w:b w:val="0"/>
              <w:caps w:val="0"/>
              <w:color w:val="auto"/>
              <w:sz w:val="22"/>
              <w:szCs w:val="22"/>
            </w:rPr>
          </w:pPr>
          <w:hyperlink w:anchor="_Toc90632201" w:history="1">
            <w:r w:rsidR="00552AED" w:rsidRPr="00B30726">
              <w:rPr>
                <w:rStyle w:val="Hyperlink"/>
                <w:color w:val="auto"/>
              </w:rPr>
              <w:t>Conclusion</w:t>
            </w:r>
            <w:r w:rsidR="00552AED" w:rsidRPr="00B30726">
              <w:rPr>
                <w:webHidden/>
                <w:color w:val="auto"/>
              </w:rPr>
              <w:tab/>
            </w:r>
            <w:r w:rsidR="00552AED" w:rsidRPr="00B30726">
              <w:rPr>
                <w:webHidden/>
                <w:color w:val="auto"/>
              </w:rPr>
              <w:fldChar w:fldCharType="begin"/>
            </w:r>
            <w:r w:rsidR="00552AED" w:rsidRPr="00B30726">
              <w:rPr>
                <w:webHidden/>
                <w:color w:val="auto"/>
              </w:rPr>
              <w:instrText xml:space="preserve"> PAGEREF _Toc90632201 \h </w:instrText>
            </w:r>
            <w:r w:rsidR="00552AED" w:rsidRPr="00B30726">
              <w:rPr>
                <w:webHidden/>
                <w:color w:val="auto"/>
              </w:rPr>
            </w:r>
            <w:r w:rsidR="00552AED" w:rsidRPr="00B30726">
              <w:rPr>
                <w:webHidden/>
                <w:color w:val="auto"/>
              </w:rPr>
              <w:fldChar w:fldCharType="separate"/>
            </w:r>
            <w:r w:rsidR="00552AED" w:rsidRPr="00B30726">
              <w:rPr>
                <w:webHidden/>
                <w:color w:val="auto"/>
              </w:rPr>
              <w:t>30</w:t>
            </w:r>
            <w:r w:rsidR="00552AED" w:rsidRPr="00B30726">
              <w:rPr>
                <w:webHidden/>
                <w:color w:val="auto"/>
              </w:rPr>
              <w:fldChar w:fldCharType="end"/>
            </w:r>
          </w:hyperlink>
        </w:p>
        <w:p w14:paraId="5EEBD4CC" w14:textId="0EC4BDC3" w:rsidR="0059521C" w:rsidRPr="00B30726" w:rsidRDefault="005A38FD" w:rsidP="009C4ECC">
          <w:pPr>
            <w:outlineLvl w:val="1"/>
            <w:rPr>
              <w:color w:val="auto"/>
            </w:rPr>
          </w:pPr>
          <w:r w:rsidRPr="00B30726">
            <w:rPr>
              <w:b/>
              <w:caps/>
              <w:color w:val="auto"/>
              <w:sz w:val="32"/>
            </w:rPr>
            <w:fldChar w:fldCharType="end"/>
          </w:r>
        </w:p>
      </w:sdtContent>
    </w:sdt>
    <w:p w14:paraId="1604F9A1" w14:textId="4D856130" w:rsidR="00EF4911" w:rsidRPr="00B30726" w:rsidRDefault="00EF4911">
      <w:pPr>
        <w:spacing w:after="160" w:line="259" w:lineRule="auto"/>
        <w:rPr>
          <w:b/>
          <w:color w:val="auto"/>
          <w:sz w:val="52"/>
        </w:rPr>
      </w:pPr>
    </w:p>
    <w:p w14:paraId="214072FE" w14:textId="77777777" w:rsidR="00114B3E" w:rsidRDefault="00114B3E">
      <w:pPr>
        <w:spacing w:after="160" w:line="259" w:lineRule="auto"/>
        <w:rPr>
          <w:b/>
          <w:sz w:val="52"/>
        </w:rPr>
      </w:pPr>
      <w:r>
        <w:br w:type="page"/>
      </w:r>
    </w:p>
    <w:p w14:paraId="649C6703" w14:textId="77777777" w:rsidR="00CA5028" w:rsidRDefault="00CA5028" w:rsidP="00F30EAE">
      <w:pPr>
        <w:pStyle w:val="ExecutiveSummary"/>
      </w:pPr>
      <w:r>
        <w:lastRenderedPageBreak/>
        <w:t>Consumer Satisfaction Survey</w:t>
      </w:r>
    </w:p>
    <w:p w14:paraId="5E3E6798" w14:textId="20CC9C7F" w:rsidR="00F30EAE" w:rsidRDefault="00F30EAE" w:rsidP="00F30EAE">
      <w:pPr>
        <w:pStyle w:val="ExecutiveSummary"/>
      </w:pPr>
      <w:r>
        <w:t>Executive Summary</w:t>
      </w:r>
    </w:p>
    <w:p w14:paraId="066B266C" w14:textId="019E15D2" w:rsidR="006F07C7" w:rsidRDefault="006F07C7" w:rsidP="006F07C7">
      <w:pPr>
        <w:pStyle w:val="SectionHeadings"/>
      </w:pPr>
      <w:bookmarkStart w:id="0" w:name="_Toc90632161"/>
      <w:r>
        <w:t>Introduction</w:t>
      </w:r>
      <w:bookmarkEnd w:id="0"/>
    </w:p>
    <w:p w14:paraId="2A39FAE0" w14:textId="1E79262E" w:rsidR="006F07C7" w:rsidRDefault="006F07C7" w:rsidP="00635226">
      <w:pPr>
        <w:pStyle w:val="SectionSub-Headings"/>
      </w:pPr>
      <w:bookmarkStart w:id="1" w:name="_Toc90632162"/>
      <w:r>
        <w:t xml:space="preserve">The Department </w:t>
      </w:r>
      <w:r w:rsidRPr="004107B2">
        <w:t>of</w:t>
      </w:r>
      <w:r>
        <w:t xml:space="preserve"> Rehabilitation’s Mission</w:t>
      </w:r>
      <w:bookmarkEnd w:id="1"/>
    </w:p>
    <w:p w14:paraId="7E7DA2B6" w14:textId="68D76491" w:rsidR="00F30EAE" w:rsidRDefault="00F30EAE" w:rsidP="004107B2">
      <w:pPr>
        <w:spacing w:before="240"/>
      </w:pPr>
      <w:r w:rsidRPr="00E10FD9">
        <w:t>The mission of the Department of Rehabilitation (DOR) is to work in partnership with consumers and other stakeholders to provide services and advocacy resulting in employment, independent living, and equality for individuals with disabilities.</w:t>
      </w:r>
    </w:p>
    <w:p w14:paraId="7531FF2F" w14:textId="7AD3966E" w:rsidR="006F07C7" w:rsidRDefault="002455D1" w:rsidP="00635226">
      <w:pPr>
        <w:pStyle w:val="SectionSub-Headings"/>
      </w:pPr>
      <w:bookmarkStart w:id="2" w:name="_Toc90632163"/>
      <w:r>
        <w:t>Consumer S</w:t>
      </w:r>
      <w:r w:rsidR="00046636">
        <w:t>a</w:t>
      </w:r>
      <w:r>
        <w:t>tisfaction Survey</w:t>
      </w:r>
      <w:bookmarkEnd w:id="2"/>
    </w:p>
    <w:p w14:paraId="13122405" w14:textId="4BD1A822" w:rsidR="006F07C7" w:rsidRDefault="00F30EAE" w:rsidP="004107B2">
      <w:pPr>
        <w:spacing w:before="240"/>
      </w:pPr>
      <w:r w:rsidRPr="00E10FD9">
        <w:t xml:space="preserve">The DOR Vocational Rehabilitation program provides direct services to eligible individuals with significant disabilities to prepare for, find, and </w:t>
      </w:r>
      <w:r>
        <w:t>retain</w:t>
      </w:r>
      <w:r w:rsidRPr="00E10FD9">
        <w:t xml:space="preserve"> a job. In furtherance of its mission, DOR recognizes the value of consumer input to evaluate services, processes, and improve results. In accordance with 34 Code of Federal Regulation </w:t>
      </w:r>
      <w:r w:rsidRPr="00E10FD9">
        <w:rPr>
          <w:rFonts w:cs="Arial"/>
        </w:rPr>
        <w:t>§</w:t>
      </w:r>
      <w:r w:rsidRPr="00E10FD9">
        <w:t>361.17 (h)(4), DOR</w:t>
      </w:r>
      <w:r>
        <w:t>,</w:t>
      </w:r>
      <w:r w:rsidRPr="00E10FD9">
        <w:t xml:space="preserve"> in collaboration with the State Rehabilitation Council (SRC)</w:t>
      </w:r>
      <w:r>
        <w:t>,</w:t>
      </w:r>
      <w:r w:rsidRPr="00E10FD9">
        <w:t xml:space="preserve"> conducts an annual Consumer Satisfaction Survey (CSS) </w:t>
      </w:r>
      <w:r w:rsidR="0042674F">
        <w:t>as</w:t>
      </w:r>
      <w:r w:rsidRPr="00E10FD9">
        <w:t xml:space="preserve"> an effort to ensure that DOR is meeting its vocational rehabilitation program responsibilities to its consumers by providing </w:t>
      </w:r>
      <w:r>
        <w:t>high-</w:t>
      </w:r>
      <w:r w:rsidRPr="00E10FD9">
        <w:t xml:space="preserve">quality, effective services that ultimately result in employment outcomes. </w:t>
      </w:r>
    </w:p>
    <w:p w14:paraId="00F2EDE4" w14:textId="6AB02B7A" w:rsidR="00F30EAE" w:rsidRPr="00E10FD9" w:rsidRDefault="00AE6257" w:rsidP="00F30EAE">
      <w:r>
        <w:t>The CSS gathers</w:t>
      </w:r>
      <w:r w:rsidR="007714BF">
        <w:t xml:space="preserve"> anonymous</w:t>
      </w:r>
      <w:r>
        <w:t xml:space="preserve"> feedback from </w:t>
      </w:r>
      <w:r w:rsidR="00874448">
        <w:t xml:space="preserve">individuals who received services from DOR in the previous State Fiscal Year (SFY). </w:t>
      </w:r>
      <w:r w:rsidR="00F30EAE" w:rsidRPr="00E10FD9">
        <w:t xml:space="preserve">The survey results </w:t>
      </w:r>
      <w:r w:rsidR="00F30EAE">
        <w:t xml:space="preserve">inform the Department and the SRC and are utilized to </w:t>
      </w:r>
      <w:r w:rsidR="00F30EAE" w:rsidRPr="00E10FD9">
        <w:t>increase effectiveness and efficiency in the service delivery process, both internally and externally. This report is shared with DOR staff, consumers, and the public</w:t>
      </w:r>
      <w:r w:rsidR="00F30EAE">
        <w:t xml:space="preserve">. </w:t>
      </w:r>
      <w:r w:rsidR="00E82EAE">
        <w:t>It is published</w:t>
      </w:r>
      <w:r w:rsidR="00F30EAE">
        <w:t xml:space="preserve"> on DOR</w:t>
      </w:r>
      <w:r w:rsidR="00D55A46">
        <w:t>’s</w:t>
      </w:r>
      <w:r w:rsidR="00F30EAE">
        <w:t xml:space="preserve"> intranet and internet domains.</w:t>
      </w:r>
      <w:r w:rsidR="007160C4">
        <w:t xml:space="preserve"> Additionally, the data is </w:t>
      </w:r>
      <w:r w:rsidR="00C924A2">
        <w:t>available</w:t>
      </w:r>
      <w:r w:rsidR="007160C4">
        <w:t xml:space="preserve"> as an interactive dashboard </w:t>
      </w:r>
      <w:r w:rsidR="00795004">
        <w:t xml:space="preserve">through the Planning Unit </w:t>
      </w:r>
      <w:r w:rsidR="007160C4">
        <w:t>on DOR</w:t>
      </w:r>
      <w:r w:rsidR="00D55A46">
        <w:t>’s</w:t>
      </w:r>
      <w:r w:rsidR="007160C4">
        <w:t xml:space="preserve"> intranet</w:t>
      </w:r>
      <w:r w:rsidR="00C924A2">
        <w:t xml:space="preserve"> domain</w:t>
      </w:r>
      <w:r w:rsidR="007160C4">
        <w:t>.</w:t>
      </w:r>
    </w:p>
    <w:p w14:paraId="5B7D54DC" w14:textId="2F8EA7BB" w:rsidR="00F30EAE" w:rsidRDefault="00F30EAE" w:rsidP="00F30EAE">
      <w:pPr>
        <w:keepNext/>
      </w:pPr>
      <w:r w:rsidRPr="00E10FD9">
        <w:t>The SRC is a federally</w:t>
      </w:r>
      <w:r w:rsidR="005C35AA">
        <w:t xml:space="preserve"> </w:t>
      </w:r>
      <w:r w:rsidRPr="00E10FD9">
        <w:t>mandated policy advisory body composed of individuals appointed by the Governor.</w:t>
      </w:r>
      <w:r>
        <w:t xml:space="preserve"> </w:t>
      </w:r>
      <w:r w:rsidRPr="00E10FD9">
        <w:t>The DOR and SRC work jointly to determine the goals and priorities for the State’s effort on behalf of its vocational rehabilitation consumers.</w:t>
      </w:r>
    </w:p>
    <w:p w14:paraId="6064090E" w14:textId="63BCBE43" w:rsidR="007E7E91" w:rsidRDefault="007E7E91" w:rsidP="00635226">
      <w:pPr>
        <w:pStyle w:val="SectionSub-Headings"/>
      </w:pPr>
      <w:bookmarkStart w:id="3" w:name="_Toc90632164"/>
      <w:r>
        <w:t xml:space="preserve">SFY 2020-21 </w:t>
      </w:r>
      <w:r w:rsidRPr="004107B2">
        <w:t>Consumer</w:t>
      </w:r>
      <w:r>
        <w:t xml:space="preserve"> S</w:t>
      </w:r>
      <w:r w:rsidR="00046636">
        <w:t>a</w:t>
      </w:r>
      <w:r>
        <w:t>tisfcation Survey</w:t>
      </w:r>
      <w:bookmarkEnd w:id="3"/>
    </w:p>
    <w:p w14:paraId="0EF42E7C" w14:textId="2963C480" w:rsidR="006F07C7" w:rsidRDefault="00141FC3" w:rsidP="00635226">
      <w:pPr>
        <w:pStyle w:val="SectionSub-HeadingsTopics"/>
      </w:pPr>
      <w:bookmarkStart w:id="4" w:name="_Toc90632165"/>
      <w:r>
        <w:t>Revisions</w:t>
      </w:r>
      <w:r w:rsidR="007A727B">
        <w:t xml:space="preserve"> to Survey </w:t>
      </w:r>
      <w:r w:rsidR="00891E92">
        <w:t>Methodology, Questions, and Analysis</w:t>
      </w:r>
      <w:bookmarkEnd w:id="4"/>
    </w:p>
    <w:p w14:paraId="44E60BA7" w14:textId="0380DB03" w:rsidR="00B725E8" w:rsidRDefault="002E49CD" w:rsidP="002E49CD">
      <w:r>
        <w:t xml:space="preserve">In lieu of conducting the CSS in SFY 2019-20, DOR and </w:t>
      </w:r>
      <w:r w:rsidR="00D55A46">
        <w:t xml:space="preserve">the </w:t>
      </w:r>
      <w:r>
        <w:t>SRC collaborated to update and revise the survey</w:t>
      </w:r>
      <w:r w:rsidR="00851366">
        <w:t xml:space="preserve">. The goal </w:t>
      </w:r>
      <w:r w:rsidR="00B80227">
        <w:t>for making modifications</w:t>
      </w:r>
      <w:r w:rsidR="00851366">
        <w:t xml:space="preserve"> was</w:t>
      </w:r>
      <w:r>
        <w:t xml:space="preserve"> to better capture </w:t>
      </w:r>
      <w:r>
        <w:lastRenderedPageBreak/>
        <w:t>the voice of consumers, identify their DOR experiences, and improve survey methodology.</w:t>
      </w:r>
      <w:r w:rsidR="00185FF9">
        <w:t xml:space="preserve"> </w:t>
      </w:r>
    </w:p>
    <w:p w14:paraId="1C0A3E9D" w14:textId="5BE6BA81" w:rsidR="007621B3" w:rsidRDefault="007D7A46" w:rsidP="00DF463E">
      <w:r>
        <w:t xml:space="preserve">Revisions were incorporated into the SFY 2020-21 CSS. </w:t>
      </w:r>
      <w:r w:rsidR="001958A8">
        <w:t>These</w:t>
      </w:r>
      <w:r w:rsidR="000D7B9F">
        <w:t xml:space="preserve"> revisions included </w:t>
      </w:r>
      <w:r w:rsidR="00433916">
        <w:t xml:space="preserve">a </w:t>
      </w:r>
      <w:r w:rsidR="00B725E8">
        <w:t>reduced</w:t>
      </w:r>
      <w:r w:rsidR="00433916">
        <w:t xml:space="preserve"> sample size</w:t>
      </w:r>
      <w:r w:rsidR="00B725E8">
        <w:t xml:space="preserve"> to minimize oversampling while maintaining statistical confidence levels in the results. </w:t>
      </w:r>
      <w:r w:rsidR="00EE0DF4">
        <w:t>T</w:t>
      </w:r>
      <w:r w:rsidR="00CD6321">
        <w:t xml:space="preserve">o identify </w:t>
      </w:r>
      <w:r w:rsidR="00113ACC">
        <w:t>trends and</w:t>
      </w:r>
      <w:r w:rsidR="00433916">
        <w:t xml:space="preserve"> subtle</w:t>
      </w:r>
      <w:r w:rsidR="00113ACC">
        <w:t xml:space="preserve"> </w:t>
      </w:r>
      <w:r w:rsidR="00CD6321">
        <w:t xml:space="preserve">variations, </w:t>
      </w:r>
      <w:r w:rsidR="002E49CD">
        <w:t>the</w:t>
      </w:r>
      <w:r w:rsidR="00CD6321">
        <w:t xml:space="preserve"> </w:t>
      </w:r>
      <w:r w:rsidR="000E1FD2">
        <w:t xml:space="preserve">satisfaction </w:t>
      </w:r>
      <w:r w:rsidR="002E49CD">
        <w:t>rating scale</w:t>
      </w:r>
      <w:r w:rsidR="00CD6321">
        <w:t xml:space="preserve"> </w:t>
      </w:r>
      <w:r w:rsidR="000E1FD2">
        <w:t>wa</w:t>
      </w:r>
      <w:r w:rsidR="00CD6321">
        <w:t xml:space="preserve">s </w:t>
      </w:r>
      <w:r w:rsidR="0033070B">
        <w:t>increased to</w:t>
      </w:r>
      <w:r w:rsidR="00684B0F">
        <w:t xml:space="preserve"> a</w:t>
      </w:r>
      <w:r w:rsidR="002E49CD">
        <w:t xml:space="preserve"> seven-point Likert scale</w:t>
      </w:r>
      <w:r w:rsidR="00CD6321">
        <w:t xml:space="preserve">. </w:t>
      </w:r>
      <w:r w:rsidR="00684B0F">
        <w:t xml:space="preserve">To </w:t>
      </w:r>
      <w:r w:rsidR="00AB01AE">
        <w:t xml:space="preserve">identify additional barriers </w:t>
      </w:r>
      <w:r w:rsidR="003B00B3">
        <w:t>that may impact</w:t>
      </w:r>
      <w:r w:rsidR="00AB01AE">
        <w:t xml:space="preserve"> services or employment, </w:t>
      </w:r>
      <w:r w:rsidR="00A50330">
        <w:t xml:space="preserve">demographic </w:t>
      </w:r>
      <w:r w:rsidR="00AB01AE">
        <w:t>q</w:t>
      </w:r>
      <w:r w:rsidR="00CD6321">
        <w:t xml:space="preserve">uestions </w:t>
      </w:r>
      <w:r w:rsidR="00AB01AE">
        <w:t xml:space="preserve">were added to collect </w:t>
      </w:r>
      <w:r w:rsidR="00A50330">
        <w:t xml:space="preserve">data on consumers’ </w:t>
      </w:r>
      <w:r w:rsidR="00CD6321">
        <w:t>location and age</w:t>
      </w:r>
      <w:r w:rsidR="00A50330">
        <w:t>.</w:t>
      </w:r>
      <w:r w:rsidR="00251B78">
        <w:t xml:space="preserve"> </w:t>
      </w:r>
      <w:r w:rsidR="00461944">
        <w:t>T</w:t>
      </w:r>
      <w:r w:rsidR="00524442">
        <w:t>o reduce cognitive load</w:t>
      </w:r>
      <w:r w:rsidR="00D55A46">
        <w:t>,</w:t>
      </w:r>
      <w:r w:rsidR="008F0DFB">
        <w:t xml:space="preserve"> survey questions were </w:t>
      </w:r>
      <w:r w:rsidR="00F5280F">
        <w:t xml:space="preserve">categorized </w:t>
      </w:r>
      <w:r w:rsidR="00C95EE7">
        <w:t>into groups</w:t>
      </w:r>
      <w:r w:rsidR="001D169B">
        <w:t xml:space="preserve">, </w:t>
      </w:r>
      <w:r w:rsidR="008F0DFB">
        <w:t>simplified</w:t>
      </w:r>
      <w:r w:rsidR="001D169B">
        <w:t xml:space="preserve">, and </w:t>
      </w:r>
      <w:r w:rsidR="008F0DFB">
        <w:t>included</w:t>
      </w:r>
      <w:r w:rsidR="00251B78">
        <w:t xml:space="preserve"> additional context. </w:t>
      </w:r>
    </w:p>
    <w:p w14:paraId="3FFC997D" w14:textId="3956C88D" w:rsidR="00F30EAE" w:rsidRDefault="008205BC" w:rsidP="00635226">
      <w:pPr>
        <w:pStyle w:val="SectionSub-HeadingsTopics"/>
      </w:pPr>
      <w:bookmarkStart w:id="5" w:name="_Toc90632166"/>
      <w:r>
        <w:t xml:space="preserve">Overview of </w:t>
      </w:r>
      <w:r w:rsidR="001867A5">
        <w:t>CSS</w:t>
      </w:r>
      <w:r>
        <w:t xml:space="preserve"> Results</w:t>
      </w:r>
      <w:bookmarkEnd w:id="5"/>
    </w:p>
    <w:p w14:paraId="369F6D2E" w14:textId="158FEC84" w:rsidR="00D4579D" w:rsidRDefault="004D5517" w:rsidP="00D4579D">
      <w:r>
        <w:t>For SFY 2020-21, the CSS survey</w:t>
      </w:r>
      <w:r w:rsidR="005A2109">
        <w:t xml:space="preserve"> population was limited to</w:t>
      </w:r>
      <w:r>
        <w:t xml:space="preserve"> </w:t>
      </w:r>
      <w:r w:rsidR="003A4E65">
        <w:t xml:space="preserve">individuals </w:t>
      </w:r>
      <w:r w:rsidR="004D63CB">
        <w:t>who received services from DOR between July 1, 2019</w:t>
      </w:r>
      <w:r w:rsidR="00D55A46">
        <w:t>,</w:t>
      </w:r>
      <w:r w:rsidR="004D63CB">
        <w:t xml:space="preserve"> through June 30, 2020</w:t>
      </w:r>
      <w:r w:rsidR="003A4E65">
        <w:t xml:space="preserve"> (SFY 20</w:t>
      </w:r>
      <w:r w:rsidR="005F2C02">
        <w:t>19-20)</w:t>
      </w:r>
      <w:r w:rsidR="004D63CB">
        <w:t xml:space="preserve">. </w:t>
      </w:r>
      <w:r w:rsidR="009844E8">
        <w:t>The CSS had a 16.6% response rate</w:t>
      </w:r>
      <w:r w:rsidR="0047555B">
        <w:t>, which was based on the</w:t>
      </w:r>
      <w:r w:rsidR="00D4579D">
        <w:t xml:space="preserve"> 849 responses received </w:t>
      </w:r>
      <w:r w:rsidR="005132FC">
        <w:t>from</w:t>
      </w:r>
      <w:r w:rsidR="00D4579D">
        <w:t xml:space="preserve"> the 5,123 survey invitations sent. </w:t>
      </w:r>
      <w:r w:rsidR="00E44BC3">
        <w:t>These responses are equivalent to 0.8% of the survey population.</w:t>
      </w:r>
    </w:p>
    <w:p w14:paraId="5F461994" w14:textId="0014C329" w:rsidR="00546E9E" w:rsidRDefault="00EC0E9A" w:rsidP="00546E9E">
      <w:pPr>
        <w:rPr>
          <w:rFonts w:asciiTheme="majorHAnsi" w:eastAsiaTheme="majorEastAsia" w:hAnsiTheme="majorHAnsi" w:cstheme="majorBidi"/>
          <w:b/>
          <w:caps/>
          <w:color w:val="0156A5" w:themeColor="accent1"/>
          <w:sz w:val="36"/>
          <w:szCs w:val="32"/>
        </w:rPr>
      </w:pPr>
      <w:r>
        <w:t xml:space="preserve">Survey respondents most frequently reported </w:t>
      </w:r>
      <w:r w:rsidR="007E4FE4">
        <w:t>p</w:t>
      </w:r>
      <w:r w:rsidR="00FA0F79" w:rsidRPr="00FA0F79">
        <w:t>hysical</w:t>
      </w:r>
      <w:r w:rsidR="007E4FE4">
        <w:t xml:space="preserve"> </w:t>
      </w:r>
      <w:r w:rsidR="00FA0F79">
        <w:t>(22.</w:t>
      </w:r>
      <w:r w:rsidR="00DF0F34">
        <w:t>0</w:t>
      </w:r>
      <w:r w:rsidR="00FA0F79">
        <w:t>%)</w:t>
      </w:r>
      <w:r w:rsidR="00AF7417">
        <w:t xml:space="preserve"> and</w:t>
      </w:r>
      <w:r w:rsidR="00FA0F79" w:rsidRPr="00FA0F79">
        <w:t xml:space="preserve"> psychiatric</w:t>
      </w:r>
      <w:r w:rsidR="007E4FE4">
        <w:t xml:space="preserve"> </w:t>
      </w:r>
      <w:r w:rsidR="00FF54B0">
        <w:t xml:space="preserve">(21.8%) </w:t>
      </w:r>
      <w:r w:rsidR="007E4FE4">
        <w:t>disabilit</w:t>
      </w:r>
      <w:r w:rsidR="00FF54B0">
        <w:t>ies</w:t>
      </w:r>
      <w:r w:rsidR="007E4FE4">
        <w:t>.</w:t>
      </w:r>
      <w:r w:rsidR="000A1FE2">
        <w:t xml:space="preserve"> </w:t>
      </w:r>
      <w:r w:rsidR="007E4FE4">
        <w:t>The ages reported by survey participants</w:t>
      </w:r>
      <w:r w:rsidR="00FA0F79" w:rsidRPr="00FA0F79">
        <w:t xml:space="preserve"> ranged from 16 to 93 years old with an average age of </w:t>
      </w:r>
      <w:r w:rsidR="00970C0B">
        <w:t>39</w:t>
      </w:r>
      <w:r w:rsidR="00FA0F79" w:rsidRPr="00FA0F79">
        <w:t xml:space="preserve"> years old</w:t>
      </w:r>
      <w:r w:rsidR="00B61381">
        <w:t>.</w:t>
      </w:r>
      <w:r w:rsidR="00331462">
        <w:t xml:space="preserve"> </w:t>
      </w:r>
      <w:r w:rsidR="008542CE">
        <w:t xml:space="preserve">Based on the locations reported by survey </w:t>
      </w:r>
      <w:r w:rsidR="008542CE" w:rsidRPr="00E34BA1">
        <w:t xml:space="preserve">participants, </w:t>
      </w:r>
      <w:r w:rsidR="006F043A" w:rsidRPr="00E34BA1">
        <w:t>47.</w:t>
      </w:r>
      <w:r w:rsidR="00DF2DB5">
        <w:t>3</w:t>
      </w:r>
      <w:r w:rsidR="00782CA2" w:rsidRPr="00E34BA1">
        <w:t>% live in a city with a DOR office.</w:t>
      </w:r>
      <w:r w:rsidR="00546E9E" w:rsidRPr="00546E9E">
        <w:t xml:space="preserve"> </w:t>
      </w:r>
      <w:r w:rsidR="00546E9E">
        <w:t>The most frequently reported employment barriers identified by unemployed survey participants were being a s</w:t>
      </w:r>
      <w:r w:rsidR="00546E9E" w:rsidRPr="00FC6542">
        <w:t>tudent</w:t>
      </w:r>
      <w:r w:rsidR="00546E9E">
        <w:t xml:space="preserve"> (22.7%)</w:t>
      </w:r>
      <w:r w:rsidR="00546E9E" w:rsidRPr="00FC6542">
        <w:t>, still looking</w:t>
      </w:r>
      <w:r w:rsidR="00546E9E">
        <w:t xml:space="preserve"> (18.4%)</w:t>
      </w:r>
      <w:r w:rsidR="00546E9E" w:rsidRPr="00FC6542">
        <w:t>, or needing additional help</w:t>
      </w:r>
      <w:r w:rsidR="00546E9E">
        <w:t xml:space="preserve"> (12.2%). </w:t>
      </w:r>
    </w:p>
    <w:p w14:paraId="0462744A" w14:textId="4CFAD9DE" w:rsidR="00B61381" w:rsidRDefault="0000512F" w:rsidP="002247E4">
      <w:pPr>
        <w:spacing w:after="0"/>
      </w:pPr>
      <w:r>
        <w:t>Survey participants were asked to rate their satisfaction with their DOR experience, DOR counselors, service providers, employment services,</w:t>
      </w:r>
      <w:r w:rsidR="00D74F98">
        <w:t xml:space="preserve"> </w:t>
      </w:r>
      <w:r w:rsidR="00CC6756">
        <w:t>job satisfaction for employed individuals</w:t>
      </w:r>
      <w:r w:rsidR="00204FDF">
        <w:t xml:space="preserve">, and </w:t>
      </w:r>
      <w:r w:rsidR="00D74F98">
        <w:t>employment opportunities for unemployed individuals</w:t>
      </w:r>
      <w:r>
        <w:t xml:space="preserve">. </w:t>
      </w:r>
      <w:r w:rsidR="00E33CB7">
        <w:t>The</w:t>
      </w:r>
      <w:r w:rsidR="004365CB">
        <w:t xml:space="preserve"> combined weighted score for all satisfaction questions was 78.6%, which indicates that survey participants were </w:t>
      </w:r>
      <w:r w:rsidR="00CC6756">
        <w:t xml:space="preserve">overall </w:t>
      </w:r>
      <w:r w:rsidR="004365CB">
        <w:t>satisfied with</w:t>
      </w:r>
      <w:r w:rsidR="008D1204">
        <w:t xml:space="preserve"> the</w:t>
      </w:r>
      <w:r w:rsidR="004365CB">
        <w:t xml:space="preserve"> services </w:t>
      </w:r>
      <w:r w:rsidR="008D1204">
        <w:t>they have received from</w:t>
      </w:r>
      <w:r w:rsidR="004365CB">
        <w:t xml:space="preserve"> DOR and its </w:t>
      </w:r>
      <w:r w:rsidR="004365CB" w:rsidRPr="005C35AA">
        <w:t>providers</w:t>
      </w:r>
      <w:r w:rsidR="007578C0" w:rsidRPr="005C35AA">
        <w:t xml:space="preserve"> (Table 1)</w:t>
      </w:r>
      <w:r w:rsidR="00185FF9" w:rsidRPr="005C35AA">
        <w:t>.</w:t>
      </w:r>
      <w:r w:rsidR="009166A3">
        <w:t xml:space="preserve"> This level of satisfaction is </w:t>
      </w:r>
      <w:r w:rsidR="002553C4">
        <w:t xml:space="preserve">echoed in the </w:t>
      </w:r>
      <w:r w:rsidR="009166A3">
        <w:t>positive comments received from</w:t>
      </w:r>
      <w:r w:rsidR="002553C4">
        <w:t xml:space="preserve"> 141</w:t>
      </w:r>
      <w:r w:rsidR="009166A3">
        <w:t xml:space="preserve"> survey participants which praise DOR and</w:t>
      </w:r>
      <w:r w:rsidR="00DB490A">
        <w:t xml:space="preserve"> its service providers</w:t>
      </w:r>
      <w:r w:rsidR="009166A3">
        <w:t>.</w:t>
      </w:r>
    </w:p>
    <w:p w14:paraId="3424AAE9" w14:textId="578DC0DA" w:rsidR="0000512F" w:rsidRPr="0000512F" w:rsidRDefault="0000512F" w:rsidP="00CF58BC">
      <w:pPr>
        <w:pStyle w:val="TableTitle"/>
      </w:pPr>
      <w:r>
        <w:t>Overall</w:t>
      </w:r>
      <w:r w:rsidRPr="0000512F">
        <w:t xml:space="preserve"> Satisfaction Scores for CSS Question Categories </w:t>
      </w:r>
    </w:p>
    <w:tbl>
      <w:tblPr>
        <w:tblStyle w:val="TableGrid"/>
        <w:tblW w:w="0" w:type="auto"/>
        <w:jc w:val="center"/>
        <w:tblLook w:val="04A0" w:firstRow="1" w:lastRow="0" w:firstColumn="1" w:lastColumn="0" w:noHBand="0" w:noVBand="1"/>
      </w:tblPr>
      <w:tblGrid>
        <w:gridCol w:w="3672"/>
        <w:gridCol w:w="2815"/>
      </w:tblGrid>
      <w:tr w:rsidR="000D194B" w:rsidRPr="000D194B" w14:paraId="27E9261A" w14:textId="77777777" w:rsidTr="005F3322">
        <w:trPr>
          <w:jc w:val="center"/>
        </w:trPr>
        <w:tc>
          <w:tcPr>
            <w:tcW w:w="3672" w:type="dxa"/>
            <w:shd w:val="clear" w:color="auto" w:fill="00407B" w:themeFill="accent1" w:themeFillShade="BF"/>
          </w:tcPr>
          <w:p w14:paraId="378CBCB4" w14:textId="0B13ED4F" w:rsidR="00CF1F40" w:rsidRPr="000D194B" w:rsidRDefault="00CF1F40" w:rsidP="004365CB">
            <w:pPr>
              <w:spacing w:after="0"/>
              <w:rPr>
                <w:b/>
                <w:bCs/>
                <w:color w:val="FFFFFF" w:themeColor="background1"/>
              </w:rPr>
            </w:pPr>
            <w:r w:rsidRPr="000D194B">
              <w:rPr>
                <w:b/>
                <w:bCs/>
                <w:color w:val="FFFFFF" w:themeColor="background1"/>
              </w:rPr>
              <w:t>Categories</w:t>
            </w:r>
          </w:p>
        </w:tc>
        <w:tc>
          <w:tcPr>
            <w:tcW w:w="2815" w:type="dxa"/>
            <w:shd w:val="clear" w:color="auto" w:fill="00407B" w:themeFill="accent1" w:themeFillShade="BF"/>
          </w:tcPr>
          <w:p w14:paraId="2D30102C" w14:textId="795A884D" w:rsidR="00CF1F40" w:rsidRPr="000D194B" w:rsidRDefault="0000512F" w:rsidP="004365CB">
            <w:pPr>
              <w:spacing w:after="0"/>
              <w:rPr>
                <w:b/>
                <w:bCs/>
                <w:color w:val="FFFFFF" w:themeColor="background1"/>
                <w:vertAlign w:val="superscript"/>
              </w:rPr>
            </w:pPr>
            <w:r w:rsidRPr="000D194B">
              <w:rPr>
                <w:b/>
                <w:bCs/>
                <w:color w:val="FFFFFF" w:themeColor="background1"/>
              </w:rPr>
              <w:t xml:space="preserve">Satisfaction </w:t>
            </w:r>
            <w:r w:rsidR="00CF1F40" w:rsidRPr="000D194B">
              <w:rPr>
                <w:b/>
                <w:bCs/>
                <w:color w:val="FFFFFF" w:themeColor="background1"/>
              </w:rPr>
              <w:t>Score</w:t>
            </w:r>
          </w:p>
        </w:tc>
      </w:tr>
      <w:tr w:rsidR="00CF1F40" w14:paraId="39C571B3" w14:textId="77777777" w:rsidTr="005F3322">
        <w:trPr>
          <w:jc w:val="center"/>
        </w:trPr>
        <w:tc>
          <w:tcPr>
            <w:tcW w:w="3672" w:type="dxa"/>
          </w:tcPr>
          <w:p w14:paraId="36677D2D" w14:textId="45C3D1F8" w:rsidR="00CF1F40" w:rsidRDefault="00CF1F40" w:rsidP="004365CB">
            <w:pPr>
              <w:spacing w:after="0"/>
            </w:pPr>
            <w:r>
              <w:t>DOR Experience</w:t>
            </w:r>
          </w:p>
        </w:tc>
        <w:tc>
          <w:tcPr>
            <w:tcW w:w="2815" w:type="dxa"/>
          </w:tcPr>
          <w:p w14:paraId="3B39F6FF" w14:textId="64DDD500" w:rsidR="00CF1F40" w:rsidRDefault="00CF1F40" w:rsidP="0000512F">
            <w:pPr>
              <w:spacing w:after="0"/>
              <w:jc w:val="center"/>
            </w:pPr>
            <w:r>
              <w:t>79.4%</w:t>
            </w:r>
          </w:p>
        </w:tc>
      </w:tr>
      <w:tr w:rsidR="00CF1F40" w14:paraId="09B72CB5" w14:textId="77777777" w:rsidTr="005F3322">
        <w:trPr>
          <w:jc w:val="center"/>
        </w:trPr>
        <w:tc>
          <w:tcPr>
            <w:tcW w:w="3672" w:type="dxa"/>
          </w:tcPr>
          <w:p w14:paraId="66A7AA6E" w14:textId="187C10B6" w:rsidR="00CF1F40" w:rsidRDefault="00CF1F40" w:rsidP="004365CB">
            <w:pPr>
              <w:spacing w:after="0"/>
            </w:pPr>
            <w:r>
              <w:t>DOR Counselors</w:t>
            </w:r>
          </w:p>
        </w:tc>
        <w:tc>
          <w:tcPr>
            <w:tcW w:w="2815" w:type="dxa"/>
          </w:tcPr>
          <w:p w14:paraId="494225F6" w14:textId="4BCF10FD" w:rsidR="00CF1F40" w:rsidRDefault="00CF1F40" w:rsidP="0000512F">
            <w:pPr>
              <w:spacing w:after="0"/>
              <w:jc w:val="center"/>
            </w:pPr>
            <w:r>
              <w:t>80.0%</w:t>
            </w:r>
          </w:p>
        </w:tc>
      </w:tr>
      <w:tr w:rsidR="00CF1F40" w14:paraId="03BC38CE" w14:textId="77777777" w:rsidTr="005F3322">
        <w:trPr>
          <w:jc w:val="center"/>
        </w:trPr>
        <w:tc>
          <w:tcPr>
            <w:tcW w:w="3672" w:type="dxa"/>
          </w:tcPr>
          <w:p w14:paraId="533AC32A" w14:textId="1FC5AE25" w:rsidR="00CF1F40" w:rsidRDefault="00CF1F40" w:rsidP="004365CB">
            <w:pPr>
              <w:spacing w:after="0"/>
            </w:pPr>
            <w:r>
              <w:t>Service Providers</w:t>
            </w:r>
          </w:p>
        </w:tc>
        <w:tc>
          <w:tcPr>
            <w:tcW w:w="2815" w:type="dxa"/>
          </w:tcPr>
          <w:p w14:paraId="105E10EE" w14:textId="2046CEFB" w:rsidR="00CF1F40" w:rsidRDefault="00CF1F40" w:rsidP="0000512F">
            <w:pPr>
              <w:spacing w:after="0"/>
              <w:jc w:val="center"/>
            </w:pPr>
            <w:r>
              <w:t>80.3%</w:t>
            </w:r>
          </w:p>
        </w:tc>
      </w:tr>
      <w:tr w:rsidR="00CF1F40" w14:paraId="67C70EB0" w14:textId="77777777" w:rsidTr="005F3322">
        <w:trPr>
          <w:jc w:val="center"/>
        </w:trPr>
        <w:tc>
          <w:tcPr>
            <w:tcW w:w="3672" w:type="dxa"/>
          </w:tcPr>
          <w:p w14:paraId="66DBEF1B" w14:textId="48B4265E" w:rsidR="00CF1F40" w:rsidRDefault="00CF1F40" w:rsidP="004365CB">
            <w:pPr>
              <w:spacing w:after="0"/>
            </w:pPr>
            <w:r>
              <w:t>Employment Services</w:t>
            </w:r>
          </w:p>
        </w:tc>
        <w:tc>
          <w:tcPr>
            <w:tcW w:w="2815" w:type="dxa"/>
          </w:tcPr>
          <w:p w14:paraId="1E70C876" w14:textId="5D40EFD9" w:rsidR="00CF1F40" w:rsidRDefault="00CF1F40" w:rsidP="0000512F">
            <w:pPr>
              <w:spacing w:after="0"/>
              <w:jc w:val="center"/>
            </w:pPr>
            <w:r>
              <w:t>77.4%</w:t>
            </w:r>
          </w:p>
        </w:tc>
      </w:tr>
      <w:tr w:rsidR="00CF1F40" w14:paraId="42F75B14" w14:textId="77777777" w:rsidTr="005F3322">
        <w:trPr>
          <w:jc w:val="center"/>
        </w:trPr>
        <w:tc>
          <w:tcPr>
            <w:tcW w:w="3672" w:type="dxa"/>
          </w:tcPr>
          <w:p w14:paraId="5A8B5C23" w14:textId="703A9486" w:rsidR="00CF1F40" w:rsidRDefault="00CF1F40" w:rsidP="004365CB">
            <w:pPr>
              <w:spacing w:after="0"/>
            </w:pPr>
            <w:r>
              <w:t>Employment</w:t>
            </w:r>
          </w:p>
        </w:tc>
        <w:tc>
          <w:tcPr>
            <w:tcW w:w="2815" w:type="dxa"/>
          </w:tcPr>
          <w:p w14:paraId="2F5AA1A1" w14:textId="7F1AFA1D" w:rsidR="00CF1F40" w:rsidRDefault="00CF1F40" w:rsidP="0000512F">
            <w:pPr>
              <w:spacing w:after="0"/>
              <w:jc w:val="center"/>
            </w:pPr>
            <w:r>
              <w:t>75.7%</w:t>
            </w:r>
          </w:p>
        </w:tc>
      </w:tr>
      <w:tr w:rsidR="00CF1F40" w14:paraId="691613CC" w14:textId="77777777" w:rsidTr="005F3322">
        <w:trPr>
          <w:jc w:val="center"/>
        </w:trPr>
        <w:tc>
          <w:tcPr>
            <w:tcW w:w="3672" w:type="dxa"/>
          </w:tcPr>
          <w:p w14:paraId="266DF3F2" w14:textId="19B8BA25" w:rsidR="00CF1F40" w:rsidRDefault="00D74F98" w:rsidP="004365CB">
            <w:pPr>
              <w:spacing w:after="0"/>
            </w:pPr>
            <w:r>
              <w:t>Employment Opportunities</w:t>
            </w:r>
          </w:p>
        </w:tc>
        <w:tc>
          <w:tcPr>
            <w:tcW w:w="2815" w:type="dxa"/>
          </w:tcPr>
          <w:p w14:paraId="6334510C" w14:textId="5ED475CC" w:rsidR="00CF1F40" w:rsidRDefault="00CF1F40" w:rsidP="0000512F">
            <w:pPr>
              <w:spacing w:after="0"/>
              <w:jc w:val="center"/>
            </w:pPr>
            <w:r>
              <w:t>72.0%</w:t>
            </w:r>
          </w:p>
        </w:tc>
      </w:tr>
      <w:tr w:rsidR="005F3322" w:rsidRPr="00B0263C" w14:paraId="7406F537" w14:textId="77777777" w:rsidTr="005F3322">
        <w:trPr>
          <w:jc w:val="center"/>
        </w:trPr>
        <w:tc>
          <w:tcPr>
            <w:tcW w:w="3672" w:type="dxa"/>
            <w:shd w:val="clear" w:color="auto" w:fill="F2F2F2" w:themeFill="background1" w:themeFillShade="F2"/>
          </w:tcPr>
          <w:p w14:paraId="0F025C2B" w14:textId="75B6F8C2" w:rsidR="00CF1F40" w:rsidRPr="00B0263C" w:rsidRDefault="00CF1F40" w:rsidP="004365CB">
            <w:pPr>
              <w:spacing w:after="0"/>
              <w:rPr>
                <w:b/>
                <w:bCs/>
              </w:rPr>
            </w:pPr>
            <w:r w:rsidRPr="00B0263C">
              <w:rPr>
                <w:b/>
                <w:bCs/>
              </w:rPr>
              <w:t>Overall</w:t>
            </w:r>
          </w:p>
        </w:tc>
        <w:tc>
          <w:tcPr>
            <w:tcW w:w="2815" w:type="dxa"/>
            <w:shd w:val="clear" w:color="auto" w:fill="F2F2F2" w:themeFill="background1" w:themeFillShade="F2"/>
          </w:tcPr>
          <w:p w14:paraId="6896960A" w14:textId="517C7D57" w:rsidR="00CF1F40" w:rsidRPr="00B0263C" w:rsidRDefault="00CF1F40" w:rsidP="0000512F">
            <w:pPr>
              <w:spacing w:after="0"/>
              <w:jc w:val="center"/>
              <w:rPr>
                <w:b/>
                <w:bCs/>
              </w:rPr>
            </w:pPr>
            <w:r w:rsidRPr="00B0263C">
              <w:rPr>
                <w:b/>
                <w:bCs/>
              </w:rPr>
              <w:t>78.6%</w:t>
            </w:r>
          </w:p>
        </w:tc>
      </w:tr>
    </w:tbl>
    <w:p w14:paraId="47D96D33" w14:textId="42A50799" w:rsidR="00DD1CD9" w:rsidRDefault="004703F9" w:rsidP="00AB1711">
      <w:pPr>
        <w:pStyle w:val="SectionHeadings"/>
      </w:pPr>
      <w:bookmarkStart w:id="6" w:name="_Toc90632167"/>
      <w:r w:rsidRPr="00AB1711">
        <w:lastRenderedPageBreak/>
        <w:t>Methodology</w:t>
      </w:r>
      <w:bookmarkEnd w:id="6"/>
    </w:p>
    <w:p w14:paraId="6F4768FE" w14:textId="01D543CA" w:rsidR="00561F98" w:rsidRDefault="004F1953" w:rsidP="00635226">
      <w:pPr>
        <w:pStyle w:val="SectionSub-Headings"/>
        <w:numPr>
          <w:ilvl w:val="0"/>
          <w:numId w:val="2"/>
        </w:numPr>
      </w:pPr>
      <w:bookmarkStart w:id="7" w:name="_Toc90632168"/>
      <w:r w:rsidRPr="001F5D5F">
        <w:t>Survey</w:t>
      </w:r>
      <w:r>
        <w:t xml:space="preserve"> </w:t>
      </w:r>
      <w:r w:rsidRPr="00635226">
        <w:t>Design</w:t>
      </w:r>
      <w:bookmarkEnd w:id="7"/>
    </w:p>
    <w:p w14:paraId="173612AD" w14:textId="5AF9B01B" w:rsidR="008A7C56" w:rsidRPr="008A7C56" w:rsidRDefault="006D0963" w:rsidP="00635226">
      <w:pPr>
        <w:pStyle w:val="SectionSub-HeadingsTopics"/>
        <w:numPr>
          <w:ilvl w:val="0"/>
          <w:numId w:val="7"/>
        </w:numPr>
      </w:pPr>
      <w:bookmarkStart w:id="8" w:name="_Toc90632169"/>
      <w:r>
        <w:t>Population</w:t>
      </w:r>
      <w:r w:rsidR="00CF6DD9">
        <w:t xml:space="preserve"> Size</w:t>
      </w:r>
      <w:bookmarkEnd w:id="8"/>
    </w:p>
    <w:p w14:paraId="0D4DB24C" w14:textId="2799062B" w:rsidR="00364843" w:rsidRDefault="00364843" w:rsidP="00364843">
      <w:r>
        <w:t xml:space="preserve">The survey </w:t>
      </w:r>
      <w:r w:rsidRPr="006F2CE2">
        <w:t>population</w:t>
      </w:r>
      <w:r>
        <w:t xml:space="preserve"> size is calculated as the total number of individuals served by DOR </w:t>
      </w:r>
      <w:r w:rsidR="00034E0B">
        <w:t>for</w:t>
      </w:r>
      <w:r>
        <w:t xml:space="preserve"> the previous </w:t>
      </w:r>
      <w:r w:rsidR="003E23B0">
        <w:t>SFY</w:t>
      </w:r>
      <w:r>
        <w:t xml:space="preserve">. </w:t>
      </w:r>
      <w:r w:rsidR="001B09C4">
        <w:t>There were 109,845 individuals who received services from</w:t>
      </w:r>
      <w:r>
        <w:t xml:space="preserve"> </w:t>
      </w:r>
      <w:r w:rsidR="001B09C4">
        <w:t>DOR in SFY 2019-20</w:t>
      </w:r>
      <w:r>
        <w:t xml:space="preserve"> and their satisfaction w</w:t>
      </w:r>
      <w:r w:rsidR="00C72451">
        <w:t>as</w:t>
      </w:r>
      <w:r>
        <w:t xml:space="preserve"> measured in the SFY 2020-21 CSS.</w:t>
      </w:r>
    </w:p>
    <w:p w14:paraId="60EE97AC" w14:textId="348E60E2" w:rsidR="008F62D9" w:rsidRDefault="00FA06E5" w:rsidP="00684B84">
      <w:r>
        <w:t xml:space="preserve">The survey sample size refers to the total number of individuals invited from the population size to </w:t>
      </w:r>
      <w:r w:rsidR="00A9678A">
        <w:t>participate in</w:t>
      </w:r>
      <w:r>
        <w:t xml:space="preserve"> the </w:t>
      </w:r>
      <w:r w:rsidR="003E23B0">
        <w:t>CSS</w:t>
      </w:r>
      <w:r>
        <w:t>.</w:t>
      </w:r>
      <w:r w:rsidR="00D01E52">
        <w:t xml:space="preserve"> </w:t>
      </w:r>
      <w:r w:rsidR="00A9678A">
        <w:t>T</w:t>
      </w:r>
      <w:r w:rsidR="00684B84">
        <w:t xml:space="preserve">he sample size for </w:t>
      </w:r>
      <w:r w:rsidR="003C3B0D">
        <w:t xml:space="preserve">the </w:t>
      </w:r>
      <w:r w:rsidR="00684B84">
        <w:t xml:space="preserve">SFY 2020-21 </w:t>
      </w:r>
      <w:r w:rsidR="003C3B0D">
        <w:t xml:space="preserve">CSS </w:t>
      </w:r>
      <w:r w:rsidR="00684B84">
        <w:t xml:space="preserve">was </w:t>
      </w:r>
      <w:r w:rsidR="003A5CF9">
        <w:t xml:space="preserve">set to 5,731 individuals which was </w:t>
      </w:r>
      <w:r w:rsidR="008F62D9">
        <w:t>calculated using th</w:t>
      </w:r>
      <w:r w:rsidR="00D66837">
        <w:t xml:space="preserve">e population size, estimated response rate (18%), and </w:t>
      </w:r>
      <w:r w:rsidR="003A5CF9">
        <w:t xml:space="preserve">desired confidence level (99% with a </w:t>
      </w:r>
      <w:r w:rsidR="003A5CF9">
        <w:rPr>
          <w:rFonts w:cs="Arial"/>
        </w:rPr>
        <w:t>±</w:t>
      </w:r>
      <w:r w:rsidR="003A5CF9">
        <w:t>4% margin of error)</w:t>
      </w:r>
      <w:r w:rsidR="00AF760C">
        <w:t>.</w:t>
      </w:r>
      <w:r w:rsidR="003041EF">
        <w:t xml:space="preserve"> </w:t>
      </w:r>
    </w:p>
    <w:p w14:paraId="33D0071D" w14:textId="3BCBEA09" w:rsidR="007B0B0A" w:rsidRPr="009F067E" w:rsidRDefault="004E2D74" w:rsidP="001A7106">
      <w:pPr>
        <w:rPr>
          <w:highlight w:val="yellow"/>
        </w:rPr>
      </w:pPr>
      <w:r>
        <w:t>Individuals were sent surve</w:t>
      </w:r>
      <w:r w:rsidR="00FE7A42">
        <w:t>y invitations based on the</w:t>
      </w:r>
      <w:r w:rsidR="00515BE1">
        <w:t>ir</w:t>
      </w:r>
      <w:r w:rsidR="00FE7A42">
        <w:t xml:space="preserve"> DOR </w:t>
      </w:r>
      <w:r w:rsidR="00793B47">
        <w:t>d</w:t>
      </w:r>
      <w:r w:rsidR="00FE7A42">
        <w:t>istrict</w:t>
      </w:r>
      <w:r w:rsidR="002F3F6B">
        <w:t xml:space="preserve">. </w:t>
      </w:r>
      <w:r w:rsidR="00C80A1C">
        <w:t>For each DOR district, t</w:t>
      </w:r>
      <w:r w:rsidR="002F3F6B">
        <w:t xml:space="preserve">he </w:t>
      </w:r>
      <w:r w:rsidR="000C4984">
        <w:t xml:space="preserve">percent of </w:t>
      </w:r>
      <w:r w:rsidR="002F3F6B">
        <w:t xml:space="preserve">total invitations </w:t>
      </w:r>
      <w:r w:rsidR="00E55192">
        <w:t xml:space="preserve">sent </w:t>
      </w:r>
      <w:r w:rsidR="00C80A1C">
        <w:t xml:space="preserve">was </w:t>
      </w:r>
      <w:r w:rsidR="00977F0B">
        <w:t>equivalent</w:t>
      </w:r>
      <w:r w:rsidR="00C80A1C">
        <w:t xml:space="preserve"> (</w:t>
      </w:r>
      <w:r w:rsidR="00515BE1">
        <w:rPr>
          <w:rFonts w:cs="Arial"/>
        </w:rPr>
        <w:t>less than one percent difference</w:t>
      </w:r>
      <w:r w:rsidR="00C80A1C">
        <w:t>)</w:t>
      </w:r>
      <w:r w:rsidR="00977F0B">
        <w:t xml:space="preserve"> to the percent </w:t>
      </w:r>
      <w:r w:rsidR="00782DA7">
        <w:t xml:space="preserve">of </w:t>
      </w:r>
      <w:r w:rsidR="00977F0B">
        <w:t xml:space="preserve">DOR’s </w:t>
      </w:r>
      <w:r w:rsidR="00782DA7">
        <w:t>total population</w:t>
      </w:r>
      <w:r w:rsidR="00C80A1C">
        <w:t xml:space="preserve"> it served</w:t>
      </w:r>
      <w:r>
        <w:t xml:space="preserve"> </w:t>
      </w:r>
      <w:r w:rsidR="00814D6B" w:rsidRPr="006A2526">
        <w:t>(Figure</w:t>
      </w:r>
      <w:r w:rsidR="007B0B0A" w:rsidRPr="006A2526">
        <w:t xml:space="preserve"> </w:t>
      </w:r>
      <w:r w:rsidR="006A2526" w:rsidRPr="006A2526">
        <w:t>8</w:t>
      </w:r>
      <w:r w:rsidR="007B0B0A" w:rsidRPr="006A2526">
        <w:t xml:space="preserve"> and</w:t>
      </w:r>
      <w:r w:rsidR="00814D6B" w:rsidRPr="006A2526">
        <w:t xml:space="preserve"> Table</w:t>
      </w:r>
      <w:r w:rsidR="007B0B0A" w:rsidRPr="006A2526">
        <w:t xml:space="preserve"> </w:t>
      </w:r>
      <w:r w:rsidR="006A2526" w:rsidRPr="006A2526">
        <w:t>11</w:t>
      </w:r>
      <w:r w:rsidR="00814D6B" w:rsidRPr="006A2526">
        <w:t>)</w:t>
      </w:r>
      <w:r w:rsidR="001224EC" w:rsidRPr="006A2526">
        <w:t>.</w:t>
      </w:r>
      <w:r w:rsidR="001224EC" w:rsidRPr="007B0B0A">
        <w:rPr>
          <w:b/>
          <w:bCs/>
        </w:rPr>
        <w:t xml:space="preserve"> </w:t>
      </w:r>
      <w:r w:rsidR="007B0B0A" w:rsidRPr="00A50543">
        <w:t xml:space="preserve">The ACE Team District represented less than 1% of all DOR cases, </w:t>
      </w:r>
      <w:r w:rsidR="001A7106" w:rsidRPr="00A50543">
        <w:t xml:space="preserve">and </w:t>
      </w:r>
      <w:r w:rsidR="007B0B0A" w:rsidRPr="00A50543">
        <w:t>as a result, no surveys were sent to individuals from that district.</w:t>
      </w:r>
    </w:p>
    <w:p w14:paraId="61C95DCA" w14:textId="77777777" w:rsidR="00A612FC" w:rsidRPr="001A7106" w:rsidRDefault="00A612FC" w:rsidP="00635226">
      <w:pPr>
        <w:pStyle w:val="SectionSub-HeadingsTopics"/>
      </w:pPr>
      <w:bookmarkStart w:id="9" w:name="_Toc90632170"/>
      <w:r w:rsidRPr="001A7106">
        <w:t>Survey Delivery</w:t>
      </w:r>
      <w:bookmarkEnd w:id="9"/>
    </w:p>
    <w:p w14:paraId="1EB3FA4C" w14:textId="108458F0" w:rsidR="00276052" w:rsidRPr="001A7106" w:rsidRDefault="003C02D0" w:rsidP="00276052">
      <w:pPr>
        <w:spacing w:after="160" w:line="259" w:lineRule="auto"/>
      </w:pPr>
      <w:r w:rsidRPr="001A7106">
        <w:t xml:space="preserve">The CSS was sent to </w:t>
      </w:r>
      <w:r w:rsidR="00C149DF" w:rsidRPr="001A7106">
        <w:t xml:space="preserve">DOR consumers using </w:t>
      </w:r>
      <w:r w:rsidR="00276052" w:rsidRPr="001A7106">
        <w:t xml:space="preserve">either </w:t>
      </w:r>
      <w:r w:rsidR="00C149DF" w:rsidRPr="001A7106">
        <w:t xml:space="preserve">electronic </w:t>
      </w:r>
      <w:r w:rsidR="00F75E9F" w:rsidRPr="001A7106">
        <w:t>or</w:t>
      </w:r>
      <w:r w:rsidR="00C149DF" w:rsidRPr="001A7106">
        <w:t xml:space="preserve"> surface mail </w:t>
      </w:r>
      <w:r w:rsidR="00276052" w:rsidRPr="001A7106">
        <w:t>based on the</w:t>
      </w:r>
      <w:r w:rsidR="002E17F4" w:rsidRPr="001A7106">
        <w:t>ir</w:t>
      </w:r>
      <w:r w:rsidR="00276052" w:rsidRPr="001A7106">
        <w:t xml:space="preserve"> </w:t>
      </w:r>
      <w:r w:rsidR="00C149DF" w:rsidRPr="001A7106">
        <w:t>cas</w:t>
      </w:r>
      <w:r w:rsidR="006D58F1" w:rsidRPr="001A7106">
        <w:t>e file</w:t>
      </w:r>
      <w:r w:rsidR="002E17F4" w:rsidRPr="001A7106">
        <w:t xml:space="preserve"> contact information</w:t>
      </w:r>
      <w:r w:rsidR="006D58F1" w:rsidRPr="001A7106">
        <w:t>.</w:t>
      </w:r>
      <w:r w:rsidR="002E17F4" w:rsidRPr="001A7106">
        <w:t xml:space="preserve"> </w:t>
      </w:r>
      <w:r w:rsidR="002C6B01" w:rsidRPr="001A7106">
        <w:t xml:space="preserve">Surveys were completed either using Survey Monkey (electronic delivery) or using </w:t>
      </w:r>
      <w:r w:rsidR="004A4DBC" w:rsidRPr="001A7106">
        <w:t xml:space="preserve">the provided </w:t>
      </w:r>
      <w:r w:rsidR="00F75E9F" w:rsidRPr="001A7106">
        <w:t>paid postage</w:t>
      </w:r>
      <w:r w:rsidR="004A4DBC" w:rsidRPr="001A7106">
        <w:t xml:space="preserve"> </w:t>
      </w:r>
      <w:r w:rsidR="002C6B01" w:rsidRPr="001A7106">
        <w:t>return envelope</w:t>
      </w:r>
      <w:r w:rsidR="009C28FD" w:rsidRPr="001A7106">
        <w:t xml:space="preserve"> (surface delivery). </w:t>
      </w:r>
      <w:r w:rsidR="00A612FC" w:rsidRPr="001A7106">
        <w:t xml:space="preserve">Individuals were sent at least one reminder to complete the CSS. </w:t>
      </w:r>
    </w:p>
    <w:p w14:paraId="3A108105" w14:textId="3937610F" w:rsidR="00CA5028" w:rsidRDefault="00276052">
      <w:pPr>
        <w:spacing w:after="160" w:line="259" w:lineRule="auto"/>
        <w:rPr>
          <w:b/>
          <w:bCs/>
        </w:rPr>
      </w:pPr>
      <w:r w:rsidRPr="001A7106">
        <w:t>For the SFY 2020-21 CSS, a total of 5,123 surveys were sent out to DOR consumers (excluding surveys returned due to invalid surface or electronic addresses</w:t>
      </w:r>
      <w:r w:rsidRPr="006A2526">
        <w:t xml:space="preserve">) (Table </w:t>
      </w:r>
      <w:r w:rsidR="006A2526">
        <w:t>2</w:t>
      </w:r>
      <w:r w:rsidRPr="006A2526">
        <w:t>).</w:t>
      </w:r>
      <w:r w:rsidRPr="001A7106">
        <w:t xml:space="preserve"> Of the total surveys sent in SFY 2020-21, 95.2% were sent using electronic mail and 4.8% were sent using surface mail, which is consistent </w:t>
      </w:r>
      <w:r w:rsidR="00954289" w:rsidRPr="001A7106">
        <w:t xml:space="preserve">(&lt;1% variation) </w:t>
      </w:r>
      <w:r w:rsidRPr="001A7106">
        <w:t>wi</w:t>
      </w:r>
      <w:r w:rsidR="00954289" w:rsidRPr="001A7106">
        <w:t>th the delivery methods</w:t>
      </w:r>
      <w:r w:rsidRPr="001A7106">
        <w:t xml:space="preserve"> </w:t>
      </w:r>
      <w:r w:rsidR="00954289" w:rsidRPr="001A7106">
        <w:t xml:space="preserve">of </w:t>
      </w:r>
      <w:r w:rsidRPr="001A7106">
        <w:t xml:space="preserve">previous iterations of the CSS. </w:t>
      </w:r>
      <w:r w:rsidR="00687B48" w:rsidRPr="001A7106">
        <w:t>Su</w:t>
      </w:r>
      <w:r w:rsidR="0084036A" w:rsidRPr="001A7106">
        <w:t xml:space="preserve">rveys sent via surface mail were completed at a </w:t>
      </w:r>
      <w:r w:rsidRPr="001A7106">
        <w:t>higher response rate</w:t>
      </w:r>
      <w:r w:rsidR="0084036A" w:rsidRPr="001A7106">
        <w:t xml:space="preserve"> (</w:t>
      </w:r>
      <w:r w:rsidRPr="001A7106">
        <w:t>21.4%</w:t>
      </w:r>
      <w:r w:rsidR="0084036A" w:rsidRPr="001A7106">
        <w:t>)</w:t>
      </w:r>
      <w:r w:rsidRPr="001A7106">
        <w:t xml:space="preserve"> compared to </w:t>
      </w:r>
      <w:r w:rsidR="004310DE" w:rsidRPr="001A7106">
        <w:t>those sent</w:t>
      </w:r>
      <w:r w:rsidRPr="001A7106">
        <w:t xml:space="preserve"> electronically</w:t>
      </w:r>
      <w:r w:rsidR="004310DE" w:rsidRPr="001A7106">
        <w:t xml:space="preserve"> (16.3%)</w:t>
      </w:r>
      <w:r w:rsidRPr="001A7106">
        <w:t>.</w:t>
      </w:r>
    </w:p>
    <w:p w14:paraId="5C05FF2F" w14:textId="77777777" w:rsidR="00B13A48" w:rsidRDefault="00B13A48">
      <w:pPr>
        <w:spacing w:after="160" w:line="259" w:lineRule="auto"/>
        <w:rPr>
          <w:b/>
          <w:bCs/>
        </w:rPr>
      </w:pPr>
      <w:r>
        <w:br w:type="page"/>
      </w:r>
    </w:p>
    <w:p w14:paraId="6834A378" w14:textId="7F2049F2" w:rsidR="009F55C0" w:rsidRPr="00903B93" w:rsidRDefault="00AB6CD8" w:rsidP="00143D6F">
      <w:pPr>
        <w:pStyle w:val="TableTitle"/>
      </w:pPr>
      <w:r>
        <w:lastRenderedPageBreak/>
        <w:t xml:space="preserve">Comparison of </w:t>
      </w:r>
      <w:r w:rsidR="003E23B0">
        <w:t>CSS</w:t>
      </w:r>
      <w:r w:rsidR="00A55D8F">
        <w:t xml:space="preserve"> Delivery Methods</w:t>
      </w:r>
    </w:p>
    <w:tbl>
      <w:tblPr>
        <w:tblStyle w:val="TableGrid"/>
        <w:tblW w:w="1070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43" w:type="dxa"/>
          <w:right w:w="43" w:type="dxa"/>
        </w:tblCellMar>
        <w:tblLook w:val="04A0" w:firstRow="1" w:lastRow="0" w:firstColumn="1" w:lastColumn="0" w:noHBand="0" w:noVBand="1"/>
      </w:tblPr>
      <w:tblGrid>
        <w:gridCol w:w="1975"/>
        <w:gridCol w:w="1170"/>
        <w:gridCol w:w="2250"/>
        <w:gridCol w:w="1620"/>
        <w:gridCol w:w="2250"/>
        <w:gridCol w:w="1440"/>
      </w:tblGrid>
      <w:tr w:rsidR="001C608B" w:rsidRPr="00B04F4E" w14:paraId="6DEF97DC" w14:textId="00F0DFF5" w:rsidTr="00B13A48">
        <w:trPr>
          <w:cantSplit/>
          <w:trHeight w:val="899"/>
          <w:jc w:val="center"/>
        </w:trPr>
        <w:tc>
          <w:tcPr>
            <w:tcW w:w="1975" w:type="dxa"/>
            <w:shd w:val="clear" w:color="auto" w:fill="00407B" w:themeFill="accent1" w:themeFillShade="BF"/>
            <w:noWrap/>
            <w:vAlign w:val="center"/>
            <w:hideMark/>
          </w:tcPr>
          <w:p w14:paraId="46702037" w14:textId="4095AD5B" w:rsidR="00643693" w:rsidRPr="00B04F4E" w:rsidRDefault="001C608B" w:rsidP="00C06E5F">
            <w:pPr>
              <w:spacing w:after="0"/>
              <w:rPr>
                <w:b/>
                <w:bCs/>
                <w:color w:val="FFFFFF" w:themeColor="background1"/>
              </w:rPr>
            </w:pPr>
            <w:r>
              <w:rPr>
                <w:b/>
                <w:bCs/>
                <w:color w:val="FFFFFF" w:themeColor="background1"/>
              </w:rPr>
              <w:t xml:space="preserve">CSS </w:t>
            </w:r>
            <w:r w:rsidR="00643693" w:rsidRPr="00B04F4E">
              <w:rPr>
                <w:b/>
                <w:bCs/>
                <w:color w:val="FFFFFF" w:themeColor="background1"/>
              </w:rPr>
              <w:t>Delivery Method</w:t>
            </w:r>
          </w:p>
        </w:tc>
        <w:tc>
          <w:tcPr>
            <w:tcW w:w="1170" w:type="dxa"/>
            <w:shd w:val="clear" w:color="auto" w:fill="00407B" w:themeFill="accent1" w:themeFillShade="BF"/>
            <w:noWrap/>
            <w:vAlign w:val="center"/>
          </w:tcPr>
          <w:p w14:paraId="079D1978" w14:textId="1ACB080C" w:rsidR="00C06E5F" w:rsidRPr="00B04F4E" w:rsidRDefault="002A222A" w:rsidP="005A6936">
            <w:pPr>
              <w:spacing w:after="0"/>
              <w:jc w:val="center"/>
              <w:rPr>
                <w:b/>
                <w:bCs/>
                <w:color w:val="FFFFFF" w:themeColor="background1"/>
              </w:rPr>
            </w:pPr>
            <w:r w:rsidRPr="00B04F4E">
              <w:rPr>
                <w:b/>
                <w:bCs/>
                <w:color w:val="FFFFFF" w:themeColor="background1"/>
              </w:rPr>
              <w:t>Sent</w:t>
            </w:r>
            <w:r w:rsidR="00B04F4E" w:rsidRPr="00B04F4E">
              <w:rPr>
                <w:b/>
                <w:bCs/>
                <w:color w:val="FFFFFF" w:themeColor="background1"/>
                <w:vertAlign w:val="superscript"/>
              </w:rPr>
              <w:t>1</w:t>
            </w:r>
          </w:p>
          <w:p w14:paraId="22B7BC45" w14:textId="0FA6A88E" w:rsidR="00643693" w:rsidRPr="00B04F4E" w:rsidRDefault="002A222A" w:rsidP="005A6936">
            <w:pPr>
              <w:spacing w:after="0"/>
              <w:jc w:val="center"/>
              <w:rPr>
                <w:color w:val="FFFFFF" w:themeColor="background1"/>
              </w:rPr>
            </w:pPr>
            <w:r w:rsidRPr="00B04F4E">
              <w:rPr>
                <w:color w:val="FFFFFF" w:themeColor="background1"/>
              </w:rPr>
              <w:t>(Count)</w:t>
            </w:r>
          </w:p>
        </w:tc>
        <w:tc>
          <w:tcPr>
            <w:tcW w:w="2250" w:type="dxa"/>
            <w:shd w:val="clear" w:color="auto" w:fill="00407B" w:themeFill="accent1" w:themeFillShade="BF"/>
            <w:vAlign w:val="center"/>
          </w:tcPr>
          <w:p w14:paraId="23D44924" w14:textId="7A006E20" w:rsidR="008F6500" w:rsidRDefault="001C68AE" w:rsidP="005A6936">
            <w:pPr>
              <w:spacing w:after="0"/>
              <w:jc w:val="center"/>
              <w:rPr>
                <w:b/>
                <w:bCs/>
                <w:color w:val="FFFFFF" w:themeColor="background1"/>
              </w:rPr>
            </w:pPr>
            <w:r>
              <w:rPr>
                <w:b/>
                <w:bCs/>
                <w:color w:val="FFFFFF" w:themeColor="background1"/>
              </w:rPr>
              <w:t>Sent</w:t>
            </w:r>
            <w:r>
              <w:rPr>
                <w:b/>
                <w:bCs/>
                <w:color w:val="FFFFFF" w:themeColor="background1"/>
                <w:vertAlign w:val="superscript"/>
              </w:rPr>
              <w:t>1</w:t>
            </w:r>
          </w:p>
          <w:p w14:paraId="0DC65BA5" w14:textId="2A5BEE5E" w:rsidR="00643693" w:rsidRPr="00B04F4E" w:rsidRDefault="001C68AE" w:rsidP="005A6936">
            <w:pPr>
              <w:spacing w:after="0"/>
              <w:jc w:val="center"/>
              <w:rPr>
                <w:b/>
                <w:bCs/>
                <w:color w:val="FFFFFF" w:themeColor="background1"/>
                <w:vertAlign w:val="superscript"/>
              </w:rPr>
            </w:pPr>
            <w:r w:rsidRPr="001C68AE">
              <w:rPr>
                <w:color w:val="FFFFFF" w:themeColor="background1"/>
              </w:rPr>
              <w:t>(</w:t>
            </w:r>
            <w:r w:rsidR="001D1CE3" w:rsidRPr="001C68AE">
              <w:rPr>
                <w:color w:val="FFFFFF" w:themeColor="background1"/>
              </w:rPr>
              <w:t>Percent of Total</w:t>
            </w:r>
            <w:r>
              <w:rPr>
                <w:color w:val="FFFFFF" w:themeColor="background1"/>
              </w:rPr>
              <w:t>)</w:t>
            </w:r>
          </w:p>
        </w:tc>
        <w:tc>
          <w:tcPr>
            <w:tcW w:w="1620" w:type="dxa"/>
            <w:shd w:val="clear" w:color="auto" w:fill="00407B" w:themeFill="accent1" w:themeFillShade="BF"/>
            <w:vAlign w:val="center"/>
          </w:tcPr>
          <w:p w14:paraId="208C71BF" w14:textId="77777777" w:rsidR="00C06E5F" w:rsidRPr="00B04F4E" w:rsidRDefault="002A222A" w:rsidP="005A6936">
            <w:pPr>
              <w:spacing w:after="0"/>
              <w:jc w:val="center"/>
              <w:rPr>
                <w:b/>
                <w:bCs/>
                <w:color w:val="FFFFFF" w:themeColor="background1"/>
              </w:rPr>
            </w:pPr>
            <w:r w:rsidRPr="00B04F4E">
              <w:rPr>
                <w:b/>
                <w:bCs/>
                <w:color w:val="FFFFFF" w:themeColor="background1"/>
              </w:rPr>
              <w:t>Responses</w:t>
            </w:r>
          </w:p>
          <w:p w14:paraId="7667D307" w14:textId="46F4778A" w:rsidR="00643693" w:rsidRPr="00B04F4E" w:rsidRDefault="002A222A" w:rsidP="005A6936">
            <w:pPr>
              <w:spacing w:after="0"/>
              <w:jc w:val="center"/>
              <w:rPr>
                <w:color w:val="FFFFFF" w:themeColor="background1"/>
              </w:rPr>
            </w:pPr>
            <w:r w:rsidRPr="00B04F4E">
              <w:rPr>
                <w:color w:val="FFFFFF" w:themeColor="background1"/>
              </w:rPr>
              <w:t>(Count)</w:t>
            </w:r>
          </w:p>
        </w:tc>
        <w:tc>
          <w:tcPr>
            <w:tcW w:w="2250" w:type="dxa"/>
            <w:shd w:val="clear" w:color="auto" w:fill="00407B" w:themeFill="accent1" w:themeFillShade="BF"/>
            <w:vAlign w:val="center"/>
          </w:tcPr>
          <w:p w14:paraId="1554F265" w14:textId="77777777" w:rsidR="00643693" w:rsidRDefault="002A222A" w:rsidP="005A6936">
            <w:pPr>
              <w:spacing w:after="0"/>
              <w:jc w:val="center"/>
              <w:rPr>
                <w:b/>
                <w:bCs/>
                <w:color w:val="FFFFFF" w:themeColor="background1"/>
              </w:rPr>
            </w:pPr>
            <w:r w:rsidRPr="00B04F4E">
              <w:rPr>
                <w:b/>
                <w:bCs/>
                <w:color w:val="FFFFFF" w:themeColor="background1"/>
              </w:rPr>
              <w:t>Respon</w:t>
            </w:r>
            <w:r w:rsidR="00C06E5F" w:rsidRPr="00B04F4E">
              <w:rPr>
                <w:b/>
                <w:bCs/>
                <w:color w:val="FFFFFF" w:themeColor="background1"/>
              </w:rPr>
              <w:t>s</w:t>
            </w:r>
            <w:r w:rsidRPr="00B04F4E">
              <w:rPr>
                <w:b/>
                <w:bCs/>
                <w:color w:val="FFFFFF" w:themeColor="background1"/>
              </w:rPr>
              <w:t>es</w:t>
            </w:r>
          </w:p>
          <w:p w14:paraId="123877B5" w14:textId="1E0E727A" w:rsidR="001C68AE" w:rsidRPr="001C68AE" w:rsidRDefault="001C68AE" w:rsidP="005A6936">
            <w:pPr>
              <w:spacing w:after="0"/>
              <w:jc w:val="center"/>
              <w:rPr>
                <w:color w:val="FFFFFF" w:themeColor="background1"/>
              </w:rPr>
            </w:pPr>
            <w:r>
              <w:rPr>
                <w:color w:val="FFFFFF" w:themeColor="background1"/>
              </w:rPr>
              <w:t>(Percent of Total)</w:t>
            </w:r>
          </w:p>
        </w:tc>
        <w:tc>
          <w:tcPr>
            <w:tcW w:w="1440" w:type="dxa"/>
            <w:shd w:val="clear" w:color="auto" w:fill="00407B" w:themeFill="accent1" w:themeFillShade="BF"/>
            <w:vAlign w:val="center"/>
          </w:tcPr>
          <w:p w14:paraId="33CC708E" w14:textId="247FB8EB" w:rsidR="00643693" w:rsidRPr="00B04F4E" w:rsidRDefault="00C8735B" w:rsidP="005A6936">
            <w:pPr>
              <w:spacing w:after="0"/>
              <w:jc w:val="center"/>
              <w:rPr>
                <w:b/>
                <w:bCs/>
                <w:color w:val="FFFFFF" w:themeColor="background1"/>
                <w:vertAlign w:val="superscript"/>
              </w:rPr>
            </w:pPr>
            <w:r w:rsidRPr="00B04F4E">
              <w:rPr>
                <w:b/>
                <w:bCs/>
                <w:color w:val="FFFFFF" w:themeColor="background1"/>
              </w:rPr>
              <w:t xml:space="preserve">Response </w:t>
            </w:r>
            <w:r w:rsidR="00643693" w:rsidRPr="00B04F4E">
              <w:rPr>
                <w:b/>
                <w:bCs/>
                <w:color w:val="FFFFFF" w:themeColor="background1"/>
              </w:rPr>
              <w:t>Rate</w:t>
            </w:r>
            <w:r w:rsidR="00B04F4E" w:rsidRPr="00B04F4E">
              <w:rPr>
                <w:b/>
                <w:bCs/>
                <w:color w:val="FFFFFF" w:themeColor="background1"/>
                <w:vertAlign w:val="superscript"/>
              </w:rPr>
              <w:t>2</w:t>
            </w:r>
          </w:p>
        </w:tc>
      </w:tr>
      <w:tr w:rsidR="00F551EC" w:rsidRPr="00643693" w14:paraId="17E74DD1" w14:textId="18068B6E" w:rsidTr="00B13A48">
        <w:trPr>
          <w:cantSplit/>
          <w:trHeight w:val="343"/>
          <w:jc w:val="center"/>
        </w:trPr>
        <w:tc>
          <w:tcPr>
            <w:tcW w:w="1975" w:type="dxa"/>
            <w:vAlign w:val="center"/>
          </w:tcPr>
          <w:p w14:paraId="1BA1C737" w14:textId="311255BA" w:rsidR="00643693" w:rsidRPr="00643693" w:rsidRDefault="00643693" w:rsidP="00C06E5F">
            <w:pPr>
              <w:spacing w:after="0" w:line="259" w:lineRule="auto"/>
              <w:ind w:left="6"/>
            </w:pPr>
            <w:r w:rsidRPr="00643693">
              <w:t xml:space="preserve">Electronic </w:t>
            </w:r>
            <w:r w:rsidR="00C06E5F">
              <w:t>Mail</w:t>
            </w:r>
          </w:p>
        </w:tc>
        <w:tc>
          <w:tcPr>
            <w:tcW w:w="1170" w:type="dxa"/>
            <w:vAlign w:val="center"/>
          </w:tcPr>
          <w:p w14:paraId="71745B81" w14:textId="77777777" w:rsidR="00643693" w:rsidRPr="00643693" w:rsidRDefault="00643693" w:rsidP="00C06E5F">
            <w:pPr>
              <w:spacing w:after="0" w:line="259" w:lineRule="auto"/>
              <w:jc w:val="right"/>
            </w:pPr>
            <w:r w:rsidRPr="00643693">
              <w:t xml:space="preserve"> 4,875 </w:t>
            </w:r>
          </w:p>
        </w:tc>
        <w:tc>
          <w:tcPr>
            <w:tcW w:w="2250" w:type="dxa"/>
            <w:vAlign w:val="center"/>
          </w:tcPr>
          <w:p w14:paraId="6135247D" w14:textId="6B734FC4" w:rsidR="00643693" w:rsidRPr="00643693" w:rsidRDefault="00643693" w:rsidP="00C06E5F">
            <w:pPr>
              <w:spacing w:after="0" w:line="259" w:lineRule="auto"/>
              <w:jc w:val="right"/>
            </w:pPr>
            <w:r w:rsidRPr="00643693">
              <w:t>95.2%</w:t>
            </w:r>
          </w:p>
        </w:tc>
        <w:tc>
          <w:tcPr>
            <w:tcW w:w="1620" w:type="dxa"/>
            <w:vAlign w:val="center"/>
          </w:tcPr>
          <w:p w14:paraId="04695DE0" w14:textId="23A476B8" w:rsidR="00643693" w:rsidRPr="00643693" w:rsidRDefault="00643693" w:rsidP="00C06E5F">
            <w:pPr>
              <w:spacing w:after="0" w:line="259" w:lineRule="auto"/>
              <w:jc w:val="right"/>
            </w:pPr>
            <w:r w:rsidRPr="00643693">
              <w:t>796</w:t>
            </w:r>
          </w:p>
        </w:tc>
        <w:tc>
          <w:tcPr>
            <w:tcW w:w="2250" w:type="dxa"/>
            <w:vAlign w:val="center"/>
          </w:tcPr>
          <w:p w14:paraId="073B45B9" w14:textId="15A1A45D" w:rsidR="00643693" w:rsidRPr="00643693" w:rsidRDefault="00643693" w:rsidP="00C06E5F">
            <w:pPr>
              <w:spacing w:after="0" w:line="259" w:lineRule="auto"/>
              <w:jc w:val="right"/>
            </w:pPr>
            <w:r w:rsidRPr="00643693">
              <w:t>93.8%</w:t>
            </w:r>
          </w:p>
        </w:tc>
        <w:tc>
          <w:tcPr>
            <w:tcW w:w="1440" w:type="dxa"/>
            <w:vAlign w:val="center"/>
          </w:tcPr>
          <w:p w14:paraId="4E1FB987" w14:textId="647FA8AE" w:rsidR="00643693" w:rsidRPr="00643693" w:rsidRDefault="00643693" w:rsidP="00C06E5F">
            <w:pPr>
              <w:spacing w:after="0" w:line="259" w:lineRule="auto"/>
              <w:jc w:val="right"/>
            </w:pPr>
            <w:r w:rsidRPr="00643693">
              <w:t>16.3%</w:t>
            </w:r>
          </w:p>
        </w:tc>
      </w:tr>
      <w:tr w:rsidR="00F551EC" w:rsidRPr="00643693" w14:paraId="5D92D426" w14:textId="0B8181CD" w:rsidTr="00B13A48">
        <w:trPr>
          <w:cantSplit/>
          <w:trHeight w:val="343"/>
          <w:jc w:val="center"/>
        </w:trPr>
        <w:tc>
          <w:tcPr>
            <w:tcW w:w="1975" w:type="dxa"/>
            <w:vAlign w:val="center"/>
          </w:tcPr>
          <w:p w14:paraId="1FA0F869" w14:textId="681E2E86" w:rsidR="00643693" w:rsidRPr="00643693" w:rsidRDefault="00643693" w:rsidP="00C06E5F">
            <w:pPr>
              <w:spacing w:after="0" w:line="259" w:lineRule="auto"/>
              <w:ind w:left="6"/>
            </w:pPr>
            <w:r w:rsidRPr="00643693">
              <w:t xml:space="preserve">Surface </w:t>
            </w:r>
            <w:r w:rsidR="00C06E5F">
              <w:t>Mail</w:t>
            </w:r>
          </w:p>
        </w:tc>
        <w:tc>
          <w:tcPr>
            <w:tcW w:w="1170" w:type="dxa"/>
            <w:vAlign w:val="center"/>
          </w:tcPr>
          <w:p w14:paraId="3F8E9FBC" w14:textId="77777777" w:rsidR="00643693" w:rsidRPr="00643693" w:rsidRDefault="00643693" w:rsidP="00C06E5F">
            <w:pPr>
              <w:spacing w:after="0" w:line="259" w:lineRule="auto"/>
              <w:jc w:val="right"/>
            </w:pPr>
            <w:r w:rsidRPr="00643693">
              <w:t xml:space="preserve"> 248 </w:t>
            </w:r>
          </w:p>
        </w:tc>
        <w:tc>
          <w:tcPr>
            <w:tcW w:w="2250" w:type="dxa"/>
            <w:vAlign w:val="center"/>
          </w:tcPr>
          <w:p w14:paraId="69FC2241" w14:textId="780824A9" w:rsidR="00643693" w:rsidRPr="00643693" w:rsidRDefault="00643693" w:rsidP="00C06E5F">
            <w:pPr>
              <w:spacing w:after="0" w:line="259" w:lineRule="auto"/>
              <w:jc w:val="right"/>
            </w:pPr>
            <w:r w:rsidRPr="00643693">
              <w:t>4.8%</w:t>
            </w:r>
          </w:p>
        </w:tc>
        <w:tc>
          <w:tcPr>
            <w:tcW w:w="1620" w:type="dxa"/>
            <w:vAlign w:val="center"/>
          </w:tcPr>
          <w:p w14:paraId="10E350E6" w14:textId="66E6D23B" w:rsidR="00643693" w:rsidRPr="00643693" w:rsidRDefault="00643693" w:rsidP="00C06E5F">
            <w:pPr>
              <w:spacing w:after="0" w:line="259" w:lineRule="auto"/>
              <w:jc w:val="right"/>
            </w:pPr>
            <w:r w:rsidRPr="00643693">
              <w:t>53</w:t>
            </w:r>
          </w:p>
        </w:tc>
        <w:tc>
          <w:tcPr>
            <w:tcW w:w="2250" w:type="dxa"/>
            <w:vAlign w:val="center"/>
          </w:tcPr>
          <w:p w14:paraId="66F36404" w14:textId="7CF672DE" w:rsidR="00643693" w:rsidRPr="00643693" w:rsidRDefault="00643693" w:rsidP="00C06E5F">
            <w:pPr>
              <w:spacing w:after="0" w:line="259" w:lineRule="auto"/>
              <w:jc w:val="right"/>
            </w:pPr>
            <w:r w:rsidRPr="00643693">
              <w:t>6.2%</w:t>
            </w:r>
          </w:p>
        </w:tc>
        <w:tc>
          <w:tcPr>
            <w:tcW w:w="1440" w:type="dxa"/>
            <w:vAlign w:val="center"/>
          </w:tcPr>
          <w:p w14:paraId="025D4AC0" w14:textId="74C530C3" w:rsidR="00643693" w:rsidRPr="00643693" w:rsidRDefault="00643693" w:rsidP="00C06E5F">
            <w:pPr>
              <w:spacing w:after="0" w:line="259" w:lineRule="auto"/>
              <w:jc w:val="right"/>
            </w:pPr>
            <w:r w:rsidRPr="00643693">
              <w:t>21.34%</w:t>
            </w:r>
          </w:p>
        </w:tc>
      </w:tr>
      <w:tr w:rsidR="008F6500" w:rsidRPr="005A6936" w14:paraId="198CC5FA" w14:textId="166E1C38" w:rsidTr="00B13A48">
        <w:trPr>
          <w:cantSplit/>
          <w:trHeight w:val="343"/>
          <w:jc w:val="center"/>
        </w:trPr>
        <w:tc>
          <w:tcPr>
            <w:tcW w:w="1975" w:type="dxa"/>
            <w:shd w:val="clear" w:color="auto" w:fill="F2F2F2" w:themeFill="background1" w:themeFillShade="F2"/>
            <w:vAlign w:val="center"/>
          </w:tcPr>
          <w:p w14:paraId="64E1A260" w14:textId="68EBC1D0" w:rsidR="00643693" w:rsidRPr="005A6936" w:rsidRDefault="00643693" w:rsidP="00C06E5F">
            <w:pPr>
              <w:spacing w:after="0" w:line="259" w:lineRule="auto"/>
              <w:ind w:left="6"/>
              <w:rPr>
                <w:b/>
                <w:bCs/>
              </w:rPr>
            </w:pPr>
            <w:r w:rsidRPr="005A6936">
              <w:rPr>
                <w:b/>
                <w:bCs/>
              </w:rPr>
              <w:t>Total</w:t>
            </w:r>
            <w:r w:rsidR="001D1CE3" w:rsidRPr="005A6936">
              <w:rPr>
                <w:b/>
                <w:bCs/>
              </w:rPr>
              <w:t xml:space="preserve"> </w:t>
            </w:r>
          </w:p>
        </w:tc>
        <w:tc>
          <w:tcPr>
            <w:tcW w:w="1170" w:type="dxa"/>
            <w:shd w:val="clear" w:color="auto" w:fill="F2F2F2" w:themeFill="background1" w:themeFillShade="F2"/>
            <w:vAlign w:val="center"/>
          </w:tcPr>
          <w:p w14:paraId="22AE735F" w14:textId="77777777" w:rsidR="00643693" w:rsidRPr="005A6936" w:rsidRDefault="00643693" w:rsidP="00C06E5F">
            <w:pPr>
              <w:spacing w:after="0" w:line="259" w:lineRule="auto"/>
              <w:jc w:val="right"/>
              <w:rPr>
                <w:b/>
                <w:bCs/>
              </w:rPr>
            </w:pPr>
            <w:r w:rsidRPr="005A6936">
              <w:rPr>
                <w:b/>
                <w:bCs/>
              </w:rPr>
              <w:t xml:space="preserve"> 5,123 </w:t>
            </w:r>
          </w:p>
        </w:tc>
        <w:tc>
          <w:tcPr>
            <w:tcW w:w="2250" w:type="dxa"/>
            <w:shd w:val="clear" w:color="auto" w:fill="F2F2F2" w:themeFill="background1" w:themeFillShade="F2"/>
            <w:vAlign w:val="center"/>
          </w:tcPr>
          <w:p w14:paraId="06145222" w14:textId="634C0FD4" w:rsidR="00643693" w:rsidRPr="005A6936" w:rsidRDefault="00C06E5F" w:rsidP="00C06E5F">
            <w:pPr>
              <w:spacing w:after="0" w:line="259" w:lineRule="auto"/>
              <w:jc w:val="right"/>
              <w:rPr>
                <w:b/>
                <w:bCs/>
              </w:rPr>
            </w:pPr>
            <w:r w:rsidRPr="005A6936">
              <w:rPr>
                <w:b/>
                <w:bCs/>
              </w:rPr>
              <w:t>100%</w:t>
            </w:r>
          </w:p>
        </w:tc>
        <w:tc>
          <w:tcPr>
            <w:tcW w:w="1620" w:type="dxa"/>
            <w:shd w:val="clear" w:color="auto" w:fill="F2F2F2" w:themeFill="background1" w:themeFillShade="F2"/>
            <w:vAlign w:val="center"/>
          </w:tcPr>
          <w:p w14:paraId="6AFCC3C0" w14:textId="7FE2B2E0" w:rsidR="00643693" w:rsidRPr="005A6936" w:rsidRDefault="00643693" w:rsidP="00C06E5F">
            <w:pPr>
              <w:spacing w:after="0" w:line="259" w:lineRule="auto"/>
              <w:jc w:val="right"/>
              <w:rPr>
                <w:b/>
                <w:bCs/>
              </w:rPr>
            </w:pPr>
            <w:r w:rsidRPr="005A6936">
              <w:rPr>
                <w:b/>
                <w:bCs/>
              </w:rPr>
              <w:t>849</w:t>
            </w:r>
          </w:p>
        </w:tc>
        <w:tc>
          <w:tcPr>
            <w:tcW w:w="2250" w:type="dxa"/>
            <w:shd w:val="clear" w:color="auto" w:fill="F2F2F2" w:themeFill="background1" w:themeFillShade="F2"/>
            <w:vAlign w:val="center"/>
          </w:tcPr>
          <w:p w14:paraId="18131214" w14:textId="6890AD91" w:rsidR="00643693" w:rsidRPr="005A6936" w:rsidRDefault="00E11B31" w:rsidP="00C06E5F">
            <w:pPr>
              <w:spacing w:after="0" w:line="259" w:lineRule="auto"/>
              <w:jc w:val="right"/>
              <w:rPr>
                <w:b/>
                <w:bCs/>
              </w:rPr>
            </w:pPr>
            <w:r w:rsidRPr="005A6936">
              <w:rPr>
                <w:b/>
                <w:bCs/>
              </w:rPr>
              <w:t>849</w:t>
            </w:r>
          </w:p>
        </w:tc>
        <w:tc>
          <w:tcPr>
            <w:tcW w:w="1440" w:type="dxa"/>
            <w:shd w:val="clear" w:color="auto" w:fill="F2F2F2" w:themeFill="background1" w:themeFillShade="F2"/>
            <w:vAlign w:val="center"/>
          </w:tcPr>
          <w:p w14:paraId="193D4B3D" w14:textId="12DB1195" w:rsidR="00643693" w:rsidRPr="005A6936" w:rsidRDefault="00643693" w:rsidP="00C06E5F">
            <w:pPr>
              <w:spacing w:after="0" w:line="259" w:lineRule="auto"/>
              <w:jc w:val="right"/>
              <w:rPr>
                <w:b/>
                <w:bCs/>
              </w:rPr>
            </w:pPr>
            <w:r w:rsidRPr="005A6936">
              <w:rPr>
                <w:b/>
                <w:bCs/>
              </w:rPr>
              <w:t>16.6%</w:t>
            </w:r>
          </w:p>
        </w:tc>
      </w:tr>
    </w:tbl>
    <w:p w14:paraId="07F57908" w14:textId="0ECBEA37" w:rsidR="000C7553" w:rsidRPr="000C7553" w:rsidRDefault="009F55C0" w:rsidP="009F55C0">
      <w:pPr>
        <w:pStyle w:val="TableFootnotes"/>
      </w:pPr>
      <w:r w:rsidRPr="000C7553">
        <w:t xml:space="preserve">Excludes </w:t>
      </w:r>
      <w:r w:rsidR="00F5376C" w:rsidRPr="000C7553">
        <w:t>surveys returned due to invalid email or street addresses</w:t>
      </w:r>
      <w:r w:rsidRPr="000C7553">
        <w:t>.</w:t>
      </w:r>
      <w:r w:rsidR="00B52C51" w:rsidRPr="000C7553">
        <w:t xml:space="preserve"> </w:t>
      </w:r>
    </w:p>
    <w:p w14:paraId="0377D91B" w14:textId="0FD28692" w:rsidR="009F55C0" w:rsidRPr="00343324" w:rsidRDefault="00B52C51" w:rsidP="00996F39">
      <w:pPr>
        <w:pStyle w:val="TableFootnotes"/>
      </w:pPr>
      <w:r>
        <w:t>Response rate is calculated as the</w:t>
      </w:r>
      <w:r w:rsidR="00984248">
        <w:t xml:space="preserve"> percent of response</w:t>
      </w:r>
      <w:r w:rsidR="00594322">
        <w:t>s</w:t>
      </w:r>
      <w:r w:rsidR="00984248">
        <w:t xml:space="preserve"> compared to surveys sent.</w:t>
      </w:r>
    </w:p>
    <w:p w14:paraId="10EA8E01" w14:textId="210B12CA" w:rsidR="00561F98" w:rsidRDefault="001F5919" w:rsidP="00635226">
      <w:pPr>
        <w:pStyle w:val="SectionSub-HeadingsTopics"/>
      </w:pPr>
      <w:bookmarkStart w:id="10" w:name="_Toc90632171"/>
      <w:r>
        <w:t xml:space="preserve">Survey </w:t>
      </w:r>
      <w:r w:rsidR="000A4BD6">
        <w:t>Languages</w:t>
      </w:r>
      <w:bookmarkEnd w:id="10"/>
    </w:p>
    <w:p w14:paraId="4BA25F47" w14:textId="3D049B0C" w:rsidR="00663578" w:rsidRDefault="0026475F" w:rsidP="00663578">
      <w:r>
        <w:t>The CSS was translated from English into seven languages (Armenian, Farsi, Chinese, Korean, Spanish, Tagalog, and Vietnamese) consistent with</w:t>
      </w:r>
      <w:r w:rsidR="00F069B9">
        <w:t xml:space="preserve"> their</w:t>
      </w:r>
      <w:r>
        <w:t xml:space="preserve"> prevalence </w:t>
      </w:r>
      <w:r w:rsidR="00F069B9">
        <w:t xml:space="preserve">in </w:t>
      </w:r>
      <w:r>
        <w:t>DOR</w:t>
      </w:r>
      <w:r w:rsidR="00F069B9">
        <w:t>’s total</w:t>
      </w:r>
      <w:r>
        <w:t xml:space="preserve"> consumer population.</w:t>
      </w:r>
      <w:r w:rsidR="00BD16D1">
        <w:t xml:space="preserve"> </w:t>
      </w:r>
      <w:r w:rsidR="00A8211A">
        <w:t>T</w:t>
      </w:r>
      <w:r>
        <w:t xml:space="preserve">here were no changes </w:t>
      </w:r>
      <w:r w:rsidR="00E32708">
        <w:t>to</w:t>
      </w:r>
      <w:r>
        <w:t xml:space="preserve"> </w:t>
      </w:r>
      <w:r w:rsidR="00A8211A">
        <w:t xml:space="preserve">language prevalence compared to the previous years, </w:t>
      </w:r>
      <w:r>
        <w:t xml:space="preserve">including DOR’s biennial languages (Armenian, Spanish, and Tagalog). </w:t>
      </w:r>
      <w:r w:rsidR="00C627A7">
        <w:t>Participants were also notified that they could contact DOR to request the survey in Braille.</w:t>
      </w:r>
      <w:r w:rsidR="004D7236">
        <w:t xml:space="preserve"> </w:t>
      </w:r>
      <w:r w:rsidR="000C7553">
        <w:t xml:space="preserve">English and Spanish surveys were available electronically and via surface mail, whereas all other </w:t>
      </w:r>
      <w:r w:rsidR="005C6BDA">
        <w:t xml:space="preserve">languages were </w:t>
      </w:r>
      <w:r w:rsidR="000C7553">
        <w:t xml:space="preserve">only </w:t>
      </w:r>
      <w:r w:rsidR="005C6BDA">
        <w:t>sent using surface mail</w:t>
      </w:r>
      <w:r w:rsidR="000C7553">
        <w:t>.</w:t>
      </w:r>
      <w:r w:rsidR="004D7236">
        <w:t xml:space="preserve"> </w:t>
      </w:r>
    </w:p>
    <w:p w14:paraId="6B21C9B6" w14:textId="7D6C512D" w:rsidR="00561F98" w:rsidRDefault="007C4CA1" w:rsidP="00635226">
      <w:pPr>
        <w:pStyle w:val="SectionSub-Headings"/>
      </w:pPr>
      <w:bookmarkStart w:id="11" w:name="_Toc90632172"/>
      <w:r>
        <w:t xml:space="preserve">Survey </w:t>
      </w:r>
      <w:r w:rsidR="00E27700" w:rsidRPr="006E41FA">
        <w:t>Participant</w:t>
      </w:r>
      <w:r w:rsidR="00E27700">
        <w:t xml:space="preserve"> Demographics</w:t>
      </w:r>
      <w:bookmarkEnd w:id="11"/>
    </w:p>
    <w:p w14:paraId="51EADB7B" w14:textId="47B48BDE" w:rsidR="00BC3822" w:rsidRDefault="00780A96" w:rsidP="00C62F2C">
      <w:r>
        <w:t>D</w:t>
      </w:r>
      <w:r w:rsidR="006605C9">
        <w:t xml:space="preserve">emographic information </w:t>
      </w:r>
      <w:r w:rsidR="0015294B">
        <w:t xml:space="preserve">for the CSS </w:t>
      </w:r>
      <w:r w:rsidR="006605C9">
        <w:t xml:space="preserve">is self-reported </w:t>
      </w:r>
      <w:r w:rsidR="0015294B">
        <w:t>by survey participants a</w:t>
      </w:r>
      <w:r w:rsidR="00845A03">
        <w:t>nd includes the</w:t>
      </w:r>
      <w:r w:rsidR="0015294B">
        <w:t xml:space="preserve">ir </w:t>
      </w:r>
      <w:r w:rsidR="00EE1EB7">
        <w:t xml:space="preserve">disability type(s), </w:t>
      </w:r>
      <w:r w:rsidR="00C62F2C">
        <w:t xml:space="preserve">age, and </w:t>
      </w:r>
      <w:r w:rsidR="00EE1EB7">
        <w:t xml:space="preserve">location (city). </w:t>
      </w:r>
      <w:r w:rsidR="00782ECD">
        <w:t>Additionally,</w:t>
      </w:r>
      <w:r w:rsidR="00075F30">
        <w:t xml:space="preserve"> DOR consumer demographic information was not </w:t>
      </w:r>
      <w:r w:rsidR="00BD39EC">
        <w:t>used as a factor</w:t>
      </w:r>
      <w:r w:rsidR="00F3273A">
        <w:t xml:space="preserve"> for</w:t>
      </w:r>
      <w:r w:rsidR="00075F30">
        <w:t xml:space="preserve"> sending survey</w:t>
      </w:r>
      <w:r w:rsidR="00EC0EFF">
        <w:t xml:space="preserve"> </w:t>
      </w:r>
      <w:r w:rsidR="00AD0C20">
        <w:t>invitations</w:t>
      </w:r>
      <w:r w:rsidR="00075F30">
        <w:t xml:space="preserve">, only </w:t>
      </w:r>
      <w:r w:rsidR="00BD39EC">
        <w:t>DOR district size.</w:t>
      </w:r>
      <w:r w:rsidR="00AD0C20">
        <w:t xml:space="preserve"> </w:t>
      </w:r>
      <w:r>
        <w:t xml:space="preserve">As result, the survey demographic information may not align with </w:t>
      </w:r>
      <w:r w:rsidR="0010256E">
        <w:t>DOR’s total population</w:t>
      </w:r>
      <w:r w:rsidR="00B473C8">
        <w:t xml:space="preserve">. </w:t>
      </w:r>
    </w:p>
    <w:p w14:paraId="47625196" w14:textId="5EAF693D" w:rsidR="001771B8" w:rsidRDefault="00C03679" w:rsidP="00635226">
      <w:pPr>
        <w:pStyle w:val="SectionSub-Headings"/>
      </w:pPr>
      <w:bookmarkStart w:id="12" w:name="_Toc90632173"/>
      <w:r>
        <w:t>Satisfaction</w:t>
      </w:r>
      <w:r w:rsidR="00192097">
        <w:t xml:space="preserve"> Ratings</w:t>
      </w:r>
      <w:bookmarkEnd w:id="12"/>
    </w:p>
    <w:p w14:paraId="28EE0F02" w14:textId="59C9FCE5" w:rsidR="00671CFB" w:rsidRPr="00BD5647" w:rsidRDefault="00CE36D6" w:rsidP="00671CFB">
      <w:r>
        <w:t xml:space="preserve">After revisions, the SFY 2020-21 </w:t>
      </w:r>
      <w:r w:rsidR="005F1479">
        <w:t>CSS was comprised of</w:t>
      </w:r>
      <w:r>
        <w:t xml:space="preserve"> 19 </w:t>
      </w:r>
      <w:r w:rsidR="00C143E5">
        <w:t xml:space="preserve">individual </w:t>
      </w:r>
      <w:r>
        <w:t xml:space="preserve">questions </w:t>
      </w:r>
      <w:r w:rsidR="00C143E5">
        <w:t xml:space="preserve">designed to assess consumer satisfaction with </w:t>
      </w:r>
      <w:r w:rsidR="00285CC9">
        <w:t xml:space="preserve">services </w:t>
      </w:r>
      <w:r w:rsidR="006823D6">
        <w:t>from</w:t>
      </w:r>
      <w:r w:rsidR="00285CC9">
        <w:t xml:space="preserve"> DOR </w:t>
      </w:r>
      <w:r w:rsidR="006823D6">
        <w:t>and its providers</w:t>
      </w:r>
      <w:r w:rsidR="00C143E5">
        <w:t xml:space="preserve">. These questions </w:t>
      </w:r>
      <w:r w:rsidR="009538A8">
        <w:t>cover six</w:t>
      </w:r>
      <w:r w:rsidR="00AC4E4D">
        <w:t xml:space="preserve"> categories: overall DOR experience, DOR counselors, service providers, employment services, job satisfaction (employed individuals) or employment opportunities (unemployed individuals).</w:t>
      </w:r>
      <w:r w:rsidR="006624FC">
        <w:t xml:space="preserve"> Participants were asked to rate their satisfaction for each question</w:t>
      </w:r>
      <w:r w:rsidR="00EF76A1">
        <w:t xml:space="preserve"> using </w:t>
      </w:r>
      <w:r w:rsidR="006624FC">
        <w:t>a seven-point Likert scale</w:t>
      </w:r>
      <w:r w:rsidR="00EF76A1">
        <w:t xml:space="preserve"> from</w:t>
      </w:r>
      <w:r w:rsidR="006624FC">
        <w:t xml:space="preserve"> one (not at all satisfied) to seven (extremely satisfie</w:t>
      </w:r>
      <w:r w:rsidR="006624FC" w:rsidRPr="00A94501">
        <w:t>d)</w:t>
      </w:r>
      <w:r w:rsidR="009538A8" w:rsidRPr="00A94501">
        <w:t xml:space="preserve"> (Table </w:t>
      </w:r>
      <w:r w:rsidR="00A94501" w:rsidRPr="00A94501">
        <w:t>3</w:t>
      </w:r>
      <w:r w:rsidR="009538A8" w:rsidRPr="00A94501">
        <w:t>).</w:t>
      </w:r>
      <w:r w:rsidR="00BD5647" w:rsidRPr="00A94501">
        <w:t xml:space="preserve"> </w:t>
      </w:r>
      <w:r w:rsidR="009538A8" w:rsidRPr="00A94501">
        <w:t xml:space="preserve">Median and weighted satisfaction scores were used to determine the overall satisfaction level of survey participants. </w:t>
      </w:r>
      <w:r w:rsidR="00FB53FB">
        <w:t>The w</w:t>
      </w:r>
      <w:r w:rsidR="00622331" w:rsidRPr="00A94501">
        <w:t xml:space="preserve">eighted satisfaction score </w:t>
      </w:r>
      <w:r w:rsidR="00671CFB" w:rsidRPr="00A94501">
        <w:t>is</w:t>
      </w:r>
      <w:r w:rsidR="00253C8F" w:rsidRPr="00A94501">
        <w:t xml:space="preserve"> calculated as the </w:t>
      </w:r>
      <w:r w:rsidR="00420F86" w:rsidRPr="00A94501">
        <w:t>score (sum of all</w:t>
      </w:r>
      <w:r w:rsidR="00253C8F" w:rsidRPr="00A94501">
        <w:t xml:space="preserve"> rating</w:t>
      </w:r>
      <w:r w:rsidR="00420F86" w:rsidRPr="00A94501">
        <w:t xml:space="preserve">s) </w:t>
      </w:r>
      <w:r w:rsidR="00EE2F30" w:rsidRPr="00A94501">
        <w:t>represented as</w:t>
      </w:r>
      <w:r w:rsidR="00420F86" w:rsidRPr="00A94501">
        <w:t xml:space="preserve"> a percent of the </w:t>
      </w:r>
      <w:r w:rsidR="00005BA1" w:rsidRPr="00A94501">
        <w:t>potential</w:t>
      </w:r>
      <w:r w:rsidR="00671CFB" w:rsidRPr="00A94501">
        <w:t xml:space="preserve"> score (</w:t>
      </w:r>
      <w:r w:rsidR="00005BA1" w:rsidRPr="00A94501">
        <w:t>number of</w:t>
      </w:r>
      <w:r w:rsidR="00671CFB" w:rsidRPr="00A94501">
        <w:t xml:space="preserve"> </w:t>
      </w:r>
      <w:r w:rsidR="00005BA1" w:rsidRPr="00A94501">
        <w:t xml:space="preserve">responses </w:t>
      </w:r>
      <w:r w:rsidR="00BD5647" w:rsidRPr="00A94501">
        <w:t>multiplied by the highest r</w:t>
      </w:r>
      <w:r w:rsidR="00005BA1" w:rsidRPr="00A94501">
        <w:t>ating (</w:t>
      </w:r>
      <w:r w:rsidR="00BD5647" w:rsidRPr="00A94501">
        <w:t>seven</w:t>
      </w:r>
      <w:r w:rsidR="00005BA1" w:rsidRPr="00A94501">
        <w:t xml:space="preserve"> points)</w:t>
      </w:r>
      <w:r w:rsidR="00BD5647" w:rsidRPr="00A94501">
        <w:t xml:space="preserve"> (Table </w:t>
      </w:r>
      <w:r w:rsidR="00A94501" w:rsidRPr="00A94501">
        <w:t>3</w:t>
      </w:r>
      <w:r w:rsidR="00BD5647" w:rsidRPr="00A94501">
        <w:t>).</w:t>
      </w:r>
    </w:p>
    <w:p w14:paraId="4FC29645" w14:textId="7A309BFE" w:rsidR="00671CFB" w:rsidRPr="001363CD" w:rsidRDefault="00671CFB" w:rsidP="00E92062">
      <w:pPr>
        <w:pStyle w:val="TableTitle"/>
      </w:pPr>
      <w:r w:rsidRPr="001363CD">
        <w:lastRenderedPageBreak/>
        <w:t xml:space="preserve">Satisfaction </w:t>
      </w:r>
      <w:r>
        <w:t>Levels for Ratings and Scores</w:t>
      </w:r>
    </w:p>
    <w:tbl>
      <w:tblPr>
        <w:tblStyle w:val="TableGrid"/>
        <w:tblW w:w="7454" w:type="dxa"/>
        <w:jc w:val="center"/>
        <w:tblLook w:val="04A0" w:firstRow="1" w:lastRow="0" w:firstColumn="1" w:lastColumn="0" w:noHBand="0" w:noVBand="1"/>
      </w:tblPr>
      <w:tblGrid>
        <w:gridCol w:w="1243"/>
        <w:gridCol w:w="2971"/>
        <w:gridCol w:w="3240"/>
      </w:tblGrid>
      <w:tr w:rsidR="005B2167" w:rsidRPr="005B2167" w14:paraId="78FAE0B5" w14:textId="77777777" w:rsidTr="008013D9">
        <w:trPr>
          <w:trHeight w:val="432"/>
          <w:jc w:val="center"/>
        </w:trPr>
        <w:tc>
          <w:tcPr>
            <w:tcW w:w="1243" w:type="dxa"/>
            <w:shd w:val="clear" w:color="auto" w:fill="00407B" w:themeFill="accent1" w:themeFillShade="BF"/>
            <w:noWrap/>
            <w:hideMark/>
          </w:tcPr>
          <w:p w14:paraId="770BA709" w14:textId="73A5E7C0" w:rsidR="00671CFB" w:rsidRPr="005B2167" w:rsidRDefault="00671CFB" w:rsidP="0063487D">
            <w:pPr>
              <w:spacing w:after="0"/>
              <w:jc w:val="center"/>
              <w:rPr>
                <w:rFonts w:eastAsia="Times New Roman" w:cs="Arial"/>
                <w:b/>
                <w:bCs/>
                <w:color w:val="FFFFFF" w:themeColor="background1"/>
              </w:rPr>
            </w:pPr>
            <w:r w:rsidRPr="005B2167">
              <w:rPr>
                <w:rFonts w:eastAsia="Times New Roman" w:cs="Arial"/>
                <w:b/>
                <w:bCs/>
                <w:color w:val="FFFFFF" w:themeColor="background1"/>
              </w:rPr>
              <w:t xml:space="preserve">Rating </w:t>
            </w:r>
          </w:p>
        </w:tc>
        <w:tc>
          <w:tcPr>
            <w:tcW w:w="2971" w:type="dxa"/>
            <w:shd w:val="clear" w:color="auto" w:fill="00407B" w:themeFill="accent1" w:themeFillShade="BF"/>
            <w:noWrap/>
            <w:hideMark/>
          </w:tcPr>
          <w:p w14:paraId="1513F989" w14:textId="22EA5ECE" w:rsidR="00671CFB" w:rsidRPr="005B2167" w:rsidRDefault="00002270" w:rsidP="0063487D">
            <w:pPr>
              <w:spacing w:after="0"/>
              <w:rPr>
                <w:rFonts w:eastAsia="Times New Roman" w:cs="Arial"/>
                <w:b/>
                <w:bCs/>
                <w:color w:val="FFFFFF" w:themeColor="background1"/>
              </w:rPr>
            </w:pPr>
            <w:r>
              <w:rPr>
                <w:rFonts w:eastAsia="Times New Roman" w:cs="Arial"/>
                <w:b/>
                <w:bCs/>
                <w:color w:val="FFFFFF" w:themeColor="background1"/>
              </w:rPr>
              <w:t>Scores</w:t>
            </w:r>
          </w:p>
        </w:tc>
        <w:tc>
          <w:tcPr>
            <w:tcW w:w="3240" w:type="dxa"/>
            <w:shd w:val="clear" w:color="auto" w:fill="00407B" w:themeFill="accent1" w:themeFillShade="BF"/>
          </w:tcPr>
          <w:p w14:paraId="3A58BA96" w14:textId="77777777" w:rsidR="00671CFB" w:rsidRPr="005B2167" w:rsidRDefault="00671CFB" w:rsidP="0063487D">
            <w:pPr>
              <w:spacing w:after="0"/>
              <w:rPr>
                <w:rFonts w:eastAsia="Times New Roman" w:cs="Arial"/>
                <w:b/>
                <w:bCs/>
                <w:color w:val="FFFFFF" w:themeColor="background1"/>
              </w:rPr>
            </w:pPr>
            <w:r w:rsidRPr="005B2167">
              <w:rPr>
                <w:rFonts w:eastAsia="Times New Roman" w:cs="Arial"/>
                <w:b/>
                <w:bCs/>
                <w:color w:val="FFFFFF" w:themeColor="background1"/>
              </w:rPr>
              <w:t>Satisfaction Level</w:t>
            </w:r>
          </w:p>
        </w:tc>
      </w:tr>
      <w:tr w:rsidR="005B2167" w:rsidRPr="005B2167" w14:paraId="421DDE4F" w14:textId="77777777" w:rsidTr="008013D9">
        <w:trPr>
          <w:trHeight w:val="223"/>
          <w:jc w:val="center"/>
        </w:trPr>
        <w:tc>
          <w:tcPr>
            <w:tcW w:w="1243" w:type="dxa"/>
            <w:noWrap/>
            <w:hideMark/>
          </w:tcPr>
          <w:p w14:paraId="4B8B8640" w14:textId="77777777" w:rsidR="00671CFB" w:rsidRPr="005B2167" w:rsidRDefault="00671CFB" w:rsidP="0063487D">
            <w:pPr>
              <w:spacing w:after="0"/>
              <w:rPr>
                <w:rFonts w:eastAsia="Times New Roman" w:cs="Arial"/>
              </w:rPr>
            </w:pPr>
            <w:r w:rsidRPr="005B2167">
              <w:rPr>
                <w:rFonts w:eastAsia="Times New Roman" w:cs="Arial"/>
              </w:rPr>
              <w:t>1</w:t>
            </w:r>
          </w:p>
        </w:tc>
        <w:tc>
          <w:tcPr>
            <w:tcW w:w="2971" w:type="dxa"/>
            <w:noWrap/>
            <w:hideMark/>
          </w:tcPr>
          <w:p w14:paraId="42AA20E3" w14:textId="77777777" w:rsidR="00671CFB" w:rsidRPr="005B2167" w:rsidRDefault="00671CFB" w:rsidP="0063487D">
            <w:pPr>
              <w:spacing w:after="0"/>
              <w:rPr>
                <w:rFonts w:eastAsia="Times New Roman" w:cs="Arial"/>
              </w:rPr>
            </w:pPr>
            <w:r w:rsidRPr="005B2167">
              <w:rPr>
                <w:rFonts w:eastAsia="Times New Roman" w:cs="Arial"/>
              </w:rPr>
              <w:t>(0.0% - 14.3%)</w:t>
            </w:r>
          </w:p>
        </w:tc>
        <w:tc>
          <w:tcPr>
            <w:tcW w:w="3240" w:type="dxa"/>
          </w:tcPr>
          <w:p w14:paraId="13BC83ED" w14:textId="77777777" w:rsidR="00671CFB" w:rsidRPr="005B2167" w:rsidRDefault="00671CFB" w:rsidP="0063487D">
            <w:pPr>
              <w:spacing w:after="0"/>
              <w:rPr>
                <w:rFonts w:eastAsia="Times New Roman" w:cs="Arial"/>
              </w:rPr>
            </w:pPr>
            <w:r w:rsidRPr="005B2167">
              <w:rPr>
                <w:rFonts w:eastAsia="Times New Roman" w:cs="Arial"/>
              </w:rPr>
              <w:t>Not at all Satisfied</w:t>
            </w:r>
          </w:p>
        </w:tc>
      </w:tr>
      <w:tr w:rsidR="005B2167" w:rsidRPr="005B2167" w14:paraId="6C97C532" w14:textId="77777777" w:rsidTr="008013D9">
        <w:trPr>
          <w:trHeight w:val="223"/>
          <w:jc w:val="center"/>
        </w:trPr>
        <w:tc>
          <w:tcPr>
            <w:tcW w:w="1243" w:type="dxa"/>
            <w:noWrap/>
            <w:hideMark/>
          </w:tcPr>
          <w:p w14:paraId="0EE653EB" w14:textId="77777777" w:rsidR="00671CFB" w:rsidRPr="005B2167" w:rsidRDefault="00671CFB" w:rsidP="0063487D">
            <w:pPr>
              <w:spacing w:after="0"/>
              <w:rPr>
                <w:rFonts w:eastAsia="Times New Roman" w:cs="Arial"/>
              </w:rPr>
            </w:pPr>
            <w:r w:rsidRPr="005B2167">
              <w:rPr>
                <w:rFonts w:eastAsia="Times New Roman" w:cs="Arial"/>
              </w:rPr>
              <w:t>2</w:t>
            </w:r>
          </w:p>
        </w:tc>
        <w:tc>
          <w:tcPr>
            <w:tcW w:w="2971" w:type="dxa"/>
            <w:noWrap/>
            <w:hideMark/>
          </w:tcPr>
          <w:p w14:paraId="352E2255" w14:textId="523A2BAC" w:rsidR="00671CFB" w:rsidRPr="005B2167" w:rsidRDefault="00671CFB" w:rsidP="0063487D">
            <w:pPr>
              <w:spacing w:after="0"/>
              <w:rPr>
                <w:rFonts w:eastAsia="Times New Roman" w:cs="Arial"/>
              </w:rPr>
            </w:pPr>
            <w:r w:rsidRPr="005B2167">
              <w:rPr>
                <w:rFonts w:eastAsia="Times New Roman" w:cs="Arial"/>
              </w:rPr>
              <w:t>(14.4% - 2</w:t>
            </w:r>
            <w:r w:rsidR="00594322">
              <w:rPr>
                <w:rFonts w:eastAsia="Times New Roman" w:cs="Arial"/>
              </w:rPr>
              <w:t>8</w:t>
            </w:r>
            <w:r w:rsidRPr="005B2167">
              <w:rPr>
                <w:rFonts w:eastAsia="Times New Roman" w:cs="Arial"/>
              </w:rPr>
              <w:t>.6%)</w:t>
            </w:r>
          </w:p>
        </w:tc>
        <w:tc>
          <w:tcPr>
            <w:tcW w:w="3240" w:type="dxa"/>
          </w:tcPr>
          <w:p w14:paraId="45E7E70D" w14:textId="77777777" w:rsidR="00671CFB" w:rsidRPr="005B2167" w:rsidRDefault="00671CFB" w:rsidP="0063487D">
            <w:pPr>
              <w:spacing w:after="0"/>
              <w:rPr>
                <w:rFonts w:eastAsia="Times New Roman" w:cs="Arial"/>
              </w:rPr>
            </w:pPr>
            <w:r w:rsidRPr="005B2167">
              <w:rPr>
                <w:rFonts w:eastAsia="Times New Roman" w:cs="Arial"/>
              </w:rPr>
              <w:t>Dissatisfied</w:t>
            </w:r>
          </w:p>
        </w:tc>
      </w:tr>
      <w:tr w:rsidR="005B2167" w:rsidRPr="005B2167" w14:paraId="4365386B" w14:textId="77777777" w:rsidTr="008013D9">
        <w:trPr>
          <w:trHeight w:val="223"/>
          <w:jc w:val="center"/>
        </w:trPr>
        <w:tc>
          <w:tcPr>
            <w:tcW w:w="1243" w:type="dxa"/>
            <w:noWrap/>
            <w:hideMark/>
          </w:tcPr>
          <w:p w14:paraId="15750973" w14:textId="77777777" w:rsidR="00671CFB" w:rsidRPr="005B2167" w:rsidRDefault="00671CFB" w:rsidP="0063487D">
            <w:pPr>
              <w:spacing w:after="0"/>
              <w:rPr>
                <w:rFonts w:eastAsia="Times New Roman" w:cs="Arial"/>
              </w:rPr>
            </w:pPr>
            <w:r w:rsidRPr="005B2167">
              <w:rPr>
                <w:rFonts w:eastAsia="Times New Roman" w:cs="Arial"/>
              </w:rPr>
              <w:t>3</w:t>
            </w:r>
          </w:p>
        </w:tc>
        <w:tc>
          <w:tcPr>
            <w:tcW w:w="2971" w:type="dxa"/>
            <w:noWrap/>
            <w:hideMark/>
          </w:tcPr>
          <w:p w14:paraId="45F84509" w14:textId="77777777" w:rsidR="00671CFB" w:rsidRPr="005B2167" w:rsidRDefault="00671CFB" w:rsidP="0063487D">
            <w:pPr>
              <w:spacing w:after="0"/>
              <w:rPr>
                <w:rFonts w:eastAsia="Times New Roman" w:cs="Arial"/>
              </w:rPr>
            </w:pPr>
            <w:r w:rsidRPr="005B2167">
              <w:rPr>
                <w:rFonts w:eastAsia="Times New Roman" w:cs="Arial"/>
              </w:rPr>
              <w:t>(28.7% - 42.9%)</w:t>
            </w:r>
          </w:p>
        </w:tc>
        <w:tc>
          <w:tcPr>
            <w:tcW w:w="3240" w:type="dxa"/>
          </w:tcPr>
          <w:p w14:paraId="607D5651" w14:textId="77777777" w:rsidR="00671CFB" w:rsidRPr="005B2167" w:rsidRDefault="00671CFB" w:rsidP="0063487D">
            <w:pPr>
              <w:spacing w:after="0"/>
              <w:rPr>
                <w:rFonts w:eastAsia="Times New Roman" w:cs="Arial"/>
              </w:rPr>
            </w:pPr>
            <w:r w:rsidRPr="005B2167">
              <w:rPr>
                <w:rFonts w:eastAsia="Times New Roman" w:cs="Arial"/>
              </w:rPr>
              <w:t>Somewhat Dissatisfied</w:t>
            </w:r>
          </w:p>
        </w:tc>
      </w:tr>
      <w:tr w:rsidR="005B2167" w:rsidRPr="005B2167" w14:paraId="4F721531" w14:textId="77777777" w:rsidTr="008013D9">
        <w:trPr>
          <w:trHeight w:val="223"/>
          <w:jc w:val="center"/>
        </w:trPr>
        <w:tc>
          <w:tcPr>
            <w:tcW w:w="1243" w:type="dxa"/>
            <w:noWrap/>
            <w:hideMark/>
          </w:tcPr>
          <w:p w14:paraId="1D32364B" w14:textId="77777777" w:rsidR="00671CFB" w:rsidRPr="005B2167" w:rsidRDefault="00671CFB" w:rsidP="0063487D">
            <w:pPr>
              <w:spacing w:after="0"/>
              <w:rPr>
                <w:rFonts w:eastAsia="Times New Roman" w:cs="Arial"/>
              </w:rPr>
            </w:pPr>
            <w:r w:rsidRPr="005B2167">
              <w:rPr>
                <w:rFonts w:eastAsia="Times New Roman" w:cs="Arial"/>
              </w:rPr>
              <w:t>4</w:t>
            </w:r>
          </w:p>
        </w:tc>
        <w:tc>
          <w:tcPr>
            <w:tcW w:w="2971" w:type="dxa"/>
            <w:noWrap/>
            <w:hideMark/>
          </w:tcPr>
          <w:p w14:paraId="2A59916C" w14:textId="77777777" w:rsidR="00671CFB" w:rsidRPr="005B2167" w:rsidRDefault="00671CFB" w:rsidP="0063487D">
            <w:pPr>
              <w:spacing w:after="0"/>
              <w:rPr>
                <w:rFonts w:eastAsia="Times New Roman" w:cs="Arial"/>
              </w:rPr>
            </w:pPr>
            <w:r w:rsidRPr="005B2167">
              <w:rPr>
                <w:rFonts w:eastAsia="Times New Roman" w:cs="Arial"/>
              </w:rPr>
              <w:t>(43.0% - 57.1%)</w:t>
            </w:r>
          </w:p>
        </w:tc>
        <w:tc>
          <w:tcPr>
            <w:tcW w:w="3240" w:type="dxa"/>
          </w:tcPr>
          <w:p w14:paraId="492C9C39" w14:textId="77777777" w:rsidR="00671CFB" w:rsidRPr="005B2167" w:rsidRDefault="00671CFB" w:rsidP="0063487D">
            <w:pPr>
              <w:spacing w:after="0"/>
              <w:rPr>
                <w:rFonts w:eastAsia="Times New Roman" w:cs="Arial"/>
              </w:rPr>
            </w:pPr>
            <w:r w:rsidRPr="005B2167">
              <w:rPr>
                <w:rFonts w:eastAsia="Times New Roman" w:cs="Arial"/>
              </w:rPr>
              <w:t>Neutral</w:t>
            </w:r>
          </w:p>
        </w:tc>
      </w:tr>
      <w:tr w:rsidR="005B2167" w:rsidRPr="005B2167" w14:paraId="73904DDF" w14:textId="77777777" w:rsidTr="008013D9">
        <w:trPr>
          <w:trHeight w:val="223"/>
          <w:jc w:val="center"/>
        </w:trPr>
        <w:tc>
          <w:tcPr>
            <w:tcW w:w="1243" w:type="dxa"/>
            <w:noWrap/>
            <w:hideMark/>
          </w:tcPr>
          <w:p w14:paraId="66A3D483" w14:textId="77777777" w:rsidR="00671CFB" w:rsidRPr="005B2167" w:rsidRDefault="00671CFB" w:rsidP="0063487D">
            <w:pPr>
              <w:spacing w:after="0"/>
              <w:rPr>
                <w:rFonts w:eastAsia="Times New Roman" w:cs="Arial"/>
              </w:rPr>
            </w:pPr>
            <w:r w:rsidRPr="005B2167">
              <w:rPr>
                <w:rFonts w:eastAsia="Times New Roman" w:cs="Arial"/>
              </w:rPr>
              <w:t>5</w:t>
            </w:r>
          </w:p>
        </w:tc>
        <w:tc>
          <w:tcPr>
            <w:tcW w:w="2971" w:type="dxa"/>
            <w:noWrap/>
            <w:hideMark/>
          </w:tcPr>
          <w:p w14:paraId="361C8C05" w14:textId="77777777" w:rsidR="00671CFB" w:rsidRPr="005B2167" w:rsidRDefault="00671CFB" w:rsidP="0063487D">
            <w:pPr>
              <w:spacing w:after="0"/>
              <w:rPr>
                <w:rFonts w:eastAsia="Times New Roman" w:cs="Arial"/>
              </w:rPr>
            </w:pPr>
            <w:r w:rsidRPr="005B2167">
              <w:rPr>
                <w:rFonts w:eastAsia="Times New Roman" w:cs="Arial"/>
              </w:rPr>
              <w:t>(57.2% - 71.4%)</w:t>
            </w:r>
          </w:p>
        </w:tc>
        <w:tc>
          <w:tcPr>
            <w:tcW w:w="3240" w:type="dxa"/>
          </w:tcPr>
          <w:p w14:paraId="00345AE9" w14:textId="77777777" w:rsidR="00671CFB" w:rsidRPr="005B2167" w:rsidRDefault="00671CFB" w:rsidP="0063487D">
            <w:pPr>
              <w:spacing w:after="0"/>
              <w:rPr>
                <w:rFonts w:eastAsia="Times New Roman" w:cs="Arial"/>
              </w:rPr>
            </w:pPr>
            <w:r w:rsidRPr="005B2167">
              <w:rPr>
                <w:rFonts w:eastAsia="Times New Roman" w:cs="Arial"/>
              </w:rPr>
              <w:t>Somewhat Satisfied</w:t>
            </w:r>
          </w:p>
        </w:tc>
      </w:tr>
      <w:tr w:rsidR="005B2167" w:rsidRPr="005B2167" w14:paraId="72B875F2" w14:textId="77777777" w:rsidTr="008013D9">
        <w:trPr>
          <w:trHeight w:val="223"/>
          <w:jc w:val="center"/>
        </w:trPr>
        <w:tc>
          <w:tcPr>
            <w:tcW w:w="1243" w:type="dxa"/>
            <w:noWrap/>
            <w:hideMark/>
          </w:tcPr>
          <w:p w14:paraId="02084AD2" w14:textId="77777777" w:rsidR="00671CFB" w:rsidRPr="005B2167" w:rsidRDefault="00671CFB" w:rsidP="0063487D">
            <w:pPr>
              <w:spacing w:after="0"/>
              <w:rPr>
                <w:rFonts w:eastAsia="Times New Roman" w:cs="Arial"/>
              </w:rPr>
            </w:pPr>
            <w:r w:rsidRPr="005B2167">
              <w:rPr>
                <w:rFonts w:eastAsia="Times New Roman" w:cs="Arial"/>
              </w:rPr>
              <w:t>6</w:t>
            </w:r>
          </w:p>
        </w:tc>
        <w:tc>
          <w:tcPr>
            <w:tcW w:w="2971" w:type="dxa"/>
            <w:noWrap/>
            <w:hideMark/>
          </w:tcPr>
          <w:p w14:paraId="132AFDE2" w14:textId="77777777" w:rsidR="00671CFB" w:rsidRPr="005B2167" w:rsidRDefault="00671CFB" w:rsidP="0063487D">
            <w:pPr>
              <w:spacing w:after="0"/>
              <w:rPr>
                <w:rFonts w:eastAsia="Times New Roman" w:cs="Arial"/>
              </w:rPr>
            </w:pPr>
            <w:r w:rsidRPr="005B2167">
              <w:rPr>
                <w:rFonts w:eastAsia="Times New Roman" w:cs="Arial"/>
              </w:rPr>
              <w:t>(71.5% - 85.7%)</w:t>
            </w:r>
          </w:p>
        </w:tc>
        <w:tc>
          <w:tcPr>
            <w:tcW w:w="3240" w:type="dxa"/>
          </w:tcPr>
          <w:p w14:paraId="735A854B" w14:textId="77777777" w:rsidR="00671CFB" w:rsidRPr="005B2167" w:rsidRDefault="00671CFB" w:rsidP="0063487D">
            <w:pPr>
              <w:spacing w:after="0"/>
              <w:rPr>
                <w:rFonts w:eastAsia="Times New Roman" w:cs="Arial"/>
              </w:rPr>
            </w:pPr>
            <w:r w:rsidRPr="005B2167">
              <w:rPr>
                <w:rFonts w:eastAsia="Times New Roman" w:cs="Arial"/>
              </w:rPr>
              <w:t>Satisfied</w:t>
            </w:r>
          </w:p>
        </w:tc>
      </w:tr>
      <w:tr w:rsidR="005B2167" w:rsidRPr="005B2167" w14:paraId="51042FD0" w14:textId="77777777" w:rsidTr="008013D9">
        <w:trPr>
          <w:trHeight w:val="223"/>
          <w:jc w:val="center"/>
        </w:trPr>
        <w:tc>
          <w:tcPr>
            <w:tcW w:w="1243" w:type="dxa"/>
            <w:noWrap/>
            <w:hideMark/>
          </w:tcPr>
          <w:p w14:paraId="2991ADBE" w14:textId="77777777" w:rsidR="00671CFB" w:rsidRPr="005B2167" w:rsidRDefault="00671CFB" w:rsidP="0063487D">
            <w:pPr>
              <w:spacing w:after="0"/>
              <w:rPr>
                <w:rFonts w:eastAsia="Times New Roman" w:cs="Arial"/>
              </w:rPr>
            </w:pPr>
            <w:r w:rsidRPr="005B2167">
              <w:rPr>
                <w:rFonts w:eastAsia="Times New Roman" w:cs="Arial"/>
              </w:rPr>
              <w:t>7</w:t>
            </w:r>
          </w:p>
        </w:tc>
        <w:tc>
          <w:tcPr>
            <w:tcW w:w="2971" w:type="dxa"/>
            <w:noWrap/>
            <w:hideMark/>
          </w:tcPr>
          <w:p w14:paraId="54C309FE" w14:textId="77777777" w:rsidR="00671CFB" w:rsidRPr="005B2167" w:rsidRDefault="00671CFB" w:rsidP="0063487D">
            <w:pPr>
              <w:spacing w:after="0"/>
              <w:rPr>
                <w:rFonts w:eastAsia="Times New Roman" w:cs="Arial"/>
              </w:rPr>
            </w:pPr>
            <w:r w:rsidRPr="005B2167">
              <w:rPr>
                <w:rFonts w:eastAsia="Times New Roman" w:cs="Arial"/>
              </w:rPr>
              <w:t>(85.8% - 100.0%)</w:t>
            </w:r>
          </w:p>
        </w:tc>
        <w:tc>
          <w:tcPr>
            <w:tcW w:w="3240" w:type="dxa"/>
          </w:tcPr>
          <w:p w14:paraId="59634969" w14:textId="77777777" w:rsidR="00671CFB" w:rsidRPr="005B2167" w:rsidRDefault="00671CFB" w:rsidP="0063487D">
            <w:pPr>
              <w:spacing w:after="0"/>
              <w:rPr>
                <w:rFonts w:eastAsia="Times New Roman" w:cs="Arial"/>
              </w:rPr>
            </w:pPr>
            <w:r w:rsidRPr="005B2167">
              <w:rPr>
                <w:rFonts w:eastAsia="Times New Roman" w:cs="Arial"/>
              </w:rPr>
              <w:t>Extremely Satisfied</w:t>
            </w:r>
          </w:p>
        </w:tc>
      </w:tr>
    </w:tbl>
    <w:p w14:paraId="0586C432" w14:textId="6C58FA2F" w:rsidR="00EF6725" w:rsidRDefault="00EF6725" w:rsidP="00635226">
      <w:pPr>
        <w:pStyle w:val="SectionSub-Headings"/>
      </w:pPr>
      <w:bookmarkStart w:id="13" w:name="_Toc90632174"/>
      <w:r>
        <w:t>Employment Barriers</w:t>
      </w:r>
      <w:bookmarkEnd w:id="13"/>
    </w:p>
    <w:p w14:paraId="2C82C347" w14:textId="5428454F" w:rsidR="002138D2" w:rsidRPr="002138D2" w:rsidRDefault="007B7A47" w:rsidP="002138D2">
      <w:r>
        <w:t>Unemployed s</w:t>
      </w:r>
      <w:r w:rsidR="002138D2" w:rsidRPr="002138D2">
        <w:t xml:space="preserve">urvey participants were asked to identify reasons or causes for their unemployment from a given list of potential barriers. Unemployment reasons included: </w:t>
      </w:r>
      <w:r w:rsidR="002138D2" w:rsidRPr="00A94501">
        <w:rPr>
          <w:i/>
          <w:iCs/>
        </w:rPr>
        <w:t>Needs Additional Help</w:t>
      </w:r>
      <w:r w:rsidR="002138D2" w:rsidRPr="002138D2">
        <w:t xml:space="preserve">, </w:t>
      </w:r>
      <w:r w:rsidR="002138D2" w:rsidRPr="00A94501">
        <w:rPr>
          <w:i/>
          <w:iCs/>
        </w:rPr>
        <w:t>Retain SSI/SSDI Benefits</w:t>
      </w:r>
      <w:r w:rsidR="002138D2" w:rsidRPr="002138D2">
        <w:t xml:space="preserve">, </w:t>
      </w:r>
      <w:proofErr w:type="gramStart"/>
      <w:r w:rsidR="002138D2" w:rsidRPr="00A94501">
        <w:rPr>
          <w:i/>
          <w:iCs/>
        </w:rPr>
        <w:t>Prevented</w:t>
      </w:r>
      <w:proofErr w:type="gramEnd"/>
      <w:r w:rsidR="002138D2" w:rsidRPr="00A94501">
        <w:rPr>
          <w:i/>
          <w:iCs/>
        </w:rPr>
        <w:t xml:space="preserve"> by their Disability</w:t>
      </w:r>
      <w:r w:rsidR="002138D2" w:rsidRPr="002138D2">
        <w:t xml:space="preserve">, </w:t>
      </w:r>
      <w:r w:rsidR="002138D2" w:rsidRPr="00A94501">
        <w:rPr>
          <w:i/>
          <w:iCs/>
        </w:rPr>
        <w:t>Family Issues</w:t>
      </w:r>
      <w:r w:rsidR="002138D2" w:rsidRPr="002138D2">
        <w:t xml:space="preserve">, </w:t>
      </w:r>
      <w:r w:rsidR="002138D2" w:rsidRPr="00A94501">
        <w:rPr>
          <w:i/>
          <w:iCs/>
        </w:rPr>
        <w:t>Transportation Issues</w:t>
      </w:r>
      <w:r w:rsidR="002138D2" w:rsidRPr="002138D2">
        <w:t xml:space="preserve">, </w:t>
      </w:r>
      <w:r w:rsidR="002138D2" w:rsidRPr="00A94501">
        <w:rPr>
          <w:i/>
          <w:iCs/>
        </w:rPr>
        <w:t>Lack of Assistance from DOR</w:t>
      </w:r>
      <w:r w:rsidR="002138D2" w:rsidRPr="002138D2">
        <w:t xml:space="preserve">, </w:t>
      </w:r>
      <w:r w:rsidR="002138D2" w:rsidRPr="00A94501">
        <w:rPr>
          <w:i/>
          <w:iCs/>
        </w:rPr>
        <w:t>Lack of Desirable Jobs</w:t>
      </w:r>
      <w:r w:rsidR="002138D2" w:rsidRPr="002138D2">
        <w:t xml:space="preserve">, or </w:t>
      </w:r>
      <w:r w:rsidR="002138D2" w:rsidRPr="00A94501">
        <w:rPr>
          <w:i/>
          <w:iCs/>
        </w:rPr>
        <w:t>Lack of Jobs Aligned with their Employment Goals</w:t>
      </w:r>
      <w:r w:rsidR="002138D2" w:rsidRPr="002138D2">
        <w:t xml:space="preserve">. Additionally, </w:t>
      </w:r>
      <w:proofErr w:type="gramStart"/>
      <w:r w:rsidR="002138D2" w:rsidRPr="00A94501">
        <w:rPr>
          <w:i/>
          <w:iCs/>
        </w:rPr>
        <w:t>Currently</w:t>
      </w:r>
      <w:proofErr w:type="gramEnd"/>
      <w:r w:rsidR="002138D2" w:rsidRPr="00A94501">
        <w:rPr>
          <w:i/>
          <w:iCs/>
        </w:rPr>
        <w:t xml:space="preserve"> a Student</w:t>
      </w:r>
      <w:r w:rsidR="002138D2" w:rsidRPr="002138D2">
        <w:t xml:space="preserve"> and </w:t>
      </w:r>
      <w:r w:rsidR="002138D2" w:rsidRPr="00A94501">
        <w:rPr>
          <w:i/>
          <w:iCs/>
        </w:rPr>
        <w:t xml:space="preserve">Still Looking </w:t>
      </w:r>
      <w:r w:rsidR="002138D2" w:rsidRPr="002138D2">
        <w:t xml:space="preserve">were added to the list when the CSS was revised in SFY 2020-21. </w:t>
      </w:r>
    </w:p>
    <w:p w14:paraId="217EBE13" w14:textId="774DFA43" w:rsidR="00D907CE" w:rsidRDefault="00D907CE" w:rsidP="00635226">
      <w:pPr>
        <w:pStyle w:val="SectionSub-Headings"/>
      </w:pPr>
      <w:bookmarkStart w:id="14" w:name="_Toc90632175"/>
      <w:r>
        <w:t>Additional Feedback</w:t>
      </w:r>
      <w:bookmarkEnd w:id="14"/>
    </w:p>
    <w:p w14:paraId="4E23ECB4" w14:textId="1E8610DA" w:rsidR="00697C5A" w:rsidRPr="003A73AD" w:rsidRDefault="00200727" w:rsidP="00697C5A">
      <w:r>
        <w:t xml:space="preserve">Survey participants were able to </w:t>
      </w:r>
      <w:r w:rsidR="00697C5A">
        <w:t>give additional feedback and suggestions for improvements</w:t>
      </w:r>
      <w:r w:rsidR="00A50334">
        <w:t xml:space="preserve">. </w:t>
      </w:r>
      <w:r w:rsidR="00697C5A">
        <w:t>Feedback received was sent to the</w:t>
      </w:r>
      <w:r w:rsidR="00A50334">
        <w:t xml:space="preserve"> participant’s corresponding</w:t>
      </w:r>
      <w:r w:rsidR="00697C5A">
        <w:t xml:space="preserve"> DOR District on a weekly basis for review.</w:t>
      </w:r>
      <w:r w:rsidR="00FF7208">
        <w:t xml:space="preserve"> T</w:t>
      </w:r>
      <w:r w:rsidR="00697C5A">
        <w:t xml:space="preserve">hese comments were analyzed for common topics and themes by reviewing </w:t>
      </w:r>
      <w:r w:rsidR="00A30D9E">
        <w:t>their</w:t>
      </w:r>
      <w:r w:rsidR="00697C5A">
        <w:t xml:space="preserve"> content, context, and key words. In total there were 14 common topics identified which were classified into four general themes</w:t>
      </w:r>
      <w:r w:rsidR="008613D5">
        <w:t xml:space="preserve">: </w:t>
      </w:r>
      <w:r w:rsidR="00697C5A">
        <w:t xml:space="preserve">General DOR Feedback, Interacting with DOR Counselors or Service Providers, Employment Services, and Additional Assistance. </w:t>
      </w:r>
      <w:r w:rsidR="00A30D9E">
        <w:t>A single comment could contain multiple themes</w:t>
      </w:r>
      <w:r w:rsidR="00EF6725">
        <w:t>.</w:t>
      </w:r>
      <w:r w:rsidR="00A30D9E">
        <w:t xml:space="preserve"> </w:t>
      </w:r>
      <w:r w:rsidR="00697C5A">
        <w:t xml:space="preserve">This information was used to support satisfaction ratings and provide a narrative of the </w:t>
      </w:r>
      <w:r w:rsidR="00FF7208">
        <w:t>survey</w:t>
      </w:r>
      <w:r w:rsidR="00697C5A">
        <w:t xml:space="preserve"> results. </w:t>
      </w:r>
    </w:p>
    <w:p w14:paraId="1EBBD915" w14:textId="111475DA" w:rsidR="00FF71A8" w:rsidRDefault="008C5404" w:rsidP="00FF71A8">
      <w:pPr>
        <w:pStyle w:val="SectionHeadings"/>
      </w:pPr>
      <w:bookmarkStart w:id="15" w:name="_Toc90632176"/>
      <w:r>
        <w:t xml:space="preserve">Consumer Satisfaction Survey </w:t>
      </w:r>
      <w:r w:rsidR="004F1953">
        <w:t>Results</w:t>
      </w:r>
      <w:bookmarkEnd w:id="15"/>
    </w:p>
    <w:p w14:paraId="6F7BD576" w14:textId="337DB4C3" w:rsidR="0022179C" w:rsidRDefault="004F1953" w:rsidP="00635226">
      <w:pPr>
        <w:pStyle w:val="SectionSub-Headings"/>
        <w:numPr>
          <w:ilvl w:val="0"/>
          <w:numId w:val="10"/>
        </w:numPr>
      </w:pPr>
      <w:bookmarkStart w:id="16" w:name="_Toc90632177"/>
      <w:r>
        <w:t xml:space="preserve">Survey </w:t>
      </w:r>
      <w:r w:rsidRPr="00A31CC1">
        <w:t>Engagement</w:t>
      </w:r>
      <w:bookmarkEnd w:id="16"/>
    </w:p>
    <w:p w14:paraId="2337F8F7" w14:textId="34F7B562" w:rsidR="00CA3EB2" w:rsidRDefault="00CA3EB2" w:rsidP="00933F7E">
      <w:pPr>
        <w:spacing w:after="160" w:line="259" w:lineRule="auto"/>
      </w:pPr>
      <w:r>
        <w:t>The CSS serves as a mechanism for measuring the satisfaction and opinions of DOR’s consumer population.</w:t>
      </w:r>
      <w:r w:rsidR="00D976AD">
        <w:t xml:space="preserve"> </w:t>
      </w:r>
      <w:r w:rsidR="00063BB9">
        <w:t>The accuracy of the survey results depend</w:t>
      </w:r>
      <w:r w:rsidR="00B37CFE">
        <w:t>s</w:t>
      </w:r>
      <w:r w:rsidR="00063BB9">
        <w:t xml:space="preserve"> on </w:t>
      </w:r>
      <w:r w:rsidR="00EF49EA">
        <w:t>the number of responses received compared to the size of the population.</w:t>
      </w:r>
      <w:r w:rsidR="00FE1B15">
        <w:t xml:space="preserve"> </w:t>
      </w:r>
      <w:r w:rsidR="00B37CFE">
        <w:t>By comparing response rates</w:t>
      </w:r>
      <w:r w:rsidR="00EE164A">
        <w:t>, the number of responses received to the number of surveys sent, survey engagement can be determined</w:t>
      </w:r>
      <w:r w:rsidR="00FE1B15">
        <w:t xml:space="preserve"> </w:t>
      </w:r>
      <w:r w:rsidR="00FE1B15" w:rsidRPr="00A94501">
        <w:t xml:space="preserve">(Figure </w:t>
      </w:r>
      <w:r w:rsidR="008613D5">
        <w:t>1</w:t>
      </w:r>
      <w:r w:rsidR="00FE1B15" w:rsidRPr="00A94501">
        <w:t xml:space="preserve">, Table </w:t>
      </w:r>
      <w:r w:rsidR="008613D5">
        <w:t>4</w:t>
      </w:r>
      <w:r w:rsidR="00FE1B15" w:rsidRPr="00A94501">
        <w:t>).</w:t>
      </w:r>
      <w:r w:rsidR="00EE164A">
        <w:t xml:space="preserve"> For the CSS,</w:t>
      </w:r>
      <w:r w:rsidR="00692252">
        <w:t xml:space="preserve"> response rates were consistent between SFY 2016-17 and SFY 2017-18</w:t>
      </w:r>
      <w:r w:rsidR="00464EE9">
        <w:t xml:space="preserve"> (23.</w:t>
      </w:r>
      <w:r w:rsidR="00136ADC">
        <w:t>3% and 23.4%, respectively)</w:t>
      </w:r>
      <w:r w:rsidR="00464EE9">
        <w:t xml:space="preserve">. </w:t>
      </w:r>
      <w:r w:rsidR="00136ADC">
        <w:lastRenderedPageBreak/>
        <w:t>However, i</w:t>
      </w:r>
      <w:r w:rsidR="00464EE9">
        <w:t>n subsequent years, response rates</w:t>
      </w:r>
      <w:r w:rsidR="00136ADC">
        <w:t xml:space="preserve"> for the CSS</w:t>
      </w:r>
      <w:r w:rsidR="00464EE9">
        <w:t xml:space="preserve"> have declined</w:t>
      </w:r>
      <w:r w:rsidR="00464B7C">
        <w:t xml:space="preserve"> to 18.7% in SFY 2018-19 and 16.6% in SFY 2020-21</w:t>
      </w:r>
      <w:r w:rsidR="00464EE9">
        <w:t>.</w:t>
      </w:r>
    </w:p>
    <w:p w14:paraId="281A01FB" w14:textId="00A3BA24" w:rsidR="003E74B6" w:rsidRDefault="00CC0270" w:rsidP="000A68D7">
      <w:pPr>
        <w:spacing w:after="160" w:line="259" w:lineRule="auto"/>
      </w:pPr>
      <w:r>
        <w:t xml:space="preserve">To elucidate </w:t>
      </w:r>
      <w:r w:rsidR="00515A52">
        <w:t xml:space="preserve">the underlying cause(s) </w:t>
      </w:r>
      <w:r>
        <w:t>of the observed dec</w:t>
      </w:r>
      <w:r w:rsidR="00515A52">
        <w:t>line</w:t>
      </w:r>
      <w:r>
        <w:t xml:space="preserve"> in </w:t>
      </w:r>
      <w:r w:rsidR="00515A52">
        <w:t xml:space="preserve">CSS </w:t>
      </w:r>
      <w:r>
        <w:t xml:space="preserve">response rates, several factors associated with survey administration were compared. </w:t>
      </w:r>
      <w:r w:rsidR="00B34DE2">
        <w:t>Over time</w:t>
      </w:r>
      <w:r w:rsidR="00021E31">
        <w:t>,</w:t>
      </w:r>
      <w:r w:rsidR="00C345A4">
        <w:t xml:space="preserve"> t</w:t>
      </w:r>
      <w:r w:rsidR="008108C5">
        <w:t>he total number of individuals served by DOR has increased</w:t>
      </w:r>
      <w:r w:rsidR="00B34DE2">
        <w:t xml:space="preserve"> from SFY 2016-17 to SFY 2020-21</w:t>
      </w:r>
      <w:r w:rsidR="000D6B8F">
        <w:t>.</w:t>
      </w:r>
      <w:r w:rsidR="00327305">
        <w:t xml:space="preserve"> However, i</w:t>
      </w:r>
      <w:r w:rsidR="00EE5AED">
        <w:t>n SFY 2020-21, the number of individuals sent the CSS was reduced by 7</w:t>
      </w:r>
      <w:r w:rsidR="0015006C">
        <w:t>2</w:t>
      </w:r>
      <w:r w:rsidR="00EE5AED">
        <w:t>% compared to previous year</w:t>
      </w:r>
      <w:r w:rsidR="001259AE">
        <w:t>s</w:t>
      </w:r>
      <w:r w:rsidR="00327305">
        <w:t xml:space="preserve">. The purpose of </w:t>
      </w:r>
      <w:r w:rsidR="00BC5674">
        <w:t xml:space="preserve">sending the CSS to fewer individuals was </w:t>
      </w:r>
      <w:r w:rsidR="00327305">
        <w:t>to decrease</w:t>
      </w:r>
      <w:r w:rsidR="00515A52">
        <w:t xml:space="preserve"> the</w:t>
      </w:r>
      <w:r w:rsidR="00327305">
        <w:t xml:space="preserve"> sampling</w:t>
      </w:r>
      <w:r w:rsidR="00BC5674">
        <w:t xml:space="preserve"> of the population while still</w:t>
      </w:r>
      <w:r w:rsidR="00327305">
        <w:t xml:space="preserve"> maintaining </w:t>
      </w:r>
      <w:r w:rsidR="00EA29E6">
        <w:t>accura</w:t>
      </w:r>
      <w:r w:rsidR="00BC5674">
        <w:t>te</w:t>
      </w:r>
      <w:r w:rsidR="00EA29E6">
        <w:t xml:space="preserve"> results</w:t>
      </w:r>
      <w:r w:rsidR="00BC5674">
        <w:t>, which would not impact consumer response rates</w:t>
      </w:r>
      <w:r w:rsidR="00EA29E6">
        <w:t>.</w:t>
      </w:r>
      <w:r w:rsidR="00BC5674">
        <w:t xml:space="preserve"> </w:t>
      </w:r>
      <w:r w:rsidR="00D7201D">
        <w:t>Additionally, the delivery methods</w:t>
      </w:r>
      <w:r w:rsidR="001664E5">
        <w:t xml:space="preserve"> (95% sent electronically)</w:t>
      </w:r>
      <w:r w:rsidR="00080492">
        <w:t xml:space="preserve"> were consistent with </w:t>
      </w:r>
      <w:r w:rsidR="00EF4F47">
        <w:t>those of</w:t>
      </w:r>
      <w:r w:rsidR="001664E5">
        <w:t xml:space="preserve"> previous years</w:t>
      </w:r>
      <w:r w:rsidR="00EF4F47">
        <w:t xml:space="preserve"> (less than one percent variation)</w:t>
      </w:r>
      <w:r w:rsidR="001664E5">
        <w:t xml:space="preserve">. </w:t>
      </w:r>
      <w:r w:rsidR="005E27F8">
        <w:t>Yet,</w:t>
      </w:r>
      <w:r w:rsidR="00A637B9">
        <w:t xml:space="preserve"> there was a 1.7% increase in the number of undeliverable surveys, due to invalid consumer contact information,</w:t>
      </w:r>
      <w:r w:rsidR="005E27F8">
        <w:t xml:space="preserve"> when</w:t>
      </w:r>
      <w:r w:rsidR="00A637B9">
        <w:t xml:space="preserve"> compared to SFY 2018-19. </w:t>
      </w:r>
      <w:r w:rsidR="000A68D7">
        <w:t>While t</w:t>
      </w:r>
      <w:r w:rsidR="00127374">
        <w:t>here were</w:t>
      </w:r>
      <w:r w:rsidR="00052DEB">
        <w:t xml:space="preserve"> modifications made to the </w:t>
      </w:r>
      <w:r w:rsidR="00F56E9C">
        <w:t>administration</w:t>
      </w:r>
      <w:r w:rsidR="00052DEB">
        <w:t xml:space="preserve"> of the CSS </w:t>
      </w:r>
      <w:r w:rsidR="00AC54FD">
        <w:t>in SFY 2020-21</w:t>
      </w:r>
      <w:r w:rsidR="00052DEB">
        <w:t xml:space="preserve">, </w:t>
      </w:r>
      <w:r w:rsidR="00A65044">
        <w:t xml:space="preserve">these changes do not explain the decreased response rate observed in </w:t>
      </w:r>
      <w:r w:rsidR="005362F2">
        <w:t xml:space="preserve">previous </w:t>
      </w:r>
      <w:r w:rsidR="00A31CC1">
        <w:t>year(s).</w:t>
      </w:r>
      <w:r w:rsidR="00A17B0D">
        <w:t xml:space="preserve"> </w:t>
      </w:r>
    </w:p>
    <w:p w14:paraId="04D53D05" w14:textId="77777777" w:rsidR="00475FBA" w:rsidRPr="00DD0350" w:rsidRDefault="00475FBA" w:rsidP="00963B0B">
      <w:pPr>
        <w:pStyle w:val="FigureTitle"/>
        <w:spacing w:after="240"/>
      </w:pPr>
      <w:r>
        <w:t xml:space="preserve">CSS Response </w:t>
      </w:r>
      <w:r w:rsidRPr="00475FBA">
        <w:t>Rates</w:t>
      </w:r>
      <w:r>
        <w:t xml:space="preserve"> Over Time</w:t>
      </w:r>
    </w:p>
    <w:p w14:paraId="03928AC3" w14:textId="77777777" w:rsidR="00475FBA" w:rsidRDefault="00475FBA" w:rsidP="00475FBA">
      <w:pPr>
        <w:jc w:val="center"/>
      </w:pPr>
      <w:r>
        <w:rPr>
          <w:noProof/>
        </w:rPr>
        <w:drawing>
          <wp:inline distT="0" distB="0" distL="0" distR="0" wp14:anchorId="27ECD859" wp14:editId="4483447D">
            <wp:extent cx="5223471" cy="3219450"/>
            <wp:effectExtent l="19050" t="19050" r="15875" b="19050"/>
            <wp:docPr id="214" name="Picture 214" descr="Figure 1 Description:  The line graph represents the CSS response rates (y-axis) over time (x-axis). The CSS was not conducted in SFY 2019-20 and is represented as a dashed line. Figure data is listed in table format below (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Figure 1 Description:  The line graph represents the CSS response rates (y-axis) over time (x-axis). The CSS was not conducted in SFY 2019-20 and is represented as a dashed line. Figure data is listed in table format below (Table 4)."/>
                    <pic:cNvPicPr/>
                  </pic:nvPicPr>
                  <pic:blipFill rotWithShape="1">
                    <a:blip r:embed="rId9" cstate="print">
                      <a:extLst>
                        <a:ext uri="{28A0092B-C50C-407E-A947-70E740481C1C}">
                          <a14:useLocalDpi xmlns:a14="http://schemas.microsoft.com/office/drawing/2010/main" val="0"/>
                        </a:ext>
                      </a:extLst>
                    </a:blip>
                    <a:srcRect l="1955" t="9725" r="19968" b="3333"/>
                    <a:stretch/>
                  </pic:blipFill>
                  <pic:spPr bwMode="auto">
                    <a:xfrm>
                      <a:off x="0" y="0"/>
                      <a:ext cx="5223471" cy="3219450"/>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6C3B85DF" w14:textId="795FDAA2" w:rsidR="00475FBA" w:rsidRPr="00FE6BE9" w:rsidRDefault="00720A8A" w:rsidP="00475FBA">
      <w:pPr>
        <w:pStyle w:val="FigureFootnotes"/>
      </w:pPr>
      <w:r>
        <w:t>The line graph represents the CSS r</w:t>
      </w:r>
      <w:r w:rsidR="00475FBA">
        <w:t xml:space="preserve">esponse rates (y-axis) </w:t>
      </w:r>
      <w:r w:rsidR="00807F4E">
        <w:t>over time</w:t>
      </w:r>
      <w:r w:rsidR="00475FBA" w:rsidRPr="00A83109">
        <w:t xml:space="preserve"> (x-axis). The CSS was not conducted in SFY 2019-20</w:t>
      </w:r>
      <w:r w:rsidR="00475FBA">
        <w:t xml:space="preserve"> </w:t>
      </w:r>
      <w:r w:rsidR="00807F4E">
        <w:t xml:space="preserve">and is represented as a </w:t>
      </w:r>
      <w:r w:rsidR="00475FBA">
        <w:t>dashed line</w:t>
      </w:r>
      <w:r w:rsidR="00475FBA" w:rsidRPr="00A83109">
        <w:t>.</w:t>
      </w:r>
      <w:r w:rsidR="00475FBA">
        <w:t xml:space="preserve"> </w:t>
      </w:r>
      <w:r w:rsidR="00D95FA3" w:rsidRPr="00D95FA3">
        <w:t>Figure data is listed in table format below (</w:t>
      </w:r>
      <w:r w:rsidR="00D95FA3" w:rsidRPr="00A94501">
        <w:t xml:space="preserve">Table </w:t>
      </w:r>
      <w:r w:rsidR="00807F4E" w:rsidRPr="00A94501">
        <w:t>4</w:t>
      </w:r>
      <w:r w:rsidR="00D95FA3" w:rsidRPr="00A94501">
        <w:t>)</w:t>
      </w:r>
      <w:r w:rsidR="00D2630E" w:rsidRPr="00A94501">
        <w:t>.</w:t>
      </w:r>
    </w:p>
    <w:p w14:paraId="0937AD88" w14:textId="77777777" w:rsidR="00F75E9F" w:rsidRDefault="00F75E9F">
      <w:pPr>
        <w:spacing w:after="160" w:line="259" w:lineRule="auto"/>
        <w:rPr>
          <w:b/>
          <w:bCs/>
        </w:rPr>
      </w:pPr>
      <w:r>
        <w:br w:type="page"/>
      </w:r>
    </w:p>
    <w:p w14:paraId="0CAC575D" w14:textId="7E010C09" w:rsidR="00446996" w:rsidRPr="00903B93" w:rsidRDefault="00D1336B" w:rsidP="00446996">
      <w:pPr>
        <w:pStyle w:val="TableTitle"/>
      </w:pPr>
      <w:r>
        <w:lastRenderedPageBreak/>
        <w:t>Comparison of CSS Population Sizes, Surveys Sent, and Responses Received Over Time</w:t>
      </w:r>
    </w:p>
    <w:tbl>
      <w:tblPr>
        <w:tblStyle w:val="TableGrid"/>
        <w:tblW w:w="9766" w:type="dxa"/>
        <w:jc w:val="center"/>
        <w:tblBorders>
          <w:top w:val="single" w:sz="4" w:space="0" w:color="00263E" w:themeColor="text2"/>
          <w:left w:val="single" w:sz="4" w:space="0" w:color="00263E" w:themeColor="text2"/>
          <w:bottom w:val="single" w:sz="4" w:space="0" w:color="00263E" w:themeColor="text2"/>
          <w:right w:val="single" w:sz="4" w:space="0" w:color="00263E" w:themeColor="text2"/>
          <w:insideH w:val="single" w:sz="4" w:space="0" w:color="00263E" w:themeColor="text2"/>
          <w:insideV w:val="none" w:sz="0" w:space="0" w:color="auto"/>
        </w:tblBorders>
        <w:shd w:val="clear" w:color="auto" w:fill="FFFFFF" w:themeFill="background1"/>
        <w:tblCellMar>
          <w:left w:w="72" w:type="dxa"/>
          <w:right w:w="72" w:type="dxa"/>
        </w:tblCellMar>
        <w:tblLook w:val="04A0" w:firstRow="1" w:lastRow="0" w:firstColumn="1" w:lastColumn="0" w:noHBand="0" w:noVBand="1"/>
      </w:tblPr>
      <w:tblGrid>
        <w:gridCol w:w="3286"/>
        <w:gridCol w:w="1296"/>
        <w:gridCol w:w="1296"/>
        <w:gridCol w:w="1296"/>
        <w:gridCol w:w="1296"/>
        <w:gridCol w:w="1296"/>
      </w:tblGrid>
      <w:tr w:rsidR="001B5B73" w:rsidRPr="00D46882" w14:paraId="6121F91E" w14:textId="77777777" w:rsidTr="00DD0A04">
        <w:trPr>
          <w:trHeight w:val="576"/>
          <w:jc w:val="center"/>
        </w:trPr>
        <w:tc>
          <w:tcPr>
            <w:tcW w:w="328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4AA053C4" w14:textId="77777777" w:rsidR="00446996" w:rsidRPr="00D46882" w:rsidRDefault="00446996" w:rsidP="0063487D">
            <w:pPr>
              <w:spacing w:after="0"/>
              <w:rPr>
                <w:b/>
                <w:bCs/>
                <w:color w:val="FFFFFF" w:themeColor="background1"/>
              </w:rPr>
            </w:pPr>
            <w:r>
              <w:rPr>
                <w:b/>
                <w:bCs/>
                <w:color w:val="FFFFFF" w:themeColor="background1"/>
              </w:rPr>
              <w:t>Survey Design</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03BA5CE6" w14:textId="77777777" w:rsidR="00446996" w:rsidRPr="00D46882" w:rsidRDefault="00446996" w:rsidP="00DD0A04">
            <w:pPr>
              <w:spacing w:after="0"/>
              <w:jc w:val="center"/>
              <w:rPr>
                <w:b/>
                <w:bCs/>
                <w:color w:val="FFFFFF" w:themeColor="background1"/>
              </w:rPr>
            </w:pPr>
            <w:r w:rsidRPr="00D46882">
              <w:rPr>
                <w:b/>
                <w:bCs/>
                <w:color w:val="FFFFFF" w:themeColor="background1"/>
              </w:rPr>
              <w:t>2016-17</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1F8A9D1A" w14:textId="77777777" w:rsidR="00446996" w:rsidRPr="00D46882" w:rsidRDefault="00446996" w:rsidP="00DD0A04">
            <w:pPr>
              <w:spacing w:after="0"/>
              <w:jc w:val="center"/>
              <w:rPr>
                <w:b/>
                <w:bCs/>
                <w:color w:val="FFFFFF" w:themeColor="background1"/>
              </w:rPr>
            </w:pPr>
            <w:r w:rsidRPr="00D46882">
              <w:rPr>
                <w:b/>
                <w:bCs/>
                <w:color w:val="FFFFFF" w:themeColor="background1"/>
              </w:rPr>
              <w:t>2017-18</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23B9B51B" w14:textId="77777777" w:rsidR="00446996" w:rsidRPr="00D46882" w:rsidRDefault="00446996" w:rsidP="00DD0A04">
            <w:pPr>
              <w:spacing w:after="0"/>
              <w:jc w:val="center"/>
              <w:rPr>
                <w:b/>
                <w:bCs/>
                <w:color w:val="FFFFFF" w:themeColor="background1"/>
              </w:rPr>
            </w:pPr>
            <w:r w:rsidRPr="00D46882">
              <w:rPr>
                <w:b/>
                <w:bCs/>
                <w:color w:val="FFFFFF" w:themeColor="background1"/>
              </w:rPr>
              <w:t>2018-19</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26658B4D" w14:textId="77777777" w:rsidR="00446996" w:rsidRPr="002405DA" w:rsidRDefault="00446996" w:rsidP="00DD0A04">
            <w:pPr>
              <w:spacing w:after="0"/>
              <w:jc w:val="center"/>
              <w:rPr>
                <w:b/>
                <w:bCs/>
                <w:color w:val="FFFFFF" w:themeColor="background1"/>
                <w:vertAlign w:val="superscript"/>
              </w:rPr>
            </w:pPr>
            <w:r w:rsidRPr="00D46882">
              <w:rPr>
                <w:b/>
                <w:bCs/>
                <w:color w:val="FFFFFF" w:themeColor="background1"/>
              </w:rPr>
              <w:t>2019-20</w:t>
            </w:r>
            <w:r>
              <w:rPr>
                <w:b/>
                <w:bCs/>
                <w:color w:val="FFFFFF" w:themeColor="background1"/>
                <w:vertAlign w:val="superscript"/>
              </w:rPr>
              <w:t>1</w:t>
            </w:r>
          </w:p>
        </w:tc>
        <w:tc>
          <w:tcPr>
            <w:tcW w:w="1296" w:type="dxa"/>
            <w:tcBorders>
              <w:top w:val="single" w:sz="4" w:space="0" w:color="auto"/>
              <w:left w:val="single" w:sz="4" w:space="0" w:color="auto"/>
              <w:bottom w:val="single" w:sz="4" w:space="0" w:color="auto"/>
              <w:right w:val="single" w:sz="4" w:space="0" w:color="auto"/>
            </w:tcBorders>
            <w:shd w:val="clear" w:color="auto" w:fill="00407B" w:themeFill="accent1" w:themeFillShade="BF"/>
            <w:noWrap/>
            <w:vAlign w:val="center"/>
            <w:hideMark/>
          </w:tcPr>
          <w:p w14:paraId="209DCF2F" w14:textId="77777777" w:rsidR="00446996" w:rsidRPr="00D46882" w:rsidRDefault="00446996" w:rsidP="00DD0A04">
            <w:pPr>
              <w:spacing w:after="0"/>
              <w:jc w:val="center"/>
              <w:rPr>
                <w:b/>
                <w:bCs/>
                <w:color w:val="FFFFFF" w:themeColor="background1"/>
              </w:rPr>
            </w:pPr>
            <w:r w:rsidRPr="00D46882">
              <w:rPr>
                <w:b/>
                <w:bCs/>
                <w:color w:val="FFFFFF" w:themeColor="background1"/>
              </w:rPr>
              <w:t>2020-21</w:t>
            </w:r>
          </w:p>
        </w:tc>
      </w:tr>
      <w:tr w:rsidR="00A12C89" w:rsidRPr="00A12C89" w14:paraId="513468F1"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F5ED2D4" w14:textId="77777777" w:rsidR="00446996" w:rsidRPr="00A12C89" w:rsidRDefault="00446996" w:rsidP="00DD0A04">
            <w:pPr>
              <w:spacing w:after="0" w:line="259" w:lineRule="auto"/>
            </w:pPr>
            <w:r w:rsidRPr="00A12C89">
              <w:t>Population Size</w:t>
            </w:r>
            <w:r w:rsidRPr="00A12C89">
              <w:rPr>
                <w:vertAlign w:val="superscript"/>
              </w:rPr>
              <w:t xml:space="preserve">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3CB148A" w14:textId="77777777" w:rsidR="00446996" w:rsidRPr="00A12C89" w:rsidRDefault="00446996" w:rsidP="00DD0A04">
            <w:pPr>
              <w:spacing w:after="0" w:line="259" w:lineRule="auto"/>
              <w:jc w:val="right"/>
            </w:pPr>
            <w:r w:rsidRPr="00A12C89">
              <w:t xml:space="preserve">98,332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DFBFFC" w14:textId="77777777" w:rsidR="00446996" w:rsidRPr="00A12C89" w:rsidRDefault="00446996" w:rsidP="00DD0A04">
            <w:pPr>
              <w:spacing w:after="0" w:line="259" w:lineRule="auto"/>
              <w:jc w:val="right"/>
            </w:pPr>
            <w:r w:rsidRPr="00A12C89">
              <w:t xml:space="preserve">100,442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2D4F5D2" w14:textId="77777777" w:rsidR="00446996" w:rsidRPr="00A12C89" w:rsidRDefault="00446996" w:rsidP="00DD0A04">
            <w:pPr>
              <w:spacing w:after="0" w:line="259" w:lineRule="auto"/>
              <w:jc w:val="right"/>
            </w:pPr>
            <w:r w:rsidRPr="00A12C89">
              <w:t xml:space="preserve">101,750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EE759E0" w14:textId="77777777" w:rsidR="00446996" w:rsidRPr="00A12C89" w:rsidRDefault="00446996" w:rsidP="00DD0A04">
            <w:pPr>
              <w:spacing w:after="0" w:line="259" w:lineRule="auto"/>
              <w:jc w:val="right"/>
            </w:pPr>
            <w:r w:rsidRPr="00A12C89">
              <w:t xml:space="preserve">108,916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C6F9F06" w14:textId="77777777" w:rsidR="00446996" w:rsidRPr="00A12C89" w:rsidRDefault="00446996" w:rsidP="00DD0A04">
            <w:pPr>
              <w:spacing w:after="0" w:line="259" w:lineRule="auto"/>
              <w:jc w:val="right"/>
            </w:pPr>
            <w:r w:rsidRPr="00A12C89">
              <w:t xml:space="preserve">109,845 </w:t>
            </w:r>
          </w:p>
        </w:tc>
      </w:tr>
      <w:tr w:rsidR="00A12C89" w:rsidRPr="00A12C89" w14:paraId="7DDE6693"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62AAD57E" w14:textId="77777777" w:rsidR="00446996" w:rsidRPr="00A12C89" w:rsidRDefault="00446996" w:rsidP="00DD0A04">
            <w:pPr>
              <w:spacing w:after="0" w:line="259" w:lineRule="auto"/>
            </w:pPr>
            <w:r w:rsidRPr="00A12C89">
              <w:t>Survey Sample Size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ECD2AD9" w14:textId="77777777" w:rsidR="00446996" w:rsidRPr="00A12C89" w:rsidRDefault="00446996" w:rsidP="00DD0A04">
            <w:pPr>
              <w:spacing w:after="0" w:line="259" w:lineRule="auto"/>
              <w:jc w:val="right"/>
            </w:pPr>
            <w:r w:rsidRPr="00A12C89">
              <w:t xml:space="preserve">20,400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FF1AC23" w14:textId="77777777" w:rsidR="00446996" w:rsidRPr="00A12C89" w:rsidRDefault="00446996" w:rsidP="00DD0A04">
            <w:pPr>
              <w:spacing w:after="0" w:line="259" w:lineRule="auto"/>
              <w:jc w:val="right"/>
            </w:pPr>
            <w:r w:rsidRPr="00A12C89">
              <w:t xml:space="preserve">20,400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565845E" w14:textId="77777777" w:rsidR="00446996" w:rsidRPr="00A12C89" w:rsidRDefault="00446996" w:rsidP="00DD0A04">
            <w:pPr>
              <w:spacing w:after="0" w:line="259" w:lineRule="auto"/>
              <w:jc w:val="right"/>
            </w:pPr>
            <w:r w:rsidRPr="00A12C89">
              <w:t xml:space="preserve">20,400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293F932" w14:textId="77777777" w:rsidR="00446996" w:rsidRPr="00A12C89" w:rsidRDefault="00446996" w:rsidP="00DD0A04">
            <w:pPr>
              <w:spacing w:after="0" w:line="259" w:lineRule="auto"/>
              <w:jc w:val="right"/>
              <w:rPr>
                <w:vertAlign w:val="superscript"/>
              </w:rPr>
            </w:pPr>
            <w:r w:rsidRPr="00A12C89">
              <w:t>N/A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1CBADFD" w14:textId="5FBC0212" w:rsidR="00446996" w:rsidRPr="00A12C89" w:rsidRDefault="00446996" w:rsidP="00DD0A04">
            <w:pPr>
              <w:spacing w:after="0" w:line="259" w:lineRule="auto"/>
              <w:jc w:val="right"/>
            </w:pPr>
            <w:r w:rsidRPr="00A12C89">
              <w:t>5,7</w:t>
            </w:r>
            <w:r w:rsidR="00996F39">
              <w:t>31</w:t>
            </w:r>
            <w:r w:rsidRPr="00A12C89">
              <w:t xml:space="preserve"> </w:t>
            </w:r>
          </w:p>
        </w:tc>
      </w:tr>
      <w:tr w:rsidR="00A12C89" w:rsidRPr="00A12C89" w14:paraId="07B7666F"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581217EC" w14:textId="77777777" w:rsidR="00446996" w:rsidRPr="00A12C89" w:rsidRDefault="00446996" w:rsidP="00DD0A04">
            <w:pPr>
              <w:spacing w:after="0" w:line="259" w:lineRule="auto"/>
              <w:rPr>
                <w:vertAlign w:val="superscript"/>
              </w:rPr>
            </w:pPr>
            <w:r w:rsidRPr="00A12C89">
              <w:t>Population Survey Rate</w:t>
            </w:r>
            <w:r w:rsidRPr="00A12C89">
              <w:rPr>
                <w:vertAlign w:val="superscript"/>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92C9B1D" w14:textId="77777777" w:rsidR="00446996" w:rsidRPr="00A12C89" w:rsidRDefault="00446996" w:rsidP="00DD0A04">
            <w:pPr>
              <w:spacing w:after="0" w:line="259" w:lineRule="auto"/>
              <w:jc w:val="right"/>
            </w:pPr>
            <w:r w:rsidRPr="00A12C89">
              <w:t>20.7%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F479455" w14:textId="77777777" w:rsidR="00446996" w:rsidRPr="00A12C89" w:rsidRDefault="00446996" w:rsidP="00DD0A04">
            <w:pPr>
              <w:spacing w:after="0" w:line="259" w:lineRule="auto"/>
              <w:jc w:val="right"/>
            </w:pPr>
            <w:r w:rsidRPr="00A12C89">
              <w:t>20.3%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81250D5" w14:textId="77777777" w:rsidR="00446996" w:rsidRPr="00A12C89" w:rsidRDefault="00446996" w:rsidP="00DD0A04">
            <w:pPr>
              <w:spacing w:after="0" w:line="259" w:lineRule="auto"/>
              <w:jc w:val="right"/>
            </w:pPr>
            <w:r w:rsidRPr="00A12C89">
              <w:t>20.0%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1B3A796" w14:textId="77777777" w:rsidR="00446996" w:rsidRPr="00A12C89" w:rsidRDefault="00446996" w:rsidP="00DD0A04">
            <w:pPr>
              <w:spacing w:after="0" w:line="259" w:lineRule="auto"/>
              <w:jc w:val="right"/>
            </w:pPr>
            <w:r w:rsidRPr="00A12C89">
              <w:t>N/A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43105C7" w14:textId="77777777" w:rsidR="00446996" w:rsidRPr="00A12C89" w:rsidRDefault="00446996" w:rsidP="00DD0A04">
            <w:pPr>
              <w:spacing w:after="0" w:line="259" w:lineRule="auto"/>
              <w:jc w:val="right"/>
            </w:pPr>
            <w:r w:rsidRPr="00A12C89">
              <w:t>5.2%</w:t>
            </w:r>
          </w:p>
        </w:tc>
      </w:tr>
      <w:tr w:rsidR="00A12C89" w:rsidRPr="00A12C89" w14:paraId="4B29332A"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063DC62D" w14:textId="2CD6A061" w:rsidR="008824B3" w:rsidRPr="006A7C8E" w:rsidRDefault="008824B3" w:rsidP="00DD0A04">
            <w:pPr>
              <w:spacing w:after="0" w:line="259" w:lineRule="auto"/>
            </w:pPr>
            <w:r w:rsidRPr="00A12C89">
              <w:t>Total Sent</w:t>
            </w:r>
            <w:r w:rsidR="006A7C8E">
              <w:rPr>
                <w:vertAlign w:val="superscript"/>
              </w:rPr>
              <w:t>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AE86F30" w14:textId="52743B58" w:rsidR="008824B3" w:rsidRPr="00A12C89" w:rsidRDefault="008824B3" w:rsidP="00DD0A04">
            <w:pPr>
              <w:spacing w:after="0" w:line="259" w:lineRule="auto"/>
              <w:jc w:val="right"/>
            </w:pPr>
            <w:r w:rsidRPr="00A12C89">
              <w:t xml:space="preserve"> 18,676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1FE38D1" w14:textId="501572D0" w:rsidR="008824B3" w:rsidRPr="00A12C89" w:rsidRDefault="008824B3" w:rsidP="00DD0A04">
            <w:pPr>
              <w:spacing w:after="0" w:line="259" w:lineRule="auto"/>
              <w:jc w:val="right"/>
            </w:pPr>
            <w:r w:rsidRPr="00A12C89">
              <w:t xml:space="preserve"> 18,561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0D65C20" w14:textId="61E27937" w:rsidR="008824B3" w:rsidRPr="00A12C89" w:rsidRDefault="008824B3" w:rsidP="00DD0A04">
            <w:pPr>
              <w:spacing w:after="0" w:line="259" w:lineRule="auto"/>
              <w:jc w:val="right"/>
            </w:pPr>
            <w:r w:rsidRPr="00A12C89">
              <w:t xml:space="preserve"> 18,666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A992C4A" w14:textId="48512326" w:rsidR="008824B3" w:rsidRPr="00A12C89" w:rsidRDefault="008824B3" w:rsidP="00DD0A04">
            <w:pPr>
              <w:spacing w:after="0" w:line="259" w:lineRule="auto"/>
              <w:jc w:val="right"/>
            </w:pPr>
            <w:r w:rsidRPr="00A12C89">
              <w:t>N/A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144E59C" w14:textId="6BBE3F6B" w:rsidR="008824B3" w:rsidRPr="00A12C89" w:rsidRDefault="008824B3" w:rsidP="00DD0A04">
            <w:pPr>
              <w:spacing w:after="0" w:line="259" w:lineRule="auto"/>
              <w:jc w:val="right"/>
            </w:pPr>
            <w:r w:rsidRPr="00A12C89">
              <w:t xml:space="preserve"> 5,123 </w:t>
            </w:r>
          </w:p>
        </w:tc>
      </w:tr>
      <w:tr w:rsidR="00A12C89" w:rsidRPr="00A12C89" w14:paraId="2770AB1A"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116D2A56" w14:textId="40D3621C" w:rsidR="008824B3" w:rsidRPr="006A7C8E" w:rsidRDefault="008824B3" w:rsidP="00DD0A04">
            <w:pPr>
              <w:spacing w:after="0" w:line="259" w:lineRule="auto"/>
              <w:rPr>
                <w:vertAlign w:val="superscript"/>
              </w:rPr>
            </w:pPr>
            <w:r w:rsidRPr="00A12C89">
              <w:t>Deliverable Rate</w:t>
            </w:r>
            <w:r w:rsidR="006A7C8E">
              <w:rPr>
                <w:vertAlign w:val="superscript"/>
              </w:rPr>
              <w:t>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3FDEC34" w14:textId="51B1E833" w:rsidR="008824B3" w:rsidRPr="00A12C89" w:rsidRDefault="008824B3" w:rsidP="00DD0A04">
            <w:pPr>
              <w:spacing w:after="0" w:line="259" w:lineRule="auto"/>
              <w:jc w:val="right"/>
            </w:pPr>
            <w:r w:rsidRPr="00A12C89">
              <w:t>91.5%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F5B3AE4" w14:textId="3125D80D" w:rsidR="008824B3" w:rsidRPr="00A12C89" w:rsidRDefault="008824B3" w:rsidP="00DD0A04">
            <w:pPr>
              <w:spacing w:after="0" w:line="259" w:lineRule="auto"/>
              <w:jc w:val="right"/>
            </w:pPr>
            <w:r w:rsidRPr="00A12C89">
              <w:t>91.0%</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9EF18EA" w14:textId="13DE374D" w:rsidR="008824B3" w:rsidRPr="00A12C89" w:rsidRDefault="008824B3" w:rsidP="00DD0A04">
            <w:pPr>
              <w:spacing w:after="0" w:line="259" w:lineRule="auto"/>
              <w:jc w:val="right"/>
            </w:pPr>
            <w:r w:rsidRPr="00A12C89">
              <w:t>91.5%</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49BABE9" w14:textId="4EFC50E0" w:rsidR="008824B3" w:rsidRPr="00A12C89" w:rsidRDefault="008824B3" w:rsidP="00DD0A04">
            <w:pPr>
              <w:spacing w:after="0" w:line="259" w:lineRule="auto"/>
              <w:jc w:val="right"/>
            </w:pPr>
            <w:r w:rsidRPr="00A12C89">
              <w:t>N/A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31F00DC" w14:textId="40B77B4A" w:rsidR="008824B3" w:rsidRPr="00A12C89" w:rsidRDefault="008824B3" w:rsidP="00DD0A04">
            <w:pPr>
              <w:spacing w:after="0" w:line="259" w:lineRule="auto"/>
              <w:jc w:val="right"/>
            </w:pPr>
            <w:r w:rsidRPr="00A12C89">
              <w:t>89.8%</w:t>
            </w:r>
          </w:p>
        </w:tc>
      </w:tr>
      <w:tr w:rsidR="00A12C89" w:rsidRPr="00A12C89" w14:paraId="5F85CF85"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26967F4E" w14:textId="174A2073" w:rsidR="00044940" w:rsidRPr="00A12C89" w:rsidRDefault="008824B3" w:rsidP="00DD0A04">
            <w:pPr>
              <w:spacing w:after="0" w:line="259" w:lineRule="auto"/>
            </w:pPr>
            <w:r w:rsidRPr="00A12C89">
              <w:t>Responses Received</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69EACA6" w14:textId="62447ECF" w:rsidR="00044940" w:rsidRPr="00A12C89" w:rsidRDefault="00044940" w:rsidP="00DD0A04">
            <w:pPr>
              <w:spacing w:after="0" w:line="259" w:lineRule="auto"/>
              <w:jc w:val="right"/>
            </w:pPr>
            <w:r w:rsidRPr="00A12C89">
              <w:t xml:space="preserve"> 4,344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05249ED" w14:textId="78C1A496" w:rsidR="00044940" w:rsidRPr="00A12C89" w:rsidRDefault="00044940" w:rsidP="00DD0A04">
            <w:pPr>
              <w:spacing w:after="0" w:line="259" w:lineRule="auto"/>
              <w:jc w:val="right"/>
            </w:pPr>
            <w:r w:rsidRPr="00A12C89">
              <w:t xml:space="preserve"> 4,351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FEAD90C" w14:textId="37D40315" w:rsidR="00044940" w:rsidRPr="00A12C89" w:rsidRDefault="00044940" w:rsidP="00DD0A04">
            <w:pPr>
              <w:spacing w:after="0" w:line="259" w:lineRule="auto"/>
              <w:jc w:val="right"/>
            </w:pPr>
            <w:r w:rsidRPr="00A12C89">
              <w:t xml:space="preserve"> 3,483 </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F9573EE" w14:textId="5B870861" w:rsidR="00044940" w:rsidRPr="00A12C89" w:rsidRDefault="00044940" w:rsidP="00DD0A04">
            <w:pPr>
              <w:spacing w:after="0" w:line="259" w:lineRule="auto"/>
              <w:jc w:val="right"/>
            </w:pPr>
            <w:r w:rsidRPr="00A12C89">
              <w:t>N/A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38D51BF" w14:textId="66596394" w:rsidR="00044940" w:rsidRPr="00A12C89" w:rsidRDefault="00044940" w:rsidP="00DD0A04">
            <w:pPr>
              <w:spacing w:after="0" w:line="259" w:lineRule="auto"/>
              <w:jc w:val="right"/>
            </w:pPr>
            <w:r w:rsidRPr="00A12C89">
              <w:t xml:space="preserve"> 849 </w:t>
            </w:r>
          </w:p>
        </w:tc>
      </w:tr>
      <w:tr w:rsidR="00A12C89" w:rsidRPr="00A12C89" w14:paraId="118D7EF7" w14:textId="77777777" w:rsidTr="00DD0A04">
        <w:tblPrEx>
          <w:jc w:val="left"/>
        </w:tblPrEx>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14:paraId="7BEC4F10" w14:textId="0867A0D8" w:rsidR="00044940" w:rsidRPr="006A7C8E" w:rsidRDefault="008824B3" w:rsidP="00DD0A04">
            <w:pPr>
              <w:spacing w:after="0" w:line="259" w:lineRule="auto"/>
              <w:rPr>
                <w:vertAlign w:val="superscript"/>
              </w:rPr>
            </w:pPr>
            <w:r w:rsidRPr="00A12C89">
              <w:t>Responses Rate</w:t>
            </w:r>
            <w:r w:rsidR="006A7C8E">
              <w:rPr>
                <w:vertAlign w:val="superscript"/>
              </w:rPr>
              <w:t>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3A210EC" w14:textId="0E4E05A7" w:rsidR="00044940" w:rsidRPr="00A12C89" w:rsidRDefault="00044940" w:rsidP="00DD0A04">
            <w:pPr>
              <w:spacing w:after="0" w:line="259" w:lineRule="auto"/>
              <w:jc w:val="right"/>
            </w:pPr>
            <w:r w:rsidRPr="00A12C89">
              <w:t>23.3%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B700E2A" w14:textId="623B85D2" w:rsidR="00044940" w:rsidRPr="00A12C89" w:rsidRDefault="00044940" w:rsidP="00DD0A04">
            <w:pPr>
              <w:spacing w:after="0" w:line="259" w:lineRule="auto"/>
              <w:jc w:val="right"/>
            </w:pPr>
            <w:r w:rsidRPr="00A12C89">
              <w:t>23.4%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44DC58B2" w14:textId="2089C54C" w:rsidR="00044940" w:rsidRPr="00A12C89" w:rsidRDefault="00044940" w:rsidP="00DD0A04">
            <w:pPr>
              <w:spacing w:after="0" w:line="259" w:lineRule="auto"/>
              <w:jc w:val="right"/>
            </w:pPr>
            <w:r w:rsidRPr="00A12C89">
              <w:t>18.7%</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4436CD2" w14:textId="6062BFB0" w:rsidR="00044940" w:rsidRPr="00A12C89" w:rsidRDefault="00044940" w:rsidP="00DD0A04">
            <w:pPr>
              <w:spacing w:after="0" w:line="259" w:lineRule="auto"/>
              <w:jc w:val="right"/>
            </w:pPr>
            <w:r w:rsidRPr="00A12C89">
              <w:t>N/A</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9B28B0F" w14:textId="47609CED" w:rsidR="00044940" w:rsidRPr="00A12C89" w:rsidRDefault="00044940" w:rsidP="00DD0A04">
            <w:pPr>
              <w:spacing w:after="0" w:line="259" w:lineRule="auto"/>
              <w:jc w:val="right"/>
            </w:pPr>
            <w:r w:rsidRPr="00A12C89">
              <w:t>16.6%</w:t>
            </w:r>
          </w:p>
        </w:tc>
      </w:tr>
    </w:tbl>
    <w:p w14:paraId="1BC8AD50" w14:textId="231077DA" w:rsidR="00A94501" w:rsidRPr="00C54E0E" w:rsidRDefault="00446996" w:rsidP="007B4424">
      <w:pPr>
        <w:pStyle w:val="TableFootnotes"/>
        <w:numPr>
          <w:ilvl w:val="0"/>
          <w:numId w:val="23"/>
        </w:numPr>
        <w:ind w:left="1080" w:right="720"/>
      </w:pPr>
      <w:r w:rsidRPr="00C54E0E">
        <w:t>CSS was not conducted in SFY 2019-20.</w:t>
      </w:r>
      <w:r w:rsidR="00F77F89" w:rsidRPr="00C54E0E">
        <w:t xml:space="preserve"> </w:t>
      </w:r>
    </w:p>
    <w:p w14:paraId="2959DB1B" w14:textId="6BF1C3A6" w:rsidR="00A94501" w:rsidRPr="00C54E0E" w:rsidRDefault="00446996" w:rsidP="007B4424">
      <w:pPr>
        <w:pStyle w:val="TableFootnotes"/>
        <w:ind w:left="1080" w:right="720"/>
      </w:pPr>
      <w:r w:rsidRPr="00C54E0E">
        <w:t xml:space="preserve">Population </w:t>
      </w:r>
      <w:r w:rsidR="00D2630E" w:rsidRPr="00C54E0E">
        <w:t xml:space="preserve">size </w:t>
      </w:r>
      <w:r w:rsidRPr="00C54E0E">
        <w:t xml:space="preserve">refers to the total population served by DOR in the previous </w:t>
      </w:r>
      <w:r w:rsidR="00D2630E" w:rsidRPr="00C54E0E">
        <w:t>state fiscal year</w:t>
      </w:r>
      <w:r w:rsidRPr="00C54E0E">
        <w:t xml:space="preserve">. </w:t>
      </w:r>
    </w:p>
    <w:p w14:paraId="25211A60" w14:textId="21ED9EED" w:rsidR="00A94501" w:rsidRPr="00C54E0E" w:rsidRDefault="00446996" w:rsidP="007B4424">
      <w:pPr>
        <w:pStyle w:val="TableFootnotes"/>
        <w:ind w:left="1080" w:right="720"/>
      </w:pPr>
      <w:r w:rsidRPr="00C54E0E">
        <w:t xml:space="preserve">Population survey rate </w:t>
      </w:r>
      <w:r w:rsidR="00F47C4B" w:rsidRPr="00C54E0E">
        <w:t>is</w:t>
      </w:r>
      <w:r w:rsidRPr="00C54E0E">
        <w:t xml:space="preserve"> the percent </w:t>
      </w:r>
      <w:r w:rsidR="00F47C4B" w:rsidRPr="00C54E0E">
        <w:t xml:space="preserve">of </w:t>
      </w:r>
      <w:r w:rsidR="0039759F" w:rsidRPr="00C54E0E">
        <w:t>individuals selected for the survey, referred to as the survey sample size, compared to total population size</w:t>
      </w:r>
      <w:r w:rsidRPr="00C54E0E">
        <w:t>.</w:t>
      </w:r>
      <w:r w:rsidR="006A7C8E" w:rsidRPr="00C54E0E">
        <w:t xml:space="preserve"> </w:t>
      </w:r>
    </w:p>
    <w:p w14:paraId="7A138BF2" w14:textId="0C7024AD" w:rsidR="00A94501" w:rsidRPr="00C54E0E" w:rsidRDefault="00177055" w:rsidP="007B4424">
      <w:pPr>
        <w:pStyle w:val="TableFootnotes"/>
        <w:ind w:left="1080" w:right="720"/>
      </w:pPr>
      <w:r w:rsidRPr="00C54E0E">
        <w:t>Total number of surveys sent exclud</w:t>
      </w:r>
      <w:r w:rsidR="004D25AD" w:rsidRPr="00C54E0E">
        <w:t>es any</w:t>
      </w:r>
      <w:r w:rsidRPr="00C54E0E">
        <w:t xml:space="preserve"> undeliverable surveys due to invalid consumer contact information. </w:t>
      </w:r>
    </w:p>
    <w:p w14:paraId="469C0EDE" w14:textId="5F60BEA7" w:rsidR="00A94501" w:rsidRPr="00C54E0E" w:rsidRDefault="00177055" w:rsidP="007B4424">
      <w:pPr>
        <w:pStyle w:val="TableFootnotes"/>
        <w:ind w:left="1080" w:right="720"/>
      </w:pPr>
      <w:r w:rsidRPr="00C54E0E">
        <w:t xml:space="preserve">Deliverable rate is the percent of </w:t>
      </w:r>
      <w:r w:rsidR="00C86423" w:rsidRPr="00C54E0E">
        <w:t>total surveys sent, excluding undeliverable</w:t>
      </w:r>
      <w:r w:rsidR="00482F90" w:rsidRPr="00C54E0E">
        <w:t xml:space="preserve"> surveys</w:t>
      </w:r>
      <w:r w:rsidR="00C86423" w:rsidRPr="00C54E0E">
        <w:t>,</w:t>
      </w:r>
      <w:r w:rsidR="00482F90" w:rsidRPr="00C54E0E">
        <w:t xml:space="preserve"> compared to</w:t>
      </w:r>
      <w:r w:rsidR="00EF030A" w:rsidRPr="00C54E0E">
        <w:t xml:space="preserve"> survey sample size.</w:t>
      </w:r>
      <w:r w:rsidR="000E0174" w:rsidRPr="00C54E0E">
        <w:t xml:space="preserve"> </w:t>
      </w:r>
    </w:p>
    <w:p w14:paraId="6F67F625" w14:textId="6BF8C5DD" w:rsidR="00E40105" w:rsidRPr="00C54E0E" w:rsidRDefault="000E0174" w:rsidP="007B4424">
      <w:pPr>
        <w:pStyle w:val="TableFootnotes"/>
        <w:ind w:left="1080" w:right="720"/>
      </w:pPr>
      <w:r w:rsidRPr="00C54E0E">
        <w:t>Response rate is the percent of survey responses received compared to the total number of surveys sent, excluding undeliverable</w:t>
      </w:r>
      <w:r w:rsidR="00F47C4B" w:rsidRPr="00C54E0E">
        <w:t xml:space="preserve"> surveys.</w:t>
      </w:r>
    </w:p>
    <w:p w14:paraId="66797FB1" w14:textId="6836B197" w:rsidR="008173FF" w:rsidRDefault="0039027D" w:rsidP="00635226">
      <w:pPr>
        <w:pStyle w:val="SectionSub-Headings"/>
      </w:pPr>
      <w:bookmarkStart w:id="17" w:name="_Toc90632178"/>
      <w:r>
        <w:t xml:space="preserve">Consumer </w:t>
      </w:r>
      <w:r w:rsidR="00901FC9">
        <w:t>Satisfaction</w:t>
      </w:r>
      <w:bookmarkEnd w:id="17"/>
    </w:p>
    <w:p w14:paraId="00DE721A" w14:textId="167ED45B" w:rsidR="00B97FF9" w:rsidRDefault="00D10FCE" w:rsidP="00635226">
      <w:pPr>
        <w:pStyle w:val="SectionSub-HeadingsTopics"/>
        <w:numPr>
          <w:ilvl w:val="0"/>
          <w:numId w:val="11"/>
        </w:numPr>
      </w:pPr>
      <w:bookmarkStart w:id="18" w:name="_Toc90632179"/>
      <w:r w:rsidRPr="007E11BD">
        <w:t>DOR</w:t>
      </w:r>
      <w:r>
        <w:t xml:space="preserve"> Experience</w:t>
      </w:r>
      <w:bookmarkEnd w:id="18"/>
    </w:p>
    <w:p w14:paraId="097D3C60" w14:textId="4F6B7993" w:rsidR="00F06516" w:rsidRPr="00A94501" w:rsidRDefault="00F06516" w:rsidP="00F06516">
      <w:r>
        <w:t>Survey participants were asked to rate their satisfaction with</w:t>
      </w:r>
      <w:r w:rsidR="00604557">
        <w:t xml:space="preserve"> their overall </w:t>
      </w:r>
      <w:r w:rsidR="002D51A2">
        <w:t xml:space="preserve">experience at </w:t>
      </w:r>
      <w:r w:rsidR="00604557">
        <w:t>DOR</w:t>
      </w:r>
      <w:r w:rsidR="008F1BE3">
        <w:t xml:space="preserve">. </w:t>
      </w:r>
      <w:r w:rsidR="002D514D">
        <w:t>There were 828 total responses received, which represents 97.5% of the survey participants</w:t>
      </w:r>
      <w:r w:rsidR="00C54E0E">
        <w:t>. T</w:t>
      </w:r>
      <w:r w:rsidR="00532BDD">
        <w:t xml:space="preserve">he number of responses received per </w:t>
      </w:r>
      <w:r w:rsidR="00431F67">
        <w:t xml:space="preserve">rating are displayed </w:t>
      </w:r>
      <w:r w:rsidR="00431F67" w:rsidRPr="00A94501">
        <w:t xml:space="preserve">in Figure </w:t>
      </w:r>
      <w:r w:rsidR="00C54E0E">
        <w:t>2</w:t>
      </w:r>
      <w:r w:rsidR="00431F67" w:rsidRPr="00A94501">
        <w:t xml:space="preserve"> and listed in Table </w:t>
      </w:r>
      <w:r w:rsidR="00C54E0E">
        <w:t>5</w:t>
      </w:r>
      <w:r w:rsidR="00431F67" w:rsidRPr="00A94501">
        <w:t xml:space="preserve"> below.</w:t>
      </w:r>
    </w:p>
    <w:p w14:paraId="1A5D2ED1" w14:textId="3DAF323F" w:rsidR="008F6A14" w:rsidRDefault="008F6A14" w:rsidP="008F6A14">
      <w:r>
        <w:t>Of the ratings received, 7</w:t>
      </w:r>
      <w:r w:rsidR="00C54E0E">
        <w:t>8</w:t>
      </w:r>
      <w:r>
        <w:t xml:space="preserve">.4% </w:t>
      </w:r>
      <w:r w:rsidR="00F67533">
        <w:t xml:space="preserve">of participants </w:t>
      </w:r>
      <w:r>
        <w:t xml:space="preserve">were satisfied (ratings 5-7), 16.8% were dissatisfied (ratings 1-3), and 4.8% were neutral (rating 4) </w:t>
      </w:r>
      <w:r w:rsidR="00F67533">
        <w:t>with</w:t>
      </w:r>
      <w:r>
        <w:t xml:space="preserve"> their overall DOR experience. The combined weighted satisfaction score for DOR experience was 79.4%</w:t>
      </w:r>
      <w:r w:rsidR="00034E0B">
        <w:t xml:space="preserve"> which is considered satisfied. This category rating is consistent with the combined overall satisfaction score of </w:t>
      </w:r>
      <w:r w:rsidR="0057614B">
        <w:t xml:space="preserve">the </w:t>
      </w:r>
      <w:r w:rsidR="00034E0B">
        <w:t>CSS, which was also satisfied.</w:t>
      </w:r>
    </w:p>
    <w:p w14:paraId="4FCEFA67" w14:textId="3777FCD0" w:rsidR="00105F7E" w:rsidRDefault="00105F7E" w:rsidP="00963B0B">
      <w:pPr>
        <w:pStyle w:val="FigureTitle"/>
        <w:spacing w:after="240"/>
      </w:pPr>
      <w:r w:rsidRPr="00A10D21">
        <w:lastRenderedPageBreak/>
        <w:t>Satisfaction</w:t>
      </w:r>
      <w:r>
        <w:t xml:space="preserve"> Ratings for Overall DOR Experience</w:t>
      </w:r>
    </w:p>
    <w:p w14:paraId="2157A5A5" w14:textId="5C82B7F5" w:rsidR="00325509" w:rsidRPr="008D53E1" w:rsidRDefault="004133BC" w:rsidP="005A53B8">
      <w:pPr>
        <w:jc w:val="center"/>
      </w:pPr>
      <w:r>
        <w:rPr>
          <w:noProof/>
        </w:rPr>
        <w:drawing>
          <wp:inline distT="0" distB="0" distL="0" distR="0" wp14:anchorId="59A37683" wp14:editId="6CA07302">
            <wp:extent cx="6858000" cy="2094614"/>
            <wp:effectExtent l="0" t="0" r="0" b="1270"/>
            <wp:docPr id="14" name="Chart 14" descr="Figure 2 Description:  Frequency of satisfaction ratings for overall experience at DOR are illustrated as a diverging bar chart. Ratings were considered satisfied (5-7, blues), neutral (4, light gray), and not satisfied (1-3, dark grays). Figure data are listed in table format below (Table 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9ED3B4" w14:textId="0EB27F84" w:rsidR="00010A9C" w:rsidRDefault="009C53FC" w:rsidP="00A10D21">
      <w:pPr>
        <w:pStyle w:val="FigureFootnotes"/>
      </w:pPr>
      <w:r>
        <w:t>Frequency of s</w:t>
      </w:r>
      <w:r w:rsidR="00010A9C">
        <w:t xml:space="preserve">atisfaction ratings </w:t>
      </w:r>
      <w:r w:rsidR="00780804">
        <w:t>for</w:t>
      </w:r>
      <w:r w:rsidR="00010A9C">
        <w:t xml:space="preserve"> </w:t>
      </w:r>
      <w:r w:rsidR="0091056F">
        <w:t>overall</w:t>
      </w:r>
      <w:r w:rsidR="00780804">
        <w:t xml:space="preserve"> experience at</w:t>
      </w:r>
      <w:r w:rsidR="0091056F">
        <w:t xml:space="preserve"> DOR</w:t>
      </w:r>
      <w:r w:rsidR="00010A9C">
        <w:t xml:space="preserve"> are illustrated as a diverging bar chart. Ratings were considered satisfied (5-7, blues), neutral (4, light gray), and not satisfied (1-3, dark grays). </w:t>
      </w:r>
      <w:r w:rsidR="002E411A">
        <w:t>Figure data are listed in table format below (</w:t>
      </w:r>
      <w:r w:rsidR="004B0D1C" w:rsidRPr="00B173A4">
        <w:t xml:space="preserve">Table </w:t>
      </w:r>
      <w:r w:rsidR="008274A1" w:rsidRPr="00B173A4">
        <w:t>5</w:t>
      </w:r>
      <w:r w:rsidR="002E411A" w:rsidRPr="00B173A4">
        <w:t>)</w:t>
      </w:r>
      <w:r w:rsidR="004B0D1C">
        <w:t>.</w:t>
      </w:r>
      <w:r w:rsidR="00010A9C">
        <w:t xml:space="preserve"> </w:t>
      </w:r>
    </w:p>
    <w:p w14:paraId="0B6D19C5" w14:textId="52B3FD2E" w:rsidR="003F630D" w:rsidRDefault="003F630D" w:rsidP="003F630D">
      <w:pPr>
        <w:pStyle w:val="TableTitle"/>
      </w:pPr>
      <w:r>
        <w:t>Satisfaction Ratings for Overall DOR Experience</w:t>
      </w:r>
    </w:p>
    <w:tbl>
      <w:tblPr>
        <w:tblStyle w:val="TableGrid"/>
        <w:tblW w:w="4685" w:type="pct"/>
        <w:jc w:val="center"/>
        <w:tblLook w:val="0020" w:firstRow="1" w:lastRow="0" w:firstColumn="0" w:lastColumn="0" w:noHBand="0" w:noVBand="0"/>
      </w:tblPr>
      <w:tblGrid>
        <w:gridCol w:w="3455"/>
        <w:gridCol w:w="681"/>
        <w:gridCol w:w="677"/>
        <w:gridCol w:w="677"/>
        <w:gridCol w:w="677"/>
        <w:gridCol w:w="677"/>
        <w:gridCol w:w="685"/>
        <w:gridCol w:w="685"/>
        <w:gridCol w:w="886"/>
        <w:gridCol w:w="1010"/>
      </w:tblGrid>
      <w:tr w:rsidR="00680D0D" w:rsidRPr="002F5F52" w14:paraId="71BFF39F" w14:textId="77777777" w:rsidTr="00680D0D">
        <w:trPr>
          <w:trHeight w:val="399"/>
          <w:tblHeader/>
          <w:jc w:val="center"/>
        </w:trPr>
        <w:tc>
          <w:tcPr>
            <w:tcW w:w="1709" w:type="pct"/>
            <w:shd w:val="clear" w:color="auto" w:fill="00407B" w:themeFill="accent1" w:themeFillShade="BF"/>
            <w:vAlign w:val="center"/>
          </w:tcPr>
          <w:p w14:paraId="7BF68FF3" w14:textId="28FAD6B4" w:rsidR="00C54E0E" w:rsidRDefault="00680D0D" w:rsidP="0046738A">
            <w:pPr>
              <w:autoSpaceDE w:val="0"/>
              <w:autoSpaceDN w:val="0"/>
              <w:adjustRightInd w:val="0"/>
              <w:spacing w:after="0"/>
              <w:rPr>
                <w:rFonts w:cs="Arial"/>
                <w:b/>
                <w:bCs/>
                <w:color w:val="FFFFFF" w:themeColor="background1"/>
              </w:rPr>
            </w:pPr>
            <w:r>
              <w:rPr>
                <w:rFonts w:cs="Arial"/>
                <w:b/>
                <w:bCs/>
                <w:color w:val="FFFFFF" w:themeColor="background1"/>
              </w:rPr>
              <w:t xml:space="preserve">Overall </w:t>
            </w:r>
            <w:r w:rsidR="00C54E0E">
              <w:rPr>
                <w:rFonts w:cs="Arial"/>
                <w:b/>
                <w:bCs/>
                <w:color w:val="FFFFFF" w:themeColor="background1"/>
              </w:rPr>
              <w:t>DOR Experience</w:t>
            </w:r>
          </w:p>
          <w:p w14:paraId="73826258" w14:textId="5BB5FCDD" w:rsidR="003F630D" w:rsidRPr="002F5F52" w:rsidRDefault="00C54E0E" w:rsidP="0046738A">
            <w:pPr>
              <w:autoSpaceDE w:val="0"/>
              <w:autoSpaceDN w:val="0"/>
              <w:adjustRightInd w:val="0"/>
              <w:spacing w:after="0"/>
              <w:rPr>
                <w:rFonts w:cs="Arial"/>
                <w:b/>
                <w:bCs/>
                <w:color w:val="FFFFFF" w:themeColor="background1"/>
              </w:rPr>
            </w:pPr>
            <w:r>
              <w:rPr>
                <w:rFonts w:cs="Arial"/>
                <w:b/>
                <w:bCs/>
                <w:color w:val="FFFFFF" w:themeColor="background1"/>
              </w:rPr>
              <w:t xml:space="preserve">Ratings </w:t>
            </w:r>
            <w:r w:rsidRPr="00C54E0E">
              <w:rPr>
                <w:rFonts w:cs="Arial"/>
                <w:color w:val="FFFFFF" w:themeColor="background1"/>
              </w:rPr>
              <w:t>(Count)</w:t>
            </w:r>
          </w:p>
        </w:tc>
        <w:tc>
          <w:tcPr>
            <w:tcW w:w="337" w:type="pct"/>
            <w:shd w:val="clear" w:color="auto" w:fill="00407B" w:themeFill="accent1" w:themeFillShade="BF"/>
            <w:vAlign w:val="center"/>
          </w:tcPr>
          <w:p w14:paraId="6C03CA9E"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1</w:t>
            </w:r>
          </w:p>
        </w:tc>
        <w:tc>
          <w:tcPr>
            <w:tcW w:w="335" w:type="pct"/>
            <w:shd w:val="clear" w:color="auto" w:fill="00407B" w:themeFill="accent1" w:themeFillShade="BF"/>
            <w:vAlign w:val="center"/>
          </w:tcPr>
          <w:p w14:paraId="68810AF4"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2</w:t>
            </w:r>
          </w:p>
        </w:tc>
        <w:tc>
          <w:tcPr>
            <w:tcW w:w="335" w:type="pct"/>
            <w:shd w:val="clear" w:color="auto" w:fill="00407B" w:themeFill="accent1" w:themeFillShade="BF"/>
            <w:vAlign w:val="center"/>
          </w:tcPr>
          <w:p w14:paraId="398E20B6"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3</w:t>
            </w:r>
          </w:p>
        </w:tc>
        <w:tc>
          <w:tcPr>
            <w:tcW w:w="335" w:type="pct"/>
            <w:shd w:val="clear" w:color="auto" w:fill="00407B" w:themeFill="accent1" w:themeFillShade="BF"/>
            <w:vAlign w:val="center"/>
          </w:tcPr>
          <w:p w14:paraId="1C89B971"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4</w:t>
            </w:r>
          </w:p>
        </w:tc>
        <w:tc>
          <w:tcPr>
            <w:tcW w:w="335" w:type="pct"/>
            <w:shd w:val="clear" w:color="auto" w:fill="00407B" w:themeFill="accent1" w:themeFillShade="BF"/>
            <w:vAlign w:val="center"/>
          </w:tcPr>
          <w:p w14:paraId="6A9BD6ED"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5</w:t>
            </w:r>
          </w:p>
        </w:tc>
        <w:tc>
          <w:tcPr>
            <w:tcW w:w="339" w:type="pct"/>
            <w:shd w:val="clear" w:color="auto" w:fill="00407B" w:themeFill="accent1" w:themeFillShade="BF"/>
            <w:vAlign w:val="center"/>
          </w:tcPr>
          <w:p w14:paraId="779128BF"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6</w:t>
            </w:r>
          </w:p>
        </w:tc>
        <w:tc>
          <w:tcPr>
            <w:tcW w:w="339" w:type="pct"/>
            <w:shd w:val="clear" w:color="auto" w:fill="00407B" w:themeFill="accent1" w:themeFillShade="BF"/>
            <w:vAlign w:val="center"/>
          </w:tcPr>
          <w:p w14:paraId="16D521BF"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7</w:t>
            </w:r>
          </w:p>
        </w:tc>
        <w:tc>
          <w:tcPr>
            <w:tcW w:w="438" w:type="pct"/>
            <w:shd w:val="clear" w:color="auto" w:fill="00407B" w:themeFill="accent1" w:themeFillShade="BF"/>
            <w:vAlign w:val="center"/>
          </w:tcPr>
          <w:p w14:paraId="097C67B1"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Total</w:t>
            </w:r>
          </w:p>
        </w:tc>
        <w:tc>
          <w:tcPr>
            <w:tcW w:w="500" w:type="pct"/>
            <w:shd w:val="clear" w:color="auto" w:fill="00407B" w:themeFill="accent1" w:themeFillShade="BF"/>
            <w:vAlign w:val="center"/>
          </w:tcPr>
          <w:p w14:paraId="04A2B9D6" w14:textId="77777777" w:rsidR="003F630D" w:rsidRPr="002F5F52" w:rsidRDefault="003F630D" w:rsidP="0046738A">
            <w:pPr>
              <w:autoSpaceDE w:val="0"/>
              <w:autoSpaceDN w:val="0"/>
              <w:adjustRightInd w:val="0"/>
              <w:spacing w:after="0"/>
              <w:jc w:val="center"/>
              <w:rPr>
                <w:rFonts w:cs="Arial"/>
                <w:b/>
                <w:bCs/>
                <w:color w:val="FFFFFF" w:themeColor="background1"/>
              </w:rPr>
            </w:pPr>
            <w:r w:rsidRPr="002F5F52">
              <w:rPr>
                <w:rFonts w:cs="Arial"/>
                <w:b/>
                <w:bCs/>
                <w:color w:val="FFFFFF" w:themeColor="background1"/>
              </w:rPr>
              <w:t>Score</w:t>
            </w:r>
          </w:p>
        </w:tc>
      </w:tr>
      <w:tr w:rsidR="003F630D" w:rsidRPr="00325509" w14:paraId="3769732E" w14:textId="77777777" w:rsidTr="00680D0D">
        <w:trPr>
          <w:trHeight w:val="399"/>
          <w:jc w:val="center"/>
        </w:trPr>
        <w:tc>
          <w:tcPr>
            <w:tcW w:w="1709" w:type="pct"/>
            <w:vAlign w:val="center"/>
          </w:tcPr>
          <w:p w14:paraId="6BF21365" w14:textId="77777777" w:rsidR="003F630D" w:rsidRPr="00325509" w:rsidRDefault="003F630D" w:rsidP="0046738A">
            <w:pPr>
              <w:autoSpaceDE w:val="0"/>
              <w:autoSpaceDN w:val="0"/>
              <w:adjustRightInd w:val="0"/>
              <w:spacing w:after="0"/>
              <w:rPr>
                <w:rFonts w:cs="Arial"/>
                <w:color w:val="000000"/>
              </w:rPr>
            </w:pPr>
            <w:r w:rsidRPr="00325509">
              <w:rPr>
                <w:rFonts w:cs="Arial"/>
                <w:color w:val="000000"/>
              </w:rPr>
              <w:t xml:space="preserve">Overall </w:t>
            </w:r>
            <w:r>
              <w:rPr>
                <w:rFonts w:cs="Arial"/>
                <w:color w:val="000000"/>
              </w:rPr>
              <w:t xml:space="preserve">DOR </w:t>
            </w:r>
            <w:r w:rsidRPr="00325509">
              <w:rPr>
                <w:rFonts w:cs="Arial"/>
                <w:color w:val="000000"/>
              </w:rPr>
              <w:t>Experience</w:t>
            </w:r>
          </w:p>
        </w:tc>
        <w:tc>
          <w:tcPr>
            <w:tcW w:w="337" w:type="pct"/>
            <w:vAlign w:val="center"/>
          </w:tcPr>
          <w:p w14:paraId="40DEF49D" w14:textId="77777777" w:rsidR="003F630D" w:rsidRPr="00325509" w:rsidRDefault="003F630D" w:rsidP="0046738A">
            <w:pPr>
              <w:autoSpaceDE w:val="0"/>
              <w:autoSpaceDN w:val="0"/>
              <w:adjustRightInd w:val="0"/>
              <w:spacing w:after="0"/>
              <w:jc w:val="right"/>
              <w:rPr>
                <w:rFonts w:cs="Arial"/>
                <w:color w:val="000000"/>
              </w:rPr>
            </w:pPr>
            <w:r w:rsidRPr="00325509">
              <w:rPr>
                <w:rFonts w:cs="Arial"/>
                <w:color w:val="000000"/>
              </w:rPr>
              <w:t>68</w:t>
            </w:r>
          </w:p>
        </w:tc>
        <w:tc>
          <w:tcPr>
            <w:tcW w:w="335" w:type="pct"/>
            <w:vAlign w:val="center"/>
          </w:tcPr>
          <w:p w14:paraId="445B0CAB" w14:textId="77777777" w:rsidR="003F630D" w:rsidRPr="00325509" w:rsidRDefault="003F630D" w:rsidP="0046738A">
            <w:pPr>
              <w:autoSpaceDE w:val="0"/>
              <w:autoSpaceDN w:val="0"/>
              <w:adjustRightInd w:val="0"/>
              <w:spacing w:after="0"/>
              <w:jc w:val="right"/>
              <w:rPr>
                <w:rFonts w:cs="Arial"/>
                <w:color w:val="000000"/>
              </w:rPr>
            </w:pPr>
            <w:r w:rsidRPr="00325509">
              <w:rPr>
                <w:rFonts w:cs="Arial"/>
                <w:color w:val="000000"/>
              </w:rPr>
              <w:t>38</w:t>
            </w:r>
          </w:p>
        </w:tc>
        <w:tc>
          <w:tcPr>
            <w:tcW w:w="335" w:type="pct"/>
            <w:vAlign w:val="center"/>
          </w:tcPr>
          <w:p w14:paraId="7401C998" w14:textId="77777777" w:rsidR="003F630D" w:rsidRPr="00325509" w:rsidRDefault="003F630D" w:rsidP="0046738A">
            <w:pPr>
              <w:autoSpaceDE w:val="0"/>
              <w:autoSpaceDN w:val="0"/>
              <w:adjustRightInd w:val="0"/>
              <w:spacing w:after="0"/>
              <w:jc w:val="right"/>
              <w:rPr>
                <w:rFonts w:cs="Arial"/>
                <w:color w:val="000000"/>
              </w:rPr>
            </w:pPr>
            <w:r w:rsidRPr="00325509">
              <w:rPr>
                <w:rFonts w:cs="Arial"/>
                <w:color w:val="000000"/>
              </w:rPr>
              <w:t>33</w:t>
            </w:r>
          </w:p>
        </w:tc>
        <w:tc>
          <w:tcPr>
            <w:tcW w:w="335" w:type="pct"/>
            <w:vAlign w:val="center"/>
          </w:tcPr>
          <w:p w14:paraId="039FC562" w14:textId="77777777" w:rsidR="003F630D" w:rsidRPr="00325509" w:rsidRDefault="003F630D" w:rsidP="0046738A">
            <w:pPr>
              <w:autoSpaceDE w:val="0"/>
              <w:autoSpaceDN w:val="0"/>
              <w:adjustRightInd w:val="0"/>
              <w:spacing w:after="0"/>
              <w:jc w:val="right"/>
              <w:rPr>
                <w:rFonts w:cs="Arial"/>
                <w:color w:val="000000"/>
              </w:rPr>
            </w:pPr>
            <w:r w:rsidRPr="00325509">
              <w:rPr>
                <w:rFonts w:cs="Arial"/>
                <w:color w:val="000000"/>
              </w:rPr>
              <w:t>40</w:t>
            </w:r>
          </w:p>
        </w:tc>
        <w:tc>
          <w:tcPr>
            <w:tcW w:w="335" w:type="pct"/>
            <w:vAlign w:val="center"/>
          </w:tcPr>
          <w:p w14:paraId="2363E924" w14:textId="77777777" w:rsidR="003F630D" w:rsidRPr="00325509" w:rsidRDefault="003F630D" w:rsidP="0046738A">
            <w:pPr>
              <w:autoSpaceDE w:val="0"/>
              <w:autoSpaceDN w:val="0"/>
              <w:adjustRightInd w:val="0"/>
              <w:spacing w:after="0"/>
              <w:jc w:val="right"/>
              <w:rPr>
                <w:rFonts w:cs="Arial"/>
                <w:color w:val="000000"/>
              </w:rPr>
            </w:pPr>
            <w:r w:rsidRPr="00325509">
              <w:rPr>
                <w:rFonts w:cs="Arial"/>
                <w:color w:val="000000"/>
              </w:rPr>
              <w:t>95</w:t>
            </w:r>
          </w:p>
        </w:tc>
        <w:tc>
          <w:tcPr>
            <w:tcW w:w="339" w:type="pct"/>
            <w:vAlign w:val="center"/>
          </w:tcPr>
          <w:p w14:paraId="4AF3C7D2" w14:textId="77777777" w:rsidR="003F630D" w:rsidRPr="00325509" w:rsidRDefault="003F630D" w:rsidP="0046738A">
            <w:pPr>
              <w:autoSpaceDE w:val="0"/>
              <w:autoSpaceDN w:val="0"/>
              <w:adjustRightInd w:val="0"/>
              <w:spacing w:after="0"/>
              <w:jc w:val="right"/>
              <w:rPr>
                <w:rFonts w:cs="Arial"/>
                <w:color w:val="000000"/>
              </w:rPr>
            </w:pPr>
            <w:r>
              <w:rPr>
                <w:rFonts w:cs="Arial"/>
                <w:color w:val="000000"/>
              </w:rPr>
              <w:t>154</w:t>
            </w:r>
          </w:p>
        </w:tc>
        <w:tc>
          <w:tcPr>
            <w:tcW w:w="339" w:type="pct"/>
            <w:vAlign w:val="center"/>
          </w:tcPr>
          <w:p w14:paraId="0545908B" w14:textId="77777777" w:rsidR="003F630D" w:rsidRPr="00325509" w:rsidRDefault="003F630D" w:rsidP="0046738A">
            <w:pPr>
              <w:autoSpaceDE w:val="0"/>
              <w:autoSpaceDN w:val="0"/>
              <w:adjustRightInd w:val="0"/>
              <w:spacing w:after="0"/>
              <w:jc w:val="right"/>
              <w:rPr>
                <w:rFonts w:cs="Arial"/>
                <w:color w:val="000000"/>
              </w:rPr>
            </w:pPr>
            <w:r>
              <w:rPr>
                <w:rFonts w:cs="Arial"/>
                <w:color w:val="000000"/>
              </w:rPr>
              <w:t>400</w:t>
            </w:r>
          </w:p>
        </w:tc>
        <w:tc>
          <w:tcPr>
            <w:tcW w:w="438" w:type="pct"/>
            <w:vAlign w:val="center"/>
          </w:tcPr>
          <w:p w14:paraId="58C6E263" w14:textId="77777777" w:rsidR="003F630D" w:rsidRDefault="003F630D" w:rsidP="0046738A">
            <w:pPr>
              <w:autoSpaceDE w:val="0"/>
              <w:autoSpaceDN w:val="0"/>
              <w:adjustRightInd w:val="0"/>
              <w:spacing w:after="0"/>
              <w:jc w:val="right"/>
              <w:rPr>
                <w:rFonts w:cs="Arial"/>
                <w:color w:val="000000"/>
              </w:rPr>
            </w:pPr>
            <w:r>
              <w:rPr>
                <w:rFonts w:cs="Arial"/>
                <w:color w:val="000000"/>
              </w:rPr>
              <w:t>828</w:t>
            </w:r>
          </w:p>
        </w:tc>
        <w:tc>
          <w:tcPr>
            <w:tcW w:w="500" w:type="pct"/>
            <w:vAlign w:val="center"/>
          </w:tcPr>
          <w:p w14:paraId="60E7CB27" w14:textId="77777777" w:rsidR="003F630D" w:rsidRDefault="003F630D" w:rsidP="0046738A">
            <w:pPr>
              <w:autoSpaceDE w:val="0"/>
              <w:autoSpaceDN w:val="0"/>
              <w:adjustRightInd w:val="0"/>
              <w:spacing w:after="0"/>
              <w:jc w:val="right"/>
              <w:rPr>
                <w:rFonts w:cs="Arial"/>
                <w:color w:val="000000"/>
              </w:rPr>
            </w:pPr>
            <w:r>
              <w:rPr>
                <w:rFonts w:cs="Arial"/>
                <w:color w:val="000000"/>
              </w:rPr>
              <w:t>79.4%</w:t>
            </w:r>
          </w:p>
        </w:tc>
      </w:tr>
    </w:tbl>
    <w:p w14:paraId="78B0DFD7" w14:textId="61754E17" w:rsidR="001B27F9" w:rsidRDefault="001B27F9" w:rsidP="00635226">
      <w:pPr>
        <w:pStyle w:val="SectionSub-HeadingsTopics"/>
      </w:pPr>
      <w:bookmarkStart w:id="19" w:name="_Toc90632180"/>
      <w:r>
        <w:t>DOR Counselors</w:t>
      </w:r>
      <w:bookmarkEnd w:id="19"/>
    </w:p>
    <w:p w14:paraId="2337CB3C" w14:textId="6C8BEA73" w:rsidR="007A3361" w:rsidRDefault="005527C5" w:rsidP="007A3361">
      <w:r>
        <w:t xml:space="preserve">The </w:t>
      </w:r>
      <w:r w:rsidR="004B0E01">
        <w:t xml:space="preserve">DOR counselors serve as the initial point of contact for </w:t>
      </w:r>
      <w:r w:rsidR="009F0920">
        <w:t>DOR’s</w:t>
      </w:r>
      <w:r w:rsidR="004B0E01">
        <w:t xml:space="preserve"> consumers</w:t>
      </w:r>
      <w:r w:rsidR="009F0920">
        <w:t xml:space="preserve">, providing them with </w:t>
      </w:r>
      <w:r w:rsidR="004B0E01">
        <w:t xml:space="preserve">support and guidance to help them achieve their employment goals. </w:t>
      </w:r>
      <w:r w:rsidR="009F0920">
        <w:t xml:space="preserve">The </w:t>
      </w:r>
      <w:r w:rsidR="00A55BC1">
        <w:t xml:space="preserve">CSS </w:t>
      </w:r>
      <w:r w:rsidR="009F0920">
        <w:t xml:space="preserve">included five questions to assess consumer satisfaction with their DOR counselors. These questions included: </w:t>
      </w:r>
      <w:r w:rsidR="004B0E01">
        <w:t xml:space="preserve">understanding consumer needs, providing guidance on skills and abilities, providing guidance on employment goals, treating consumers with respect, and communicating in a </w:t>
      </w:r>
      <w:r w:rsidR="004B0E01" w:rsidRPr="00B173A4">
        <w:t xml:space="preserve">timely manner. </w:t>
      </w:r>
      <w:r w:rsidR="00524C74" w:rsidRPr="00B173A4">
        <w:t xml:space="preserve">Ratings and satisfaction scores for each question are </w:t>
      </w:r>
      <w:r w:rsidR="001F5BE9" w:rsidRPr="00B173A4">
        <w:t xml:space="preserve">listed below in Figure </w:t>
      </w:r>
      <w:r w:rsidR="00B168DD" w:rsidRPr="00B173A4">
        <w:t>3</w:t>
      </w:r>
      <w:r w:rsidR="001F5BE9" w:rsidRPr="00B173A4">
        <w:t xml:space="preserve"> and Table </w:t>
      </w:r>
      <w:r w:rsidR="00B168DD" w:rsidRPr="00B173A4">
        <w:t>6</w:t>
      </w:r>
      <w:r w:rsidR="001F5BE9" w:rsidRPr="00B173A4">
        <w:t>.</w:t>
      </w:r>
    </w:p>
    <w:p w14:paraId="666C31EF" w14:textId="674A4B32" w:rsidR="008B1EBD" w:rsidRDefault="005527C5" w:rsidP="008B1EBD">
      <w:r>
        <w:t xml:space="preserve">The </w:t>
      </w:r>
      <w:r w:rsidR="009F0920">
        <w:t>DOR counselors received an overall satisfaction score of 80.0%</w:t>
      </w:r>
      <w:r>
        <w:t>,</w:t>
      </w:r>
      <w:r w:rsidR="009F0920">
        <w:t xml:space="preserve"> which is considered satisfied. </w:t>
      </w:r>
      <w:r w:rsidR="00A75420">
        <w:t>P</w:t>
      </w:r>
      <w:r w:rsidR="009F0920">
        <w:t xml:space="preserve">articipants were extremely satisfied with the respect </w:t>
      </w:r>
      <w:r w:rsidR="00A75420">
        <w:t>they have received from their counselors, with a satisfaction score of 88.7%</w:t>
      </w:r>
      <w:r w:rsidR="007B7A0D">
        <w:t>.</w:t>
      </w:r>
      <w:r w:rsidR="00A75420">
        <w:t xml:space="preserve"> </w:t>
      </w:r>
      <w:r w:rsidR="007B7A0D">
        <w:t>T</w:t>
      </w:r>
      <w:r w:rsidR="00A75420">
        <w:t xml:space="preserve">his was the highest rated question of </w:t>
      </w:r>
      <w:r w:rsidR="00A75420" w:rsidRPr="004B6C1D">
        <w:t>the entire survey.</w:t>
      </w:r>
      <w:r w:rsidR="009F0920" w:rsidRPr="004B6C1D">
        <w:t xml:space="preserve"> </w:t>
      </w:r>
      <w:r w:rsidR="00A75420" w:rsidRPr="004B6C1D">
        <w:t xml:space="preserve">Participants were satisfied with </w:t>
      </w:r>
      <w:r w:rsidR="00F3584F" w:rsidRPr="004B6C1D">
        <w:t>the ability of their counselors to understand their needs (</w:t>
      </w:r>
      <w:r w:rsidR="00AD6C23" w:rsidRPr="004B6C1D">
        <w:t>81.3</w:t>
      </w:r>
      <w:r w:rsidR="00F3584F" w:rsidRPr="004B6C1D">
        <w:t>% score), respond in a timely ma</w:t>
      </w:r>
      <w:r w:rsidR="00A97E25">
        <w:t>nn</w:t>
      </w:r>
      <w:r w:rsidR="00F3584F" w:rsidRPr="004B6C1D">
        <w:t>er (</w:t>
      </w:r>
      <w:r w:rsidR="00AD6C23" w:rsidRPr="004B6C1D">
        <w:t>79.4</w:t>
      </w:r>
      <w:r w:rsidR="00F3584F" w:rsidRPr="004B6C1D">
        <w:t xml:space="preserve">% score), provide guidance on their </w:t>
      </w:r>
      <w:r w:rsidR="00404A3C" w:rsidRPr="004B6C1D">
        <w:t>disability and skills (</w:t>
      </w:r>
      <w:r w:rsidR="004B6C1D" w:rsidRPr="004B6C1D">
        <w:t>76.7</w:t>
      </w:r>
      <w:r w:rsidR="00404A3C" w:rsidRPr="004B6C1D">
        <w:t>%, score), and provide employment guidance (</w:t>
      </w:r>
      <w:r w:rsidR="004B6C1D" w:rsidRPr="004B6C1D">
        <w:t>73.7</w:t>
      </w:r>
      <w:r w:rsidR="00404A3C" w:rsidRPr="004B6C1D">
        <w:t>% score).</w:t>
      </w:r>
    </w:p>
    <w:p w14:paraId="2A95A5B5" w14:textId="166CC91E" w:rsidR="00A726FF" w:rsidRDefault="00A726FF" w:rsidP="00963B0B">
      <w:pPr>
        <w:pStyle w:val="FigureTitle"/>
        <w:spacing w:after="240"/>
      </w:pPr>
      <w:r>
        <w:lastRenderedPageBreak/>
        <w:t>Satisfaction Ratings for DOR Counselors</w:t>
      </w:r>
    </w:p>
    <w:p w14:paraId="4A02EAAB" w14:textId="77777777" w:rsidR="00A726FF" w:rsidRDefault="00A726FF" w:rsidP="00A726FF">
      <w:pPr>
        <w:jc w:val="center"/>
      </w:pPr>
      <w:r>
        <w:rPr>
          <w:noProof/>
        </w:rPr>
        <w:drawing>
          <wp:inline distT="0" distB="0" distL="0" distR="0" wp14:anchorId="06FF601D" wp14:editId="4150C162">
            <wp:extent cx="6858000" cy="3735092"/>
            <wp:effectExtent l="0" t="0" r="0" b="17780"/>
            <wp:docPr id="15" name="Chart 15" descr="Figure 3 Description:  Satisfaction ratings of CSS questions related to DOR counselors are illustrated as a diverging bar chart. Ratings were considered satisfied (5-7, blues), neutral (4, light gray), and not satisfied (1-3, dark grays). Figure data are listed below in table format (Tabl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F17AC2" w14:textId="4EE7D775" w:rsidR="00A726FF" w:rsidRDefault="00A726FF" w:rsidP="00CA084D">
      <w:pPr>
        <w:pStyle w:val="FigureFootnotes"/>
      </w:pPr>
      <w:r>
        <w:t xml:space="preserve">Satisfaction ratings of CSS questions related to DOR counselors are illustrated as a diverging bar chart. Ratings were considered satisfied (5-7, blues), neutral (4, light gray), and not satisfied (1-3, dark grays). </w:t>
      </w:r>
      <w:r w:rsidR="0017119F">
        <w:t xml:space="preserve">Figure data are listed below in table </w:t>
      </w:r>
      <w:r w:rsidR="0017119F" w:rsidRPr="00B173A4">
        <w:t>format (Table 6).</w:t>
      </w:r>
    </w:p>
    <w:p w14:paraId="06BF05C1" w14:textId="4A13B20D" w:rsidR="00A66A19" w:rsidRDefault="00A66A19" w:rsidP="00242811">
      <w:pPr>
        <w:pStyle w:val="TableTitle"/>
      </w:pPr>
      <w:r w:rsidRPr="00CA084D">
        <w:t>Satisfaction</w:t>
      </w:r>
      <w:r>
        <w:t xml:space="preserve"> Ratings for DOR Counselors</w:t>
      </w:r>
    </w:p>
    <w:tbl>
      <w:tblPr>
        <w:tblStyle w:val="TableGrid"/>
        <w:tblW w:w="5000" w:type="pct"/>
        <w:tblLook w:val="0020" w:firstRow="1" w:lastRow="0" w:firstColumn="0" w:lastColumn="0" w:noHBand="0" w:noVBand="0"/>
      </w:tblPr>
      <w:tblGrid>
        <w:gridCol w:w="3344"/>
        <w:gridCol w:w="733"/>
        <w:gridCol w:w="734"/>
        <w:gridCol w:w="734"/>
        <w:gridCol w:w="734"/>
        <w:gridCol w:w="734"/>
        <w:gridCol w:w="734"/>
        <w:gridCol w:w="982"/>
        <w:gridCol w:w="982"/>
        <w:gridCol w:w="1079"/>
      </w:tblGrid>
      <w:tr w:rsidR="005550EA" w:rsidRPr="005550EA" w14:paraId="67385142" w14:textId="77777777" w:rsidTr="004C5D37">
        <w:trPr>
          <w:trHeight w:val="432"/>
        </w:trPr>
        <w:tc>
          <w:tcPr>
            <w:tcW w:w="1550" w:type="pct"/>
            <w:shd w:val="clear" w:color="auto" w:fill="00407B" w:themeFill="accent1" w:themeFillShade="BF"/>
            <w:vAlign w:val="center"/>
          </w:tcPr>
          <w:p w14:paraId="367A7376" w14:textId="1221EF2C" w:rsidR="00625B48" w:rsidRPr="005550EA" w:rsidRDefault="00C54E0E" w:rsidP="005550EA">
            <w:pPr>
              <w:autoSpaceDE w:val="0"/>
              <w:autoSpaceDN w:val="0"/>
              <w:adjustRightInd w:val="0"/>
              <w:spacing w:after="0"/>
              <w:rPr>
                <w:rFonts w:cs="Arial"/>
                <w:b/>
                <w:bCs/>
                <w:color w:val="FFFFFF" w:themeColor="background1"/>
              </w:rPr>
            </w:pPr>
            <w:r>
              <w:rPr>
                <w:rFonts w:cs="Arial"/>
                <w:b/>
                <w:bCs/>
                <w:color w:val="FFFFFF" w:themeColor="background1"/>
              </w:rPr>
              <w:t xml:space="preserve">DOR Counselor </w:t>
            </w:r>
            <w:r w:rsidR="007D1405" w:rsidRPr="005550EA">
              <w:rPr>
                <w:rFonts w:cs="Arial"/>
                <w:b/>
                <w:bCs/>
                <w:color w:val="FFFFFF" w:themeColor="background1"/>
              </w:rPr>
              <w:t>Ratings</w:t>
            </w:r>
            <w:r>
              <w:rPr>
                <w:rFonts w:cs="Arial"/>
                <w:b/>
                <w:bCs/>
                <w:color w:val="FFFFFF" w:themeColor="background1"/>
              </w:rPr>
              <w:t xml:space="preserve"> </w:t>
            </w:r>
            <w:r w:rsidRPr="00C54E0E">
              <w:rPr>
                <w:rFonts w:cs="Arial"/>
                <w:color w:val="FFFFFF" w:themeColor="background1"/>
              </w:rPr>
              <w:t>(Count)</w:t>
            </w:r>
          </w:p>
        </w:tc>
        <w:tc>
          <w:tcPr>
            <w:tcW w:w="340" w:type="pct"/>
            <w:shd w:val="clear" w:color="auto" w:fill="00407B" w:themeFill="accent1" w:themeFillShade="BF"/>
            <w:vAlign w:val="center"/>
          </w:tcPr>
          <w:p w14:paraId="12AC58B3" w14:textId="7D51C535"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1</w:t>
            </w:r>
          </w:p>
        </w:tc>
        <w:tc>
          <w:tcPr>
            <w:tcW w:w="340" w:type="pct"/>
            <w:shd w:val="clear" w:color="auto" w:fill="00407B" w:themeFill="accent1" w:themeFillShade="BF"/>
            <w:vAlign w:val="center"/>
          </w:tcPr>
          <w:p w14:paraId="78D394E7" w14:textId="45077BDD"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2</w:t>
            </w:r>
          </w:p>
        </w:tc>
        <w:tc>
          <w:tcPr>
            <w:tcW w:w="340" w:type="pct"/>
            <w:shd w:val="clear" w:color="auto" w:fill="00407B" w:themeFill="accent1" w:themeFillShade="BF"/>
            <w:vAlign w:val="center"/>
          </w:tcPr>
          <w:p w14:paraId="680465DD" w14:textId="4B279FA2"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3</w:t>
            </w:r>
          </w:p>
        </w:tc>
        <w:tc>
          <w:tcPr>
            <w:tcW w:w="340" w:type="pct"/>
            <w:shd w:val="clear" w:color="auto" w:fill="00407B" w:themeFill="accent1" w:themeFillShade="BF"/>
            <w:vAlign w:val="center"/>
          </w:tcPr>
          <w:p w14:paraId="0BC4CA8C" w14:textId="4A23D53B"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4</w:t>
            </w:r>
          </w:p>
        </w:tc>
        <w:tc>
          <w:tcPr>
            <w:tcW w:w="340" w:type="pct"/>
            <w:shd w:val="clear" w:color="auto" w:fill="00407B" w:themeFill="accent1" w:themeFillShade="BF"/>
            <w:vAlign w:val="center"/>
          </w:tcPr>
          <w:p w14:paraId="179B089F" w14:textId="5BB807EE"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5</w:t>
            </w:r>
          </w:p>
        </w:tc>
        <w:tc>
          <w:tcPr>
            <w:tcW w:w="340" w:type="pct"/>
            <w:shd w:val="clear" w:color="auto" w:fill="00407B" w:themeFill="accent1" w:themeFillShade="BF"/>
            <w:vAlign w:val="center"/>
          </w:tcPr>
          <w:p w14:paraId="31A6723C" w14:textId="3E152AF3" w:rsidR="00625B48" w:rsidRPr="005550EA" w:rsidRDefault="008475EB"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6</w:t>
            </w:r>
          </w:p>
        </w:tc>
        <w:tc>
          <w:tcPr>
            <w:tcW w:w="455" w:type="pct"/>
            <w:shd w:val="clear" w:color="auto" w:fill="00407B" w:themeFill="accent1" w:themeFillShade="BF"/>
            <w:vAlign w:val="center"/>
          </w:tcPr>
          <w:p w14:paraId="597943A8" w14:textId="1C35FF24" w:rsidR="00625B48" w:rsidRPr="005550EA" w:rsidRDefault="00852D2F"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7</w:t>
            </w:r>
          </w:p>
        </w:tc>
        <w:tc>
          <w:tcPr>
            <w:tcW w:w="455" w:type="pct"/>
            <w:shd w:val="clear" w:color="auto" w:fill="00407B" w:themeFill="accent1" w:themeFillShade="BF"/>
            <w:vAlign w:val="center"/>
          </w:tcPr>
          <w:p w14:paraId="1C257866" w14:textId="5043CA30" w:rsidR="00625B48" w:rsidRPr="005550EA" w:rsidRDefault="00852D2F"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Total</w:t>
            </w:r>
          </w:p>
        </w:tc>
        <w:tc>
          <w:tcPr>
            <w:tcW w:w="501" w:type="pct"/>
            <w:shd w:val="clear" w:color="auto" w:fill="00407B" w:themeFill="accent1" w:themeFillShade="BF"/>
            <w:vAlign w:val="center"/>
          </w:tcPr>
          <w:p w14:paraId="648897E6" w14:textId="45F34803" w:rsidR="00625B48" w:rsidRPr="005550EA" w:rsidRDefault="00852D2F" w:rsidP="005550EA">
            <w:pPr>
              <w:autoSpaceDE w:val="0"/>
              <w:autoSpaceDN w:val="0"/>
              <w:adjustRightInd w:val="0"/>
              <w:spacing w:after="0"/>
              <w:jc w:val="center"/>
              <w:rPr>
                <w:rFonts w:cs="Arial"/>
                <w:b/>
                <w:bCs/>
                <w:color w:val="FFFFFF" w:themeColor="background1"/>
              </w:rPr>
            </w:pPr>
            <w:r w:rsidRPr="005550EA">
              <w:rPr>
                <w:rFonts w:cs="Arial"/>
                <w:b/>
                <w:bCs/>
                <w:color w:val="FFFFFF" w:themeColor="background1"/>
              </w:rPr>
              <w:t>Score</w:t>
            </w:r>
          </w:p>
        </w:tc>
      </w:tr>
      <w:tr w:rsidR="00625B48" w:rsidRPr="00325509" w14:paraId="520B4D11" w14:textId="71E73466" w:rsidTr="004C5D37">
        <w:trPr>
          <w:trHeight w:val="279"/>
        </w:trPr>
        <w:tc>
          <w:tcPr>
            <w:tcW w:w="1550" w:type="pct"/>
            <w:vAlign w:val="center"/>
          </w:tcPr>
          <w:p w14:paraId="728F0214" w14:textId="77777777" w:rsidR="00625B48" w:rsidRPr="00325509" w:rsidRDefault="00625B48" w:rsidP="005550EA">
            <w:pPr>
              <w:autoSpaceDE w:val="0"/>
              <w:autoSpaceDN w:val="0"/>
              <w:adjustRightInd w:val="0"/>
              <w:spacing w:after="0"/>
              <w:rPr>
                <w:rFonts w:cs="Arial"/>
                <w:color w:val="000000"/>
              </w:rPr>
            </w:pPr>
            <w:r w:rsidRPr="00325509">
              <w:rPr>
                <w:rFonts w:cs="Arial"/>
                <w:color w:val="000000"/>
              </w:rPr>
              <w:t>Understands Needs</w:t>
            </w:r>
          </w:p>
        </w:tc>
        <w:tc>
          <w:tcPr>
            <w:tcW w:w="340" w:type="pct"/>
            <w:vAlign w:val="center"/>
          </w:tcPr>
          <w:p w14:paraId="734F9EB7"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68</w:t>
            </w:r>
          </w:p>
        </w:tc>
        <w:tc>
          <w:tcPr>
            <w:tcW w:w="340" w:type="pct"/>
            <w:vAlign w:val="center"/>
          </w:tcPr>
          <w:p w14:paraId="5088D096"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28</w:t>
            </w:r>
          </w:p>
        </w:tc>
        <w:tc>
          <w:tcPr>
            <w:tcW w:w="340" w:type="pct"/>
            <w:vAlign w:val="center"/>
          </w:tcPr>
          <w:p w14:paraId="2BB6D8F2"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34</w:t>
            </w:r>
          </w:p>
        </w:tc>
        <w:tc>
          <w:tcPr>
            <w:tcW w:w="340" w:type="pct"/>
            <w:vAlign w:val="center"/>
          </w:tcPr>
          <w:p w14:paraId="20AD7636"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28</w:t>
            </w:r>
          </w:p>
        </w:tc>
        <w:tc>
          <w:tcPr>
            <w:tcW w:w="340" w:type="pct"/>
            <w:vAlign w:val="center"/>
          </w:tcPr>
          <w:p w14:paraId="399CB53B"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86</w:t>
            </w:r>
          </w:p>
        </w:tc>
        <w:tc>
          <w:tcPr>
            <w:tcW w:w="340" w:type="pct"/>
            <w:vAlign w:val="center"/>
          </w:tcPr>
          <w:p w14:paraId="4BE17A70" w14:textId="060B142D" w:rsidR="00625B48" w:rsidRPr="00325509" w:rsidRDefault="00625B48" w:rsidP="005550EA">
            <w:pPr>
              <w:autoSpaceDE w:val="0"/>
              <w:autoSpaceDN w:val="0"/>
              <w:adjustRightInd w:val="0"/>
              <w:spacing w:after="0"/>
              <w:jc w:val="right"/>
              <w:rPr>
                <w:rFonts w:cs="Arial"/>
                <w:color w:val="000000"/>
              </w:rPr>
            </w:pPr>
            <w:r>
              <w:rPr>
                <w:rFonts w:cs="Arial"/>
                <w:color w:val="000000"/>
              </w:rPr>
              <w:t>131</w:t>
            </w:r>
          </w:p>
        </w:tc>
        <w:tc>
          <w:tcPr>
            <w:tcW w:w="455" w:type="pct"/>
            <w:vAlign w:val="center"/>
          </w:tcPr>
          <w:p w14:paraId="24230B02" w14:textId="2C87623B" w:rsidR="00625B48" w:rsidRPr="00325509" w:rsidRDefault="00625B48" w:rsidP="005550EA">
            <w:pPr>
              <w:autoSpaceDE w:val="0"/>
              <w:autoSpaceDN w:val="0"/>
              <w:adjustRightInd w:val="0"/>
              <w:spacing w:after="0"/>
              <w:jc w:val="right"/>
              <w:rPr>
                <w:rFonts w:cs="Arial"/>
                <w:color w:val="000000"/>
              </w:rPr>
            </w:pPr>
            <w:r>
              <w:rPr>
                <w:rFonts w:cs="Arial"/>
                <w:color w:val="000000"/>
              </w:rPr>
              <w:t>442</w:t>
            </w:r>
          </w:p>
        </w:tc>
        <w:tc>
          <w:tcPr>
            <w:tcW w:w="455" w:type="pct"/>
            <w:vAlign w:val="center"/>
          </w:tcPr>
          <w:p w14:paraId="6F6A09EA"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817</w:t>
            </w:r>
          </w:p>
        </w:tc>
        <w:tc>
          <w:tcPr>
            <w:tcW w:w="501" w:type="pct"/>
            <w:vAlign w:val="center"/>
          </w:tcPr>
          <w:p w14:paraId="4DD217D4" w14:textId="6E0FBC02" w:rsidR="00625B48" w:rsidRPr="00325509" w:rsidRDefault="00690E4F" w:rsidP="005550EA">
            <w:pPr>
              <w:autoSpaceDE w:val="0"/>
              <w:autoSpaceDN w:val="0"/>
              <w:adjustRightInd w:val="0"/>
              <w:spacing w:after="0"/>
              <w:jc w:val="right"/>
              <w:rPr>
                <w:rFonts w:cs="Arial"/>
                <w:color w:val="000000"/>
              </w:rPr>
            </w:pPr>
            <w:r>
              <w:rPr>
                <w:rFonts w:cs="Arial"/>
                <w:color w:val="000000"/>
              </w:rPr>
              <w:t>81.3%</w:t>
            </w:r>
          </w:p>
        </w:tc>
      </w:tr>
      <w:tr w:rsidR="00625B48" w:rsidRPr="00325509" w14:paraId="113509CF" w14:textId="330E7DCA" w:rsidTr="004C5D37">
        <w:trPr>
          <w:trHeight w:val="279"/>
        </w:trPr>
        <w:tc>
          <w:tcPr>
            <w:tcW w:w="1550" w:type="pct"/>
            <w:vAlign w:val="center"/>
          </w:tcPr>
          <w:p w14:paraId="16987725" w14:textId="77777777" w:rsidR="00625B48" w:rsidRPr="00325509" w:rsidRDefault="00625B48" w:rsidP="005550EA">
            <w:pPr>
              <w:autoSpaceDE w:val="0"/>
              <w:autoSpaceDN w:val="0"/>
              <w:adjustRightInd w:val="0"/>
              <w:spacing w:after="0"/>
              <w:rPr>
                <w:rFonts w:cs="Arial"/>
                <w:color w:val="000000"/>
              </w:rPr>
            </w:pPr>
            <w:r w:rsidRPr="00325509">
              <w:rPr>
                <w:rFonts w:cs="Arial"/>
                <w:color w:val="000000"/>
              </w:rPr>
              <w:t>Disability Guidance</w:t>
            </w:r>
          </w:p>
        </w:tc>
        <w:tc>
          <w:tcPr>
            <w:tcW w:w="340" w:type="pct"/>
            <w:vAlign w:val="center"/>
          </w:tcPr>
          <w:p w14:paraId="721F847B"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88</w:t>
            </w:r>
          </w:p>
        </w:tc>
        <w:tc>
          <w:tcPr>
            <w:tcW w:w="340" w:type="pct"/>
            <w:vAlign w:val="center"/>
          </w:tcPr>
          <w:p w14:paraId="3E2A4BCF"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26</w:t>
            </w:r>
          </w:p>
        </w:tc>
        <w:tc>
          <w:tcPr>
            <w:tcW w:w="340" w:type="pct"/>
            <w:vAlign w:val="center"/>
          </w:tcPr>
          <w:p w14:paraId="77AB180A"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42</w:t>
            </w:r>
          </w:p>
        </w:tc>
        <w:tc>
          <w:tcPr>
            <w:tcW w:w="340" w:type="pct"/>
            <w:vAlign w:val="center"/>
          </w:tcPr>
          <w:p w14:paraId="79C641A6"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57</w:t>
            </w:r>
          </w:p>
        </w:tc>
        <w:tc>
          <w:tcPr>
            <w:tcW w:w="340" w:type="pct"/>
            <w:vAlign w:val="center"/>
          </w:tcPr>
          <w:p w14:paraId="45D16D9F"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80</w:t>
            </w:r>
          </w:p>
        </w:tc>
        <w:tc>
          <w:tcPr>
            <w:tcW w:w="340" w:type="pct"/>
            <w:vAlign w:val="center"/>
          </w:tcPr>
          <w:p w14:paraId="0E675165" w14:textId="2BF88BE2" w:rsidR="00625B48" w:rsidRPr="00325509" w:rsidRDefault="003744C6" w:rsidP="005550EA">
            <w:pPr>
              <w:autoSpaceDE w:val="0"/>
              <w:autoSpaceDN w:val="0"/>
              <w:adjustRightInd w:val="0"/>
              <w:spacing w:after="0"/>
              <w:jc w:val="right"/>
              <w:rPr>
                <w:rFonts w:cs="Arial"/>
                <w:color w:val="000000"/>
              </w:rPr>
            </w:pPr>
            <w:r>
              <w:rPr>
                <w:rFonts w:cs="Arial"/>
                <w:color w:val="000000"/>
              </w:rPr>
              <w:t>141</w:t>
            </w:r>
          </w:p>
        </w:tc>
        <w:tc>
          <w:tcPr>
            <w:tcW w:w="455" w:type="pct"/>
            <w:vAlign w:val="center"/>
          </w:tcPr>
          <w:p w14:paraId="2CAA40FF" w14:textId="02F161AA" w:rsidR="00625B48" w:rsidRPr="00325509" w:rsidRDefault="00625B48" w:rsidP="005550EA">
            <w:pPr>
              <w:autoSpaceDE w:val="0"/>
              <w:autoSpaceDN w:val="0"/>
              <w:adjustRightInd w:val="0"/>
              <w:spacing w:after="0"/>
              <w:jc w:val="right"/>
              <w:rPr>
                <w:rFonts w:cs="Arial"/>
                <w:color w:val="000000"/>
              </w:rPr>
            </w:pPr>
            <w:r>
              <w:rPr>
                <w:rFonts w:cs="Arial"/>
                <w:color w:val="000000"/>
              </w:rPr>
              <w:t>362</w:t>
            </w:r>
          </w:p>
        </w:tc>
        <w:tc>
          <w:tcPr>
            <w:tcW w:w="455" w:type="pct"/>
            <w:vAlign w:val="center"/>
          </w:tcPr>
          <w:p w14:paraId="1A8C3E0C"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796</w:t>
            </w:r>
          </w:p>
        </w:tc>
        <w:tc>
          <w:tcPr>
            <w:tcW w:w="501" w:type="pct"/>
            <w:vAlign w:val="center"/>
          </w:tcPr>
          <w:p w14:paraId="4DFC8453" w14:textId="2C255AD4" w:rsidR="00625B48" w:rsidRPr="00325509" w:rsidRDefault="00690E4F" w:rsidP="005550EA">
            <w:pPr>
              <w:autoSpaceDE w:val="0"/>
              <w:autoSpaceDN w:val="0"/>
              <w:adjustRightInd w:val="0"/>
              <w:spacing w:after="0"/>
              <w:jc w:val="right"/>
              <w:rPr>
                <w:rFonts w:cs="Arial"/>
                <w:color w:val="000000"/>
              </w:rPr>
            </w:pPr>
            <w:r>
              <w:rPr>
                <w:rFonts w:cs="Arial"/>
                <w:color w:val="000000"/>
              </w:rPr>
              <w:t>76.7%</w:t>
            </w:r>
          </w:p>
        </w:tc>
      </w:tr>
      <w:tr w:rsidR="00625B48" w:rsidRPr="00325509" w14:paraId="3CE4A8D4" w14:textId="6E03223E" w:rsidTr="004C5D37">
        <w:trPr>
          <w:trHeight w:val="279"/>
        </w:trPr>
        <w:tc>
          <w:tcPr>
            <w:tcW w:w="1550" w:type="pct"/>
            <w:vAlign w:val="center"/>
          </w:tcPr>
          <w:p w14:paraId="3AC60D8F" w14:textId="77777777" w:rsidR="00625B48" w:rsidRPr="00325509" w:rsidRDefault="00625B48" w:rsidP="005550EA">
            <w:pPr>
              <w:autoSpaceDE w:val="0"/>
              <w:autoSpaceDN w:val="0"/>
              <w:adjustRightInd w:val="0"/>
              <w:spacing w:after="0"/>
              <w:rPr>
                <w:rFonts w:cs="Arial"/>
                <w:color w:val="000000"/>
              </w:rPr>
            </w:pPr>
            <w:r w:rsidRPr="00325509">
              <w:rPr>
                <w:rFonts w:cs="Arial"/>
                <w:color w:val="000000"/>
              </w:rPr>
              <w:t>Employment Guidance</w:t>
            </w:r>
          </w:p>
        </w:tc>
        <w:tc>
          <w:tcPr>
            <w:tcW w:w="340" w:type="pct"/>
            <w:vAlign w:val="center"/>
          </w:tcPr>
          <w:p w14:paraId="5B030C1A"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98</w:t>
            </w:r>
          </w:p>
        </w:tc>
        <w:tc>
          <w:tcPr>
            <w:tcW w:w="340" w:type="pct"/>
            <w:vAlign w:val="center"/>
          </w:tcPr>
          <w:p w14:paraId="1EF42387"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28</w:t>
            </w:r>
          </w:p>
        </w:tc>
        <w:tc>
          <w:tcPr>
            <w:tcW w:w="340" w:type="pct"/>
            <w:vAlign w:val="center"/>
          </w:tcPr>
          <w:p w14:paraId="1703C2F8"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41</w:t>
            </w:r>
          </w:p>
        </w:tc>
        <w:tc>
          <w:tcPr>
            <w:tcW w:w="340" w:type="pct"/>
            <w:vAlign w:val="center"/>
          </w:tcPr>
          <w:p w14:paraId="065B5E2B"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47</w:t>
            </w:r>
          </w:p>
        </w:tc>
        <w:tc>
          <w:tcPr>
            <w:tcW w:w="340" w:type="pct"/>
            <w:vAlign w:val="center"/>
          </w:tcPr>
          <w:p w14:paraId="7A384254"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81</w:t>
            </w:r>
          </w:p>
        </w:tc>
        <w:tc>
          <w:tcPr>
            <w:tcW w:w="340" w:type="pct"/>
            <w:vAlign w:val="center"/>
          </w:tcPr>
          <w:p w14:paraId="5B557EE2" w14:textId="21A5D08C" w:rsidR="00625B48" w:rsidRPr="00325509" w:rsidRDefault="003744C6" w:rsidP="005550EA">
            <w:pPr>
              <w:autoSpaceDE w:val="0"/>
              <w:autoSpaceDN w:val="0"/>
              <w:adjustRightInd w:val="0"/>
              <w:spacing w:after="0"/>
              <w:jc w:val="right"/>
              <w:rPr>
                <w:rFonts w:cs="Arial"/>
                <w:color w:val="000000"/>
              </w:rPr>
            </w:pPr>
            <w:r>
              <w:rPr>
                <w:rFonts w:cs="Arial"/>
                <w:color w:val="000000"/>
              </w:rPr>
              <w:t>109</w:t>
            </w:r>
          </w:p>
        </w:tc>
        <w:tc>
          <w:tcPr>
            <w:tcW w:w="455" w:type="pct"/>
            <w:vAlign w:val="center"/>
          </w:tcPr>
          <w:p w14:paraId="79F1935E" w14:textId="65814411" w:rsidR="00625B48" w:rsidRPr="00325509" w:rsidRDefault="00625B48" w:rsidP="005550EA">
            <w:pPr>
              <w:autoSpaceDE w:val="0"/>
              <w:autoSpaceDN w:val="0"/>
              <w:adjustRightInd w:val="0"/>
              <w:spacing w:after="0"/>
              <w:jc w:val="right"/>
              <w:rPr>
                <w:rFonts w:cs="Arial"/>
                <w:color w:val="000000"/>
              </w:rPr>
            </w:pPr>
            <w:r>
              <w:rPr>
                <w:rFonts w:cs="Arial"/>
                <w:color w:val="000000"/>
              </w:rPr>
              <w:t>305</w:t>
            </w:r>
          </w:p>
        </w:tc>
        <w:tc>
          <w:tcPr>
            <w:tcW w:w="455" w:type="pct"/>
            <w:vAlign w:val="center"/>
          </w:tcPr>
          <w:p w14:paraId="43AF733C"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709</w:t>
            </w:r>
          </w:p>
        </w:tc>
        <w:tc>
          <w:tcPr>
            <w:tcW w:w="501" w:type="pct"/>
            <w:vAlign w:val="center"/>
          </w:tcPr>
          <w:p w14:paraId="094594EB" w14:textId="46F15F94" w:rsidR="00625B48" w:rsidRPr="00325509" w:rsidRDefault="00690E4F" w:rsidP="005550EA">
            <w:pPr>
              <w:autoSpaceDE w:val="0"/>
              <w:autoSpaceDN w:val="0"/>
              <w:adjustRightInd w:val="0"/>
              <w:spacing w:after="0"/>
              <w:jc w:val="right"/>
              <w:rPr>
                <w:rFonts w:cs="Arial"/>
                <w:color w:val="000000"/>
              </w:rPr>
            </w:pPr>
            <w:r>
              <w:rPr>
                <w:rFonts w:cs="Arial"/>
                <w:color w:val="000000"/>
              </w:rPr>
              <w:t>73.7%</w:t>
            </w:r>
          </w:p>
        </w:tc>
      </w:tr>
      <w:tr w:rsidR="00625B48" w:rsidRPr="00325509" w14:paraId="620C5DAD" w14:textId="32A2A873" w:rsidTr="004C5D37">
        <w:trPr>
          <w:trHeight w:val="279"/>
        </w:trPr>
        <w:tc>
          <w:tcPr>
            <w:tcW w:w="1550" w:type="pct"/>
            <w:vAlign w:val="center"/>
          </w:tcPr>
          <w:p w14:paraId="2B2D934D" w14:textId="77777777" w:rsidR="00625B48" w:rsidRPr="00325509" w:rsidRDefault="00625B48" w:rsidP="005550EA">
            <w:pPr>
              <w:autoSpaceDE w:val="0"/>
              <w:autoSpaceDN w:val="0"/>
              <w:adjustRightInd w:val="0"/>
              <w:spacing w:after="0"/>
              <w:rPr>
                <w:rFonts w:cs="Arial"/>
                <w:color w:val="000000"/>
              </w:rPr>
            </w:pPr>
            <w:r w:rsidRPr="00325509">
              <w:rPr>
                <w:rFonts w:cs="Arial"/>
                <w:color w:val="000000"/>
              </w:rPr>
              <w:t>Respectful</w:t>
            </w:r>
          </w:p>
        </w:tc>
        <w:tc>
          <w:tcPr>
            <w:tcW w:w="340" w:type="pct"/>
            <w:vAlign w:val="center"/>
          </w:tcPr>
          <w:p w14:paraId="0E78B2FD"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38</w:t>
            </w:r>
          </w:p>
        </w:tc>
        <w:tc>
          <w:tcPr>
            <w:tcW w:w="340" w:type="pct"/>
            <w:vAlign w:val="center"/>
          </w:tcPr>
          <w:p w14:paraId="4777485C"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14</w:t>
            </w:r>
          </w:p>
        </w:tc>
        <w:tc>
          <w:tcPr>
            <w:tcW w:w="340" w:type="pct"/>
            <w:vAlign w:val="center"/>
          </w:tcPr>
          <w:p w14:paraId="461FD0F5"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18</w:t>
            </w:r>
          </w:p>
        </w:tc>
        <w:tc>
          <w:tcPr>
            <w:tcW w:w="340" w:type="pct"/>
            <w:vAlign w:val="center"/>
          </w:tcPr>
          <w:p w14:paraId="4DA0112F"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27</w:t>
            </w:r>
          </w:p>
        </w:tc>
        <w:tc>
          <w:tcPr>
            <w:tcW w:w="340" w:type="pct"/>
            <w:vAlign w:val="center"/>
          </w:tcPr>
          <w:p w14:paraId="10C00B2C"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38</w:t>
            </w:r>
          </w:p>
        </w:tc>
        <w:tc>
          <w:tcPr>
            <w:tcW w:w="340" w:type="pct"/>
            <w:vAlign w:val="center"/>
          </w:tcPr>
          <w:p w14:paraId="32795B52" w14:textId="5C7F874C"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86</w:t>
            </w:r>
          </w:p>
        </w:tc>
        <w:tc>
          <w:tcPr>
            <w:tcW w:w="455" w:type="pct"/>
            <w:vAlign w:val="center"/>
          </w:tcPr>
          <w:p w14:paraId="74B12570" w14:textId="3DF25712" w:rsidR="00625B48" w:rsidRPr="00325509" w:rsidRDefault="00625B48" w:rsidP="005550EA">
            <w:pPr>
              <w:autoSpaceDE w:val="0"/>
              <w:autoSpaceDN w:val="0"/>
              <w:adjustRightInd w:val="0"/>
              <w:spacing w:after="0"/>
              <w:jc w:val="right"/>
              <w:rPr>
                <w:rFonts w:cs="Arial"/>
                <w:color w:val="000000"/>
              </w:rPr>
            </w:pPr>
            <w:r>
              <w:rPr>
                <w:rFonts w:cs="Arial"/>
                <w:color w:val="000000"/>
              </w:rPr>
              <w:t>551</w:t>
            </w:r>
          </w:p>
        </w:tc>
        <w:tc>
          <w:tcPr>
            <w:tcW w:w="455" w:type="pct"/>
            <w:vAlign w:val="center"/>
          </w:tcPr>
          <w:p w14:paraId="4AF632EC"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772</w:t>
            </w:r>
          </w:p>
        </w:tc>
        <w:tc>
          <w:tcPr>
            <w:tcW w:w="501" w:type="pct"/>
            <w:vAlign w:val="center"/>
          </w:tcPr>
          <w:p w14:paraId="25251DB1" w14:textId="5B037D62" w:rsidR="00625B48" w:rsidRPr="00325509" w:rsidRDefault="0006332A" w:rsidP="005550EA">
            <w:pPr>
              <w:autoSpaceDE w:val="0"/>
              <w:autoSpaceDN w:val="0"/>
              <w:adjustRightInd w:val="0"/>
              <w:spacing w:after="0"/>
              <w:jc w:val="right"/>
              <w:rPr>
                <w:rFonts w:cs="Arial"/>
                <w:color w:val="000000"/>
              </w:rPr>
            </w:pPr>
            <w:r>
              <w:rPr>
                <w:rFonts w:cs="Arial"/>
                <w:color w:val="000000"/>
              </w:rPr>
              <w:t>88.7%</w:t>
            </w:r>
          </w:p>
        </w:tc>
      </w:tr>
      <w:tr w:rsidR="00625B48" w:rsidRPr="00325509" w14:paraId="622FC4CF" w14:textId="63908FE3" w:rsidTr="004C5D37">
        <w:trPr>
          <w:trHeight w:val="279"/>
        </w:trPr>
        <w:tc>
          <w:tcPr>
            <w:tcW w:w="1550" w:type="pct"/>
            <w:vAlign w:val="center"/>
          </w:tcPr>
          <w:p w14:paraId="0F729CCD" w14:textId="77777777" w:rsidR="00625B48" w:rsidRPr="00325509" w:rsidRDefault="00625B48" w:rsidP="005550EA">
            <w:pPr>
              <w:autoSpaceDE w:val="0"/>
              <w:autoSpaceDN w:val="0"/>
              <w:adjustRightInd w:val="0"/>
              <w:spacing w:after="0"/>
              <w:rPr>
                <w:rFonts w:cs="Arial"/>
                <w:color w:val="000000"/>
              </w:rPr>
            </w:pPr>
            <w:r w:rsidRPr="00325509">
              <w:rPr>
                <w:rFonts w:cs="Arial"/>
                <w:color w:val="000000"/>
              </w:rPr>
              <w:t>Timely Responses</w:t>
            </w:r>
          </w:p>
        </w:tc>
        <w:tc>
          <w:tcPr>
            <w:tcW w:w="340" w:type="pct"/>
            <w:vAlign w:val="center"/>
          </w:tcPr>
          <w:p w14:paraId="3AF62DFA"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75</w:t>
            </w:r>
          </w:p>
        </w:tc>
        <w:tc>
          <w:tcPr>
            <w:tcW w:w="340" w:type="pct"/>
            <w:vAlign w:val="center"/>
          </w:tcPr>
          <w:p w14:paraId="114EB0EE"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30</w:t>
            </w:r>
          </w:p>
        </w:tc>
        <w:tc>
          <w:tcPr>
            <w:tcW w:w="340" w:type="pct"/>
            <w:vAlign w:val="center"/>
          </w:tcPr>
          <w:p w14:paraId="12E65D86"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34</w:t>
            </w:r>
          </w:p>
        </w:tc>
        <w:tc>
          <w:tcPr>
            <w:tcW w:w="340" w:type="pct"/>
            <w:vAlign w:val="center"/>
          </w:tcPr>
          <w:p w14:paraId="2A9EA6F6"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39</w:t>
            </w:r>
          </w:p>
        </w:tc>
        <w:tc>
          <w:tcPr>
            <w:tcW w:w="340" w:type="pct"/>
            <w:vAlign w:val="center"/>
          </w:tcPr>
          <w:p w14:paraId="2377F792"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85</w:t>
            </w:r>
          </w:p>
        </w:tc>
        <w:tc>
          <w:tcPr>
            <w:tcW w:w="340" w:type="pct"/>
            <w:vAlign w:val="center"/>
          </w:tcPr>
          <w:p w14:paraId="4C616B76" w14:textId="5B2E7581" w:rsidR="00625B48" w:rsidRPr="00325509" w:rsidRDefault="003744C6" w:rsidP="005550EA">
            <w:pPr>
              <w:autoSpaceDE w:val="0"/>
              <w:autoSpaceDN w:val="0"/>
              <w:adjustRightInd w:val="0"/>
              <w:spacing w:after="0"/>
              <w:jc w:val="right"/>
              <w:rPr>
                <w:rFonts w:cs="Arial"/>
                <w:color w:val="000000"/>
              </w:rPr>
            </w:pPr>
            <w:r>
              <w:rPr>
                <w:rFonts w:cs="Arial"/>
                <w:color w:val="000000"/>
              </w:rPr>
              <w:t>111</w:t>
            </w:r>
          </w:p>
        </w:tc>
        <w:tc>
          <w:tcPr>
            <w:tcW w:w="455" w:type="pct"/>
            <w:vAlign w:val="center"/>
          </w:tcPr>
          <w:p w14:paraId="50647C63" w14:textId="5E82F35A" w:rsidR="00625B48" w:rsidRPr="00325509" w:rsidRDefault="00625B48" w:rsidP="005550EA">
            <w:pPr>
              <w:autoSpaceDE w:val="0"/>
              <w:autoSpaceDN w:val="0"/>
              <w:adjustRightInd w:val="0"/>
              <w:spacing w:after="0"/>
              <w:jc w:val="right"/>
              <w:rPr>
                <w:rFonts w:cs="Arial"/>
                <w:color w:val="000000"/>
              </w:rPr>
            </w:pPr>
            <w:r>
              <w:rPr>
                <w:rFonts w:cs="Arial"/>
                <w:color w:val="000000"/>
              </w:rPr>
              <w:t>412</w:t>
            </w:r>
          </w:p>
        </w:tc>
        <w:tc>
          <w:tcPr>
            <w:tcW w:w="455" w:type="pct"/>
            <w:vAlign w:val="center"/>
          </w:tcPr>
          <w:p w14:paraId="3A04B8BC" w14:textId="77777777" w:rsidR="00625B48" w:rsidRPr="00325509" w:rsidRDefault="00625B48" w:rsidP="005550EA">
            <w:pPr>
              <w:autoSpaceDE w:val="0"/>
              <w:autoSpaceDN w:val="0"/>
              <w:adjustRightInd w:val="0"/>
              <w:spacing w:after="0"/>
              <w:jc w:val="right"/>
              <w:rPr>
                <w:rFonts w:cs="Arial"/>
                <w:color w:val="000000"/>
              </w:rPr>
            </w:pPr>
            <w:r w:rsidRPr="00325509">
              <w:rPr>
                <w:rFonts w:cs="Arial"/>
                <w:color w:val="000000"/>
              </w:rPr>
              <w:t>786</w:t>
            </w:r>
          </w:p>
        </w:tc>
        <w:tc>
          <w:tcPr>
            <w:tcW w:w="501" w:type="pct"/>
            <w:vAlign w:val="center"/>
          </w:tcPr>
          <w:p w14:paraId="3BECE60F" w14:textId="53F59B18" w:rsidR="00625B48" w:rsidRPr="00325509" w:rsidRDefault="0006332A" w:rsidP="005550EA">
            <w:pPr>
              <w:autoSpaceDE w:val="0"/>
              <w:autoSpaceDN w:val="0"/>
              <w:adjustRightInd w:val="0"/>
              <w:spacing w:after="0"/>
              <w:jc w:val="right"/>
              <w:rPr>
                <w:rFonts w:cs="Arial"/>
                <w:color w:val="000000"/>
              </w:rPr>
            </w:pPr>
            <w:r>
              <w:rPr>
                <w:rFonts w:cs="Arial"/>
                <w:color w:val="000000"/>
              </w:rPr>
              <w:t>79.4%</w:t>
            </w:r>
          </w:p>
        </w:tc>
      </w:tr>
      <w:tr w:rsidR="0006332A" w:rsidRPr="005550EA" w14:paraId="596BF68F" w14:textId="77777777" w:rsidTr="004C5D37">
        <w:trPr>
          <w:trHeight w:val="279"/>
        </w:trPr>
        <w:tc>
          <w:tcPr>
            <w:tcW w:w="1550" w:type="pct"/>
            <w:shd w:val="clear" w:color="auto" w:fill="F2F2F2" w:themeFill="background1" w:themeFillShade="F2"/>
            <w:vAlign w:val="center"/>
          </w:tcPr>
          <w:p w14:paraId="5BE24936" w14:textId="267ED105" w:rsidR="0006332A" w:rsidRPr="005550EA" w:rsidRDefault="0006332A" w:rsidP="005550EA">
            <w:pPr>
              <w:autoSpaceDE w:val="0"/>
              <w:autoSpaceDN w:val="0"/>
              <w:adjustRightInd w:val="0"/>
              <w:spacing w:after="0"/>
              <w:rPr>
                <w:rFonts w:cs="Arial"/>
                <w:b/>
                <w:bCs/>
                <w:color w:val="000000"/>
              </w:rPr>
            </w:pPr>
            <w:r w:rsidRPr="005550EA">
              <w:rPr>
                <w:rFonts w:cs="Arial"/>
                <w:b/>
                <w:bCs/>
                <w:color w:val="000000"/>
              </w:rPr>
              <w:t>Total</w:t>
            </w:r>
          </w:p>
        </w:tc>
        <w:tc>
          <w:tcPr>
            <w:tcW w:w="340" w:type="pct"/>
            <w:shd w:val="clear" w:color="auto" w:fill="F2F2F2" w:themeFill="background1" w:themeFillShade="F2"/>
            <w:vAlign w:val="center"/>
          </w:tcPr>
          <w:p w14:paraId="131F92A2" w14:textId="6F3691AE" w:rsidR="0006332A" w:rsidRPr="005550EA" w:rsidRDefault="00E54F87" w:rsidP="005550EA">
            <w:pPr>
              <w:autoSpaceDE w:val="0"/>
              <w:autoSpaceDN w:val="0"/>
              <w:adjustRightInd w:val="0"/>
              <w:spacing w:after="0"/>
              <w:jc w:val="right"/>
              <w:rPr>
                <w:rFonts w:cs="Arial"/>
                <w:b/>
                <w:bCs/>
                <w:color w:val="000000"/>
              </w:rPr>
            </w:pPr>
            <w:r w:rsidRPr="005550EA">
              <w:rPr>
                <w:rFonts w:cs="Arial"/>
                <w:b/>
                <w:bCs/>
                <w:color w:val="000000"/>
              </w:rPr>
              <w:t>367</w:t>
            </w:r>
          </w:p>
        </w:tc>
        <w:tc>
          <w:tcPr>
            <w:tcW w:w="340" w:type="pct"/>
            <w:shd w:val="clear" w:color="auto" w:fill="F2F2F2" w:themeFill="background1" w:themeFillShade="F2"/>
            <w:vAlign w:val="center"/>
          </w:tcPr>
          <w:p w14:paraId="3D49078D" w14:textId="306D3D5F" w:rsidR="0006332A" w:rsidRPr="005550EA" w:rsidRDefault="00E54F87" w:rsidP="005550EA">
            <w:pPr>
              <w:autoSpaceDE w:val="0"/>
              <w:autoSpaceDN w:val="0"/>
              <w:adjustRightInd w:val="0"/>
              <w:spacing w:after="0"/>
              <w:jc w:val="right"/>
              <w:rPr>
                <w:rFonts w:cs="Arial"/>
                <w:b/>
                <w:bCs/>
                <w:color w:val="000000"/>
              </w:rPr>
            </w:pPr>
            <w:r w:rsidRPr="005550EA">
              <w:rPr>
                <w:rFonts w:cs="Arial"/>
                <w:b/>
                <w:bCs/>
                <w:color w:val="000000"/>
              </w:rPr>
              <w:t>126</w:t>
            </w:r>
          </w:p>
        </w:tc>
        <w:tc>
          <w:tcPr>
            <w:tcW w:w="340" w:type="pct"/>
            <w:shd w:val="clear" w:color="auto" w:fill="F2F2F2" w:themeFill="background1" w:themeFillShade="F2"/>
            <w:vAlign w:val="center"/>
          </w:tcPr>
          <w:p w14:paraId="35B376A1" w14:textId="571FD887" w:rsidR="0006332A" w:rsidRPr="005550EA" w:rsidRDefault="00E54F87" w:rsidP="005550EA">
            <w:pPr>
              <w:autoSpaceDE w:val="0"/>
              <w:autoSpaceDN w:val="0"/>
              <w:adjustRightInd w:val="0"/>
              <w:spacing w:after="0"/>
              <w:jc w:val="right"/>
              <w:rPr>
                <w:rFonts w:cs="Arial"/>
                <w:b/>
                <w:bCs/>
                <w:color w:val="000000"/>
              </w:rPr>
            </w:pPr>
            <w:r w:rsidRPr="005550EA">
              <w:rPr>
                <w:rFonts w:cs="Arial"/>
                <w:b/>
                <w:bCs/>
                <w:color w:val="000000"/>
              </w:rPr>
              <w:t>169</w:t>
            </w:r>
          </w:p>
        </w:tc>
        <w:tc>
          <w:tcPr>
            <w:tcW w:w="340" w:type="pct"/>
            <w:shd w:val="clear" w:color="auto" w:fill="F2F2F2" w:themeFill="background1" w:themeFillShade="F2"/>
            <w:vAlign w:val="center"/>
          </w:tcPr>
          <w:p w14:paraId="40DAC020" w14:textId="2BFDCB5A" w:rsidR="0006332A" w:rsidRPr="005550EA" w:rsidRDefault="00E54F87" w:rsidP="005550EA">
            <w:pPr>
              <w:autoSpaceDE w:val="0"/>
              <w:autoSpaceDN w:val="0"/>
              <w:adjustRightInd w:val="0"/>
              <w:spacing w:after="0"/>
              <w:jc w:val="right"/>
              <w:rPr>
                <w:rFonts w:cs="Arial"/>
                <w:b/>
                <w:bCs/>
                <w:color w:val="000000"/>
              </w:rPr>
            </w:pPr>
            <w:r w:rsidRPr="005550EA">
              <w:rPr>
                <w:rFonts w:cs="Arial"/>
                <w:b/>
                <w:bCs/>
                <w:color w:val="000000"/>
              </w:rPr>
              <w:t>198</w:t>
            </w:r>
          </w:p>
        </w:tc>
        <w:tc>
          <w:tcPr>
            <w:tcW w:w="340" w:type="pct"/>
            <w:shd w:val="clear" w:color="auto" w:fill="F2F2F2" w:themeFill="background1" w:themeFillShade="F2"/>
            <w:vAlign w:val="center"/>
          </w:tcPr>
          <w:p w14:paraId="230969F6" w14:textId="757579DF" w:rsidR="0006332A" w:rsidRPr="005550EA" w:rsidRDefault="00E54F87" w:rsidP="005550EA">
            <w:pPr>
              <w:autoSpaceDE w:val="0"/>
              <w:autoSpaceDN w:val="0"/>
              <w:adjustRightInd w:val="0"/>
              <w:spacing w:after="0"/>
              <w:jc w:val="right"/>
              <w:rPr>
                <w:rFonts w:cs="Arial"/>
                <w:b/>
                <w:bCs/>
                <w:color w:val="000000"/>
              </w:rPr>
            </w:pPr>
            <w:r w:rsidRPr="005550EA">
              <w:rPr>
                <w:rFonts w:cs="Arial"/>
                <w:b/>
                <w:bCs/>
                <w:color w:val="000000"/>
              </w:rPr>
              <w:t>370</w:t>
            </w:r>
          </w:p>
        </w:tc>
        <w:tc>
          <w:tcPr>
            <w:tcW w:w="340" w:type="pct"/>
            <w:shd w:val="clear" w:color="auto" w:fill="F2F2F2" w:themeFill="background1" w:themeFillShade="F2"/>
            <w:vAlign w:val="center"/>
          </w:tcPr>
          <w:p w14:paraId="3B32D025" w14:textId="6A139C0C" w:rsidR="0006332A" w:rsidRPr="005550EA" w:rsidRDefault="00644044" w:rsidP="005550EA">
            <w:pPr>
              <w:autoSpaceDE w:val="0"/>
              <w:autoSpaceDN w:val="0"/>
              <w:adjustRightInd w:val="0"/>
              <w:spacing w:after="0"/>
              <w:jc w:val="right"/>
              <w:rPr>
                <w:rFonts w:cs="Arial"/>
                <w:b/>
                <w:bCs/>
                <w:color w:val="000000"/>
              </w:rPr>
            </w:pPr>
            <w:r w:rsidRPr="005550EA">
              <w:rPr>
                <w:rFonts w:cs="Arial"/>
                <w:b/>
                <w:bCs/>
                <w:color w:val="000000"/>
              </w:rPr>
              <w:t>578</w:t>
            </w:r>
          </w:p>
        </w:tc>
        <w:tc>
          <w:tcPr>
            <w:tcW w:w="455" w:type="pct"/>
            <w:shd w:val="clear" w:color="auto" w:fill="F2F2F2" w:themeFill="background1" w:themeFillShade="F2"/>
            <w:vAlign w:val="center"/>
          </w:tcPr>
          <w:p w14:paraId="2767E3C0" w14:textId="0295AF05" w:rsidR="0006332A" w:rsidRPr="005550EA" w:rsidRDefault="00644044" w:rsidP="005550EA">
            <w:pPr>
              <w:autoSpaceDE w:val="0"/>
              <w:autoSpaceDN w:val="0"/>
              <w:adjustRightInd w:val="0"/>
              <w:spacing w:after="0"/>
              <w:jc w:val="right"/>
              <w:rPr>
                <w:rFonts w:cs="Arial"/>
                <w:b/>
                <w:bCs/>
                <w:color w:val="000000"/>
              </w:rPr>
            </w:pPr>
            <w:r w:rsidRPr="005550EA">
              <w:rPr>
                <w:rFonts w:cs="Arial"/>
                <w:b/>
                <w:bCs/>
                <w:color w:val="000000"/>
              </w:rPr>
              <w:t>2,072</w:t>
            </w:r>
          </w:p>
        </w:tc>
        <w:tc>
          <w:tcPr>
            <w:tcW w:w="455" w:type="pct"/>
            <w:shd w:val="clear" w:color="auto" w:fill="F2F2F2" w:themeFill="background1" w:themeFillShade="F2"/>
            <w:vAlign w:val="center"/>
          </w:tcPr>
          <w:p w14:paraId="5798FB17" w14:textId="2229FC57" w:rsidR="0006332A" w:rsidRPr="005550EA" w:rsidRDefault="008B38C2" w:rsidP="005550EA">
            <w:pPr>
              <w:autoSpaceDE w:val="0"/>
              <w:autoSpaceDN w:val="0"/>
              <w:adjustRightInd w:val="0"/>
              <w:spacing w:after="0"/>
              <w:jc w:val="right"/>
              <w:rPr>
                <w:rFonts w:cs="Arial"/>
                <w:b/>
                <w:bCs/>
                <w:color w:val="000000"/>
              </w:rPr>
            </w:pPr>
            <w:r w:rsidRPr="005550EA">
              <w:rPr>
                <w:rFonts w:cs="Arial"/>
                <w:b/>
                <w:bCs/>
                <w:color w:val="000000"/>
              </w:rPr>
              <w:t>3,880</w:t>
            </w:r>
          </w:p>
        </w:tc>
        <w:tc>
          <w:tcPr>
            <w:tcW w:w="501" w:type="pct"/>
            <w:shd w:val="clear" w:color="auto" w:fill="F2F2F2" w:themeFill="background1" w:themeFillShade="F2"/>
            <w:vAlign w:val="center"/>
          </w:tcPr>
          <w:p w14:paraId="22E57FFE" w14:textId="4E13B1B4" w:rsidR="0006332A" w:rsidRPr="005550EA" w:rsidRDefault="003744C6" w:rsidP="005550EA">
            <w:pPr>
              <w:autoSpaceDE w:val="0"/>
              <w:autoSpaceDN w:val="0"/>
              <w:adjustRightInd w:val="0"/>
              <w:spacing w:after="0"/>
              <w:jc w:val="right"/>
              <w:rPr>
                <w:rFonts w:cs="Arial"/>
                <w:b/>
                <w:bCs/>
                <w:color w:val="000000"/>
              </w:rPr>
            </w:pPr>
            <w:r w:rsidRPr="005550EA">
              <w:rPr>
                <w:rFonts w:cs="Arial"/>
                <w:b/>
                <w:bCs/>
                <w:color w:val="000000"/>
              </w:rPr>
              <w:t>80.0%</w:t>
            </w:r>
          </w:p>
        </w:tc>
      </w:tr>
    </w:tbl>
    <w:p w14:paraId="27A4B3E3" w14:textId="31CEE46B" w:rsidR="001B27F9" w:rsidRDefault="001B27F9" w:rsidP="00635226">
      <w:pPr>
        <w:pStyle w:val="SectionSub-HeadingsTopics"/>
      </w:pPr>
      <w:bookmarkStart w:id="20" w:name="_Toc90632181"/>
      <w:r>
        <w:t>Service Providers</w:t>
      </w:r>
      <w:bookmarkEnd w:id="20"/>
    </w:p>
    <w:p w14:paraId="33C08E82" w14:textId="0074FFCD" w:rsidR="007E781E" w:rsidRDefault="0097758A" w:rsidP="007E781E">
      <w:r>
        <w:t xml:space="preserve">Service providers </w:t>
      </w:r>
      <w:r w:rsidR="00741678" w:rsidRPr="00741678">
        <w:t>support DOR consumer</w:t>
      </w:r>
      <w:r w:rsidR="00741678">
        <w:t xml:space="preserve">s </w:t>
      </w:r>
      <w:r w:rsidR="00FA1DC1">
        <w:t>and</w:t>
      </w:r>
      <w:r w:rsidR="002622F5">
        <w:t xml:space="preserve"> </w:t>
      </w:r>
      <w:r>
        <w:t>include job coaches, community rehabilitation programs, schools</w:t>
      </w:r>
      <w:r w:rsidR="00C54E0E">
        <w:t>,</w:t>
      </w:r>
      <w:r>
        <w:t xml:space="preserve"> etc. </w:t>
      </w:r>
      <w:r w:rsidR="003F0F7E">
        <w:t xml:space="preserve">The CSS asked survey participants to rate their satisfaction with service providers via </w:t>
      </w:r>
      <w:r w:rsidR="00924F67">
        <w:t xml:space="preserve">four </w:t>
      </w:r>
      <w:r w:rsidR="003F0F7E">
        <w:t>questions</w:t>
      </w:r>
      <w:r w:rsidR="00924F67">
        <w:t>: overall satisfaction, un</w:t>
      </w:r>
      <w:r w:rsidR="0083696E">
        <w:t>der</w:t>
      </w:r>
      <w:r w:rsidR="00923FC0">
        <w:t xml:space="preserve">standing </w:t>
      </w:r>
      <w:r w:rsidR="00577614">
        <w:t xml:space="preserve">their needs, </w:t>
      </w:r>
      <w:r w:rsidR="00923FC0">
        <w:t xml:space="preserve">treating consumers with </w:t>
      </w:r>
      <w:r w:rsidR="0083696E">
        <w:t xml:space="preserve">respect, and </w:t>
      </w:r>
      <w:r w:rsidR="00923FC0">
        <w:t xml:space="preserve">communicating in a </w:t>
      </w:r>
      <w:r w:rsidR="0083696E">
        <w:lastRenderedPageBreak/>
        <w:t>timely</w:t>
      </w:r>
      <w:r w:rsidR="00923FC0">
        <w:t xml:space="preserve"> manner</w:t>
      </w:r>
      <w:r w:rsidR="0083696E">
        <w:t>.</w:t>
      </w:r>
      <w:r w:rsidR="003F0F7E">
        <w:t xml:space="preserve"> Ratings received</w:t>
      </w:r>
      <w:r w:rsidR="00B173A4">
        <w:t xml:space="preserve"> and satisfaction scores</w:t>
      </w:r>
      <w:r w:rsidR="003F0F7E">
        <w:t xml:space="preserve"> for service providers are listed below i</w:t>
      </w:r>
      <w:r w:rsidR="003F0F7E" w:rsidRPr="00B173A4">
        <w:t xml:space="preserve">n </w:t>
      </w:r>
      <w:r w:rsidR="00461BC0" w:rsidRPr="00B173A4">
        <w:t>Figure 4</w:t>
      </w:r>
      <w:r w:rsidR="003F0F7E" w:rsidRPr="00B173A4">
        <w:t xml:space="preserve"> and Table</w:t>
      </w:r>
      <w:r w:rsidR="00824E7C" w:rsidRPr="00B173A4">
        <w:t xml:space="preserve"> 7.</w:t>
      </w:r>
    </w:p>
    <w:p w14:paraId="003EEFF7" w14:textId="28339881" w:rsidR="00287D23" w:rsidRDefault="002C3B01" w:rsidP="002C0FFC">
      <w:r w:rsidRPr="00B168DD">
        <w:t>S</w:t>
      </w:r>
      <w:r w:rsidR="00CA3641" w:rsidRPr="00B168DD">
        <w:t xml:space="preserve">ervice providers </w:t>
      </w:r>
      <w:r w:rsidR="00790CBE" w:rsidRPr="00B168DD">
        <w:t xml:space="preserve">were given an overall satisfaction score of </w:t>
      </w:r>
      <w:r w:rsidRPr="00B168DD">
        <w:t xml:space="preserve">80.3% </w:t>
      </w:r>
      <w:r w:rsidR="00790CBE" w:rsidRPr="00B168DD">
        <w:t>which is considered</w:t>
      </w:r>
      <w:r w:rsidR="00CA3641" w:rsidRPr="00B168DD">
        <w:t xml:space="preserve"> satisfied</w:t>
      </w:r>
      <w:r w:rsidR="00790CBE" w:rsidRPr="00B168DD">
        <w:t>.</w:t>
      </w:r>
      <w:r w:rsidR="00CA3641" w:rsidRPr="00B168DD">
        <w:t xml:space="preserve"> </w:t>
      </w:r>
      <w:r w:rsidR="001B622E" w:rsidRPr="00B168DD">
        <w:t xml:space="preserve">In fact, participants rated this </w:t>
      </w:r>
      <w:r w:rsidR="00CA3641" w:rsidRPr="00B168DD">
        <w:t xml:space="preserve">the highest rated category </w:t>
      </w:r>
      <w:r w:rsidR="00570186" w:rsidRPr="00B168DD">
        <w:t xml:space="preserve">for </w:t>
      </w:r>
      <w:r w:rsidR="002F3661" w:rsidRPr="00B168DD">
        <w:t>the</w:t>
      </w:r>
      <w:r w:rsidR="002F3661">
        <w:t xml:space="preserve"> entire CSS</w:t>
      </w:r>
      <w:r w:rsidR="00CA3641">
        <w:t>.</w:t>
      </w:r>
      <w:r w:rsidR="002F3661">
        <w:t xml:space="preserve"> </w:t>
      </w:r>
      <w:r w:rsidR="007E4E22">
        <w:t>Along the same lines</w:t>
      </w:r>
      <w:r w:rsidR="002F3661">
        <w:t>, s</w:t>
      </w:r>
      <w:r w:rsidR="0097354E">
        <w:t xml:space="preserve">urvey participants </w:t>
      </w:r>
      <w:r w:rsidR="007A50DE">
        <w:t xml:space="preserve">were extremely satisfied with the level of respect </w:t>
      </w:r>
      <w:r w:rsidR="00265058">
        <w:t>from their</w:t>
      </w:r>
      <w:r w:rsidR="000F35A9">
        <w:t xml:space="preserve"> service providers</w:t>
      </w:r>
      <w:r w:rsidR="00C01392">
        <w:t xml:space="preserve"> (satisfaction score 87.7%)</w:t>
      </w:r>
      <w:r w:rsidR="00570186">
        <w:t>,</w:t>
      </w:r>
      <w:r w:rsidR="00C01392">
        <w:t xml:space="preserve"> </w:t>
      </w:r>
      <w:r w:rsidR="00265058">
        <w:t>which was</w:t>
      </w:r>
      <w:r w:rsidR="007A50DE">
        <w:t xml:space="preserve"> the second highest</w:t>
      </w:r>
      <w:r w:rsidR="00265058">
        <w:t xml:space="preserve"> rated</w:t>
      </w:r>
      <w:r w:rsidR="007A50DE">
        <w:t xml:space="preserve"> question of the entire </w:t>
      </w:r>
      <w:r w:rsidR="00C01392">
        <w:t>survey</w:t>
      </w:r>
      <w:r w:rsidR="00265058">
        <w:t xml:space="preserve">. </w:t>
      </w:r>
      <w:r w:rsidR="00B168DD">
        <w:t>Additionally, p</w:t>
      </w:r>
      <w:r w:rsidR="00265058">
        <w:t xml:space="preserve">articipants were satisfied with </w:t>
      </w:r>
      <w:r w:rsidR="00665723">
        <w:t xml:space="preserve">their service providers’ </w:t>
      </w:r>
      <w:r w:rsidR="00265058">
        <w:t>timely responses</w:t>
      </w:r>
      <w:r w:rsidR="00665723">
        <w:t xml:space="preserve"> (81.1% score), understanding of their disability (80.3%), and overall experience (73.0% score)</w:t>
      </w:r>
      <w:r w:rsidR="007E4E22">
        <w:t xml:space="preserve">. </w:t>
      </w:r>
    </w:p>
    <w:p w14:paraId="3FDFD485" w14:textId="147BE8A6" w:rsidR="00CC5016" w:rsidRDefault="00CC5016" w:rsidP="00455BA5">
      <w:pPr>
        <w:pStyle w:val="FigureTitle"/>
      </w:pPr>
      <w:r>
        <w:t>Satisfaction Ratings for Service Providers</w:t>
      </w:r>
    </w:p>
    <w:p w14:paraId="08E8BDFF" w14:textId="77777777" w:rsidR="00CC5016" w:rsidRDefault="00CC5016" w:rsidP="00FB0B70">
      <w:pPr>
        <w:jc w:val="center"/>
      </w:pPr>
      <w:r>
        <w:rPr>
          <w:noProof/>
        </w:rPr>
        <w:drawing>
          <wp:inline distT="0" distB="0" distL="0" distR="0" wp14:anchorId="633232F1" wp14:editId="03959C8E">
            <wp:extent cx="6858000" cy="3132306"/>
            <wp:effectExtent l="0" t="0" r="0" b="11430"/>
            <wp:docPr id="16" name="Chart 16" descr="Figure 4 Description:  Satisfaction ratings of CSS questions related to service providers are illustrated as a diverging bar chart. Ratings were considered satisfied (5-7, blues), neutral (4, light gray), and not satisfied (1-3, dark grays). Figure data are listed below in table format (Table 7).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A5CBF3" w14:textId="1A1B73DE" w:rsidR="005A5060" w:rsidRPr="00CE39F4" w:rsidRDefault="00FC23A6" w:rsidP="005742B9">
      <w:pPr>
        <w:pStyle w:val="FigureFootnotes"/>
        <w:spacing w:after="160" w:line="259" w:lineRule="auto"/>
        <w:rPr>
          <w:b/>
          <w:bCs/>
        </w:rPr>
      </w:pPr>
      <w:r>
        <w:t xml:space="preserve">Satisfaction ratings of CSS questions related to service providers are illustrated as a diverging bar chart. </w:t>
      </w:r>
      <w:r w:rsidR="009A6D2A">
        <w:t xml:space="preserve">Ratings were considered </w:t>
      </w:r>
      <w:r w:rsidR="008817B9">
        <w:t>satisfied (5-7, blue</w:t>
      </w:r>
      <w:r w:rsidR="00A67C4A">
        <w:t>s</w:t>
      </w:r>
      <w:r w:rsidR="008817B9">
        <w:t>), neutral (4, light gray), and not satisfied (1-3, dark gray</w:t>
      </w:r>
      <w:r w:rsidR="00A67C4A">
        <w:t>s</w:t>
      </w:r>
      <w:r w:rsidR="008817B9">
        <w:t xml:space="preserve">). </w:t>
      </w:r>
      <w:r w:rsidR="00837011">
        <w:t xml:space="preserve">Figure data are listed below in table </w:t>
      </w:r>
      <w:r w:rsidR="00837011" w:rsidRPr="007E4E22">
        <w:t>format (</w:t>
      </w:r>
      <w:r w:rsidR="00837011" w:rsidRPr="00B173A4">
        <w:t xml:space="preserve">Table </w:t>
      </w:r>
      <w:r w:rsidR="00997763" w:rsidRPr="00B173A4">
        <w:t>7</w:t>
      </w:r>
      <w:r w:rsidR="00837011" w:rsidRPr="007E4E22">
        <w:t>)</w:t>
      </w:r>
      <w:r w:rsidR="00DC03EC" w:rsidRPr="007E4E22">
        <w:t>.</w:t>
      </w:r>
      <w:r w:rsidR="00DC03EC">
        <w:t xml:space="preserve"> </w:t>
      </w:r>
    </w:p>
    <w:p w14:paraId="5881A724" w14:textId="0B988152" w:rsidR="00C82AD8" w:rsidRDefault="00C82AD8" w:rsidP="00C82AD8">
      <w:pPr>
        <w:pStyle w:val="TableTitle"/>
      </w:pPr>
      <w:r>
        <w:t>Satisfaction Ratings for Service Providers</w:t>
      </w:r>
    </w:p>
    <w:tbl>
      <w:tblPr>
        <w:tblStyle w:val="TableGrid"/>
        <w:tblW w:w="1042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left w:w="43" w:type="dxa"/>
          <w:right w:w="43" w:type="dxa"/>
        </w:tblCellMar>
        <w:tblLook w:val="0020" w:firstRow="1" w:lastRow="0" w:firstColumn="0" w:lastColumn="0" w:noHBand="0" w:noVBand="0"/>
      </w:tblPr>
      <w:tblGrid>
        <w:gridCol w:w="3168"/>
        <w:gridCol w:w="717"/>
        <w:gridCol w:w="717"/>
        <w:gridCol w:w="717"/>
        <w:gridCol w:w="717"/>
        <w:gridCol w:w="717"/>
        <w:gridCol w:w="717"/>
        <w:gridCol w:w="923"/>
        <w:gridCol w:w="1014"/>
        <w:gridCol w:w="1014"/>
      </w:tblGrid>
      <w:tr w:rsidR="001C1151" w:rsidRPr="00065FC4" w14:paraId="08957143" w14:textId="77777777" w:rsidTr="00C54E0E">
        <w:trPr>
          <w:trHeight w:val="432"/>
          <w:jc w:val="center"/>
        </w:trPr>
        <w:tc>
          <w:tcPr>
            <w:tcW w:w="3168" w:type="dxa"/>
            <w:shd w:val="clear" w:color="auto" w:fill="00407B" w:themeFill="accent1" w:themeFillShade="BF"/>
            <w:vAlign w:val="center"/>
          </w:tcPr>
          <w:p w14:paraId="00F5F097" w14:textId="52850025" w:rsidR="001C1151" w:rsidRPr="00163C4B" w:rsidRDefault="00163C4B" w:rsidP="00095D1D">
            <w:pPr>
              <w:autoSpaceDE w:val="0"/>
              <w:autoSpaceDN w:val="0"/>
              <w:adjustRightInd w:val="0"/>
              <w:spacing w:after="0"/>
              <w:rPr>
                <w:rFonts w:cs="Arial"/>
                <w:color w:val="FFFFFF" w:themeColor="background1"/>
                <w:vertAlign w:val="superscript"/>
              </w:rPr>
            </w:pPr>
            <w:r>
              <w:rPr>
                <w:rFonts w:cs="Arial"/>
                <w:b/>
                <w:bCs/>
                <w:color w:val="FFFFFF" w:themeColor="background1"/>
              </w:rPr>
              <w:t>Service Provider</w:t>
            </w:r>
            <w:r w:rsidR="001C1151">
              <w:rPr>
                <w:rFonts w:cs="Arial"/>
                <w:b/>
                <w:bCs/>
                <w:color w:val="FFFFFF" w:themeColor="background1"/>
              </w:rPr>
              <w:t xml:space="preserve"> Ratings</w:t>
            </w:r>
            <w:r>
              <w:rPr>
                <w:rFonts w:cs="Arial"/>
                <w:color w:val="FFFFFF" w:themeColor="background1"/>
              </w:rPr>
              <w:t xml:space="preserve"> (Count)</w:t>
            </w:r>
          </w:p>
        </w:tc>
        <w:tc>
          <w:tcPr>
            <w:tcW w:w="717" w:type="dxa"/>
            <w:shd w:val="clear" w:color="auto" w:fill="00407B" w:themeFill="accent1" w:themeFillShade="BF"/>
            <w:vAlign w:val="center"/>
          </w:tcPr>
          <w:p w14:paraId="761B8288"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1</w:t>
            </w:r>
          </w:p>
        </w:tc>
        <w:tc>
          <w:tcPr>
            <w:tcW w:w="717" w:type="dxa"/>
            <w:shd w:val="clear" w:color="auto" w:fill="00407B" w:themeFill="accent1" w:themeFillShade="BF"/>
            <w:vAlign w:val="center"/>
          </w:tcPr>
          <w:p w14:paraId="186B85A9"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2</w:t>
            </w:r>
          </w:p>
        </w:tc>
        <w:tc>
          <w:tcPr>
            <w:tcW w:w="717" w:type="dxa"/>
            <w:shd w:val="clear" w:color="auto" w:fill="00407B" w:themeFill="accent1" w:themeFillShade="BF"/>
            <w:vAlign w:val="center"/>
          </w:tcPr>
          <w:p w14:paraId="6FF352C6"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3</w:t>
            </w:r>
          </w:p>
        </w:tc>
        <w:tc>
          <w:tcPr>
            <w:tcW w:w="717" w:type="dxa"/>
            <w:shd w:val="clear" w:color="auto" w:fill="00407B" w:themeFill="accent1" w:themeFillShade="BF"/>
            <w:vAlign w:val="center"/>
          </w:tcPr>
          <w:p w14:paraId="64BB607A"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4</w:t>
            </w:r>
          </w:p>
        </w:tc>
        <w:tc>
          <w:tcPr>
            <w:tcW w:w="717" w:type="dxa"/>
            <w:shd w:val="clear" w:color="auto" w:fill="00407B" w:themeFill="accent1" w:themeFillShade="BF"/>
            <w:vAlign w:val="center"/>
          </w:tcPr>
          <w:p w14:paraId="03710D8D"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5</w:t>
            </w:r>
          </w:p>
        </w:tc>
        <w:tc>
          <w:tcPr>
            <w:tcW w:w="717" w:type="dxa"/>
            <w:shd w:val="clear" w:color="auto" w:fill="00407B" w:themeFill="accent1" w:themeFillShade="BF"/>
            <w:vAlign w:val="center"/>
          </w:tcPr>
          <w:p w14:paraId="23219CE9"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6</w:t>
            </w:r>
          </w:p>
        </w:tc>
        <w:tc>
          <w:tcPr>
            <w:tcW w:w="923" w:type="dxa"/>
            <w:shd w:val="clear" w:color="auto" w:fill="00407B" w:themeFill="accent1" w:themeFillShade="BF"/>
            <w:vAlign w:val="center"/>
          </w:tcPr>
          <w:p w14:paraId="5B8D6372" w14:textId="77777777" w:rsidR="001C1151" w:rsidRPr="00065FC4" w:rsidRDefault="001C1151" w:rsidP="00095D1D">
            <w:pPr>
              <w:autoSpaceDE w:val="0"/>
              <w:autoSpaceDN w:val="0"/>
              <w:adjustRightInd w:val="0"/>
              <w:spacing w:after="0"/>
              <w:jc w:val="center"/>
              <w:rPr>
                <w:rFonts w:cs="Arial"/>
                <w:b/>
                <w:bCs/>
                <w:color w:val="FFFFFF" w:themeColor="background1"/>
              </w:rPr>
            </w:pPr>
            <w:r w:rsidRPr="00065FC4">
              <w:rPr>
                <w:rFonts w:cs="Arial"/>
                <w:b/>
                <w:bCs/>
                <w:color w:val="FFFFFF" w:themeColor="background1"/>
              </w:rPr>
              <w:t>7</w:t>
            </w:r>
          </w:p>
        </w:tc>
        <w:tc>
          <w:tcPr>
            <w:tcW w:w="1014" w:type="dxa"/>
            <w:shd w:val="clear" w:color="auto" w:fill="00407B" w:themeFill="accent1" w:themeFillShade="BF"/>
            <w:vAlign w:val="center"/>
          </w:tcPr>
          <w:p w14:paraId="326238DC" w14:textId="4D491CA9" w:rsidR="001C1151" w:rsidRPr="00163C4B" w:rsidRDefault="00163C4B" w:rsidP="00163C4B">
            <w:pPr>
              <w:autoSpaceDE w:val="0"/>
              <w:autoSpaceDN w:val="0"/>
              <w:adjustRightInd w:val="0"/>
              <w:spacing w:after="0"/>
              <w:jc w:val="center"/>
              <w:rPr>
                <w:rFonts w:cs="Arial"/>
                <w:b/>
                <w:bCs/>
                <w:color w:val="FFFFFF" w:themeColor="background1"/>
              </w:rPr>
            </w:pPr>
            <w:r>
              <w:rPr>
                <w:rFonts w:cs="Arial"/>
                <w:b/>
                <w:bCs/>
                <w:color w:val="FFFFFF" w:themeColor="background1"/>
              </w:rPr>
              <w:t>Total</w:t>
            </w:r>
          </w:p>
        </w:tc>
        <w:tc>
          <w:tcPr>
            <w:tcW w:w="1014" w:type="dxa"/>
            <w:shd w:val="clear" w:color="auto" w:fill="00407B" w:themeFill="accent1" w:themeFillShade="BF"/>
            <w:vAlign w:val="center"/>
          </w:tcPr>
          <w:p w14:paraId="5A2CED38" w14:textId="7D99D191" w:rsidR="001C1151" w:rsidRPr="001F42FA" w:rsidRDefault="001C1151" w:rsidP="00095D1D">
            <w:pPr>
              <w:autoSpaceDE w:val="0"/>
              <w:autoSpaceDN w:val="0"/>
              <w:adjustRightInd w:val="0"/>
              <w:spacing w:after="0"/>
              <w:jc w:val="center"/>
              <w:rPr>
                <w:rFonts w:cs="Arial"/>
                <w:b/>
                <w:bCs/>
                <w:color w:val="FFFFFF" w:themeColor="background1"/>
                <w:vertAlign w:val="superscript"/>
              </w:rPr>
            </w:pPr>
            <w:r w:rsidRPr="00065FC4">
              <w:rPr>
                <w:rFonts w:cs="Arial"/>
                <w:b/>
                <w:bCs/>
                <w:color w:val="FFFFFF" w:themeColor="background1"/>
              </w:rPr>
              <w:t>Score</w:t>
            </w:r>
          </w:p>
        </w:tc>
      </w:tr>
      <w:tr w:rsidR="001C1151" w:rsidRPr="009317FC" w14:paraId="4A5AA867" w14:textId="77777777" w:rsidTr="00C54E0E">
        <w:trPr>
          <w:trHeight w:val="262"/>
          <w:jc w:val="center"/>
        </w:trPr>
        <w:tc>
          <w:tcPr>
            <w:tcW w:w="3168" w:type="dxa"/>
            <w:shd w:val="clear" w:color="auto" w:fill="FFFFFF" w:themeFill="background1"/>
            <w:vAlign w:val="center"/>
          </w:tcPr>
          <w:p w14:paraId="6826CABD" w14:textId="77777777" w:rsidR="001C1151" w:rsidRPr="00924F67" w:rsidRDefault="001C1151" w:rsidP="00163C4B">
            <w:pPr>
              <w:autoSpaceDE w:val="0"/>
              <w:autoSpaceDN w:val="0"/>
              <w:adjustRightInd w:val="0"/>
              <w:spacing w:after="0"/>
              <w:ind w:left="40"/>
              <w:rPr>
                <w:rFonts w:cs="Arial"/>
              </w:rPr>
            </w:pPr>
            <w:r w:rsidRPr="00924F67">
              <w:rPr>
                <w:rFonts w:cs="Arial"/>
              </w:rPr>
              <w:t>Overall Satisfaction</w:t>
            </w:r>
          </w:p>
        </w:tc>
        <w:tc>
          <w:tcPr>
            <w:tcW w:w="717" w:type="dxa"/>
            <w:shd w:val="clear" w:color="auto" w:fill="FFFFFF" w:themeFill="background1"/>
            <w:vAlign w:val="center"/>
          </w:tcPr>
          <w:p w14:paraId="333CA5BA" w14:textId="77777777" w:rsidR="001C1151" w:rsidRPr="00924F67" w:rsidRDefault="001C1151" w:rsidP="00095D1D">
            <w:pPr>
              <w:autoSpaceDE w:val="0"/>
              <w:autoSpaceDN w:val="0"/>
              <w:adjustRightInd w:val="0"/>
              <w:spacing w:after="0"/>
              <w:jc w:val="center"/>
              <w:rPr>
                <w:rFonts w:cs="Arial"/>
              </w:rPr>
            </w:pPr>
            <w:r w:rsidRPr="00924F67">
              <w:rPr>
                <w:rFonts w:cs="Arial"/>
              </w:rPr>
              <w:t>66</w:t>
            </w:r>
          </w:p>
        </w:tc>
        <w:tc>
          <w:tcPr>
            <w:tcW w:w="717" w:type="dxa"/>
            <w:shd w:val="clear" w:color="auto" w:fill="FFFFFF" w:themeFill="background1"/>
            <w:vAlign w:val="center"/>
          </w:tcPr>
          <w:p w14:paraId="38AEAE15" w14:textId="77777777" w:rsidR="001C1151" w:rsidRPr="00924F67" w:rsidRDefault="001C1151" w:rsidP="00095D1D">
            <w:pPr>
              <w:autoSpaceDE w:val="0"/>
              <w:autoSpaceDN w:val="0"/>
              <w:adjustRightInd w:val="0"/>
              <w:spacing w:after="0"/>
              <w:jc w:val="center"/>
              <w:rPr>
                <w:rFonts w:cs="Arial"/>
              </w:rPr>
            </w:pPr>
            <w:r w:rsidRPr="00924F67">
              <w:rPr>
                <w:rFonts w:cs="Arial"/>
              </w:rPr>
              <w:t>24</w:t>
            </w:r>
          </w:p>
        </w:tc>
        <w:tc>
          <w:tcPr>
            <w:tcW w:w="717" w:type="dxa"/>
            <w:shd w:val="clear" w:color="auto" w:fill="FFFFFF" w:themeFill="background1"/>
            <w:vAlign w:val="center"/>
          </w:tcPr>
          <w:p w14:paraId="2059297B" w14:textId="77777777" w:rsidR="001C1151" w:rsidRPr="00924F67" w:rsidRDefault="001C1151" w:rsidP="00095D1D">
            <w:pPr>
              <w:autoSpaceDE w:val="0"/>
              <w:autoSpaceDN w:val="0"/>
              <w:adjustRightInd w:val="0"/>
              <w:spacing w:after="0"/>
              <w:jc w:val="center"/>
              <w:rPr>
                <w:rFonts w:cs="Arial"/>
              </w:rPr>
            </w:pPr>
            <w:r w:rsidRPr="00924F67">
              <w:rPr>
                <w:rFonts w:cs="Arial"/>
              </w:rPr>
              <w:t>38</w:t>
            </w:r>
          </w:p>
        </w:tc>
        <w:tc>
          <w:tcPr>
            <w:tcW w:w="717" w:type="dxa"/>
            <w:shd w:val="clear" w:color="auto" w:fill="FFFFFF" w:themeFill="background1"/>
            <w:vAlign w:val="center"/>
          </w:tcPr>
          <w:p w14:paraId="179922F6" w14:textId="77777777" w:rsidR="001C1151" w:rsidRPr="00924F67" w:rsidRDefault="001C1151" w:rsidP="00095D1D">
            <w:pPr>
              <w:autoSpaceDE w:val="0"/>
              <w:autoSpaceDN w:val="0"/>
              <w:adjustRightInd w:val="0"/>
              <w:spacing w:after="0"/>
              <w:jc w:val="center"/>
              <w:rPr>
                <w:rFonts w:cs="Arial"/>
              </w:rPr>
            </w:pPr>
            <w:r w:rsidRPr="00924F67">
              <w:rPr>
                <w:rFonts w:cs="Arial"/>
              </w:rPr>
              <w:t>69</w:t>
            </w:r>
          </w:p>
        </w:tc>
        <w:tc>
          <w:tcPr>
            <w:tcW w:w="717" w:type="dxa"/>
            <w:shd w:val="clear" w:color="auto" w:fill="FFFFFF" w:themeFill="background1"/>
            <w:vAlign w:val="center"/>
          </w:tcPr>
          <w:p w14:paraId="68DEF196" w14:textId="77777777" w:rsidR="001C1151" w:rsidRPr="00924F67" w:rsidRDefault="001C1151" w:rsidP="00095D1D">
            <w:pPr>
              <w:autoSpaceDE w:val="0"/>
              <w:autoSpaceDN w:val="0"/>
              <w:adjustRightInd w:val="0"/>
              <w:spacing w:after="0"/>
              <w:jc w:val="center"/>
              <w:rPr>
                <w:rFonts w:cs="Arial"/>
              </w:rPr>
            </w:pPr>
            <w:r w:rsidRPr="00924F67">
              <w:rPr>
                <w:rFonts w:cs="Arial"/>
              </w:rPr>
              <w:t>149</w:t>
            </w:r>
          </w:p>
        </w:tc>
        <w:tc>
          <w:tcPr>
            <w:tcW w:w="717" w:type="dxa"/>
            <w:shd w:val="clear" w:color="auto" w:fill="FFFFFF" w:themeFill="background1"/>
            <w:vAlign w:val="center"/>
          </w:tcPr>
          <w:p w14:paraId="4BE6E680" w14:textId="77777777" w:rsidR="001C1151" w:rsidRPr="00924F67" w:rsidRDefault="001C1151" w:rsidP="00095D1D">
            <w:pPr>
              <w:autoSpaceDE w:val="0"/>
              <w:autoSpaceDN w:val="0"/>
              <w:adjustRightInd w:val="0"/>
              <w:spacing w:after="0"/>
              <w:jc w:val="center"/>
              <w:rPr>
                <w:rFonts w:cs="Arial"/>
              </w:rPr>
            </w:pPr>
            <w:r w:rsidRPr="00924F67">
              <w:rPr>
                <w:rFonts w:cs="Arial"/>
              </w:rPr>
              <w:t>351</w:t>
            </w:r>
          </w:p>
        </w:tc>
        <w:tc>
          <w:tcPr>
            <w:tcW w:w="923" w:type="dxa"/>
            <w:shd w:val="clear" w:color="auto" w:fill="FFFFFF" w:themeFill="background1"/>
            <w:vAlign w:val="center"/>
          </w:tcPr>
          <w:p w14:paraId="7425A2A0" w14:textId="77777777" w:rsidR="001C1151" w:rsidRPr="00924F67" w:rsidRDefault="001C1151" w:rsidP="00095D1D">
            <w:pPr>
              <w:autoSpaceDE w:val="0"/>
              <w:autoSpaceDN w:val="0"/>
              <w:adjustRightInd w:val="0"/>
              <w:spacing w:after="0"/>
              <w:jc w:val="center"/>
              <w:rPr>
                <w:rFonts w:cs="Arial"/>
              </w:rPr>
            </w:pPr>
            <w:r w:rsidRPr="00924F67">
              <w:rPr>
                <w:rFonts w:cs="Arial"/>
              </w:rPr>
              <w:t>109</w:t>
            </w:r>
          </w:p>
        </w:tc>
        <w:tc>
          <w:tcPr>
            <w:tcW w:w="1014" w:type="dxa"/>
            <w:shd w:val="clear" w:color="auto" w:fill="auto"/>
            <w:vAlign w:val="center"/>
          </w:tcPr>
          <w:p w14:paraId="44998331" w14:textId="30B25A4E" w:rsidR="001C1151" w:rsidRPr="00924F67" w:rsidRDefault="00163C4B" w:rsidP="00163C4B">
            <w:pPr>
              <w:autoSpaceDE w:val="0"/>
              <w:autoSpaceDN w:val="0"/>
              <w:adjustRightInd w:val="0"/>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806</w:t>
            </w:r>
            <w:r>
              <w:rPr>
                <w:rFonts w:cs="Arial"/>
              </w:rPr>
              <w:fldChar w:fldCharType="end"/>
            </w:r>
          </w:p>
        </w:tc>
        <w:tc>
          <w:tcPr>
            <w:tcW w:w="1014" w:type="dxa"/>
            <w:shd w:val="clear" w:color="auto" w:fill="FFFFFF" w:themeFill="background1"/>
            <w:vAlign w:val="center"/>
          </w:tcPr>
          <w:p w14:paraId="62DCC411" w14:textId="1A2CD2A3" w:rsidR="001C1151" w:rsidRPr="00924F67" w:rsidRDefault="001C1151" w:rsidP="00095D1D">
            <w:pPr>
              <w:autoSpaceDE w:val="0"/>
              <w:autoSpaceDN w:val="0"/>
              <w:adjustRightInd w:val="0"/>
              <w:spacing w:after="0"/>
              <w:jc w:val="center"/>
              <w:rPr>
                <w:rFonts w:cs="Arial"/>
              </w:rPr>
            </w:pPr>
            <w:r w:rsidRPr="00924F67">
              <w:rPr>
                <w:rFonts w:cs="Arial"/>
              </w:rPr>
              <w:t>73.0%</w:t>
            </w:r>
          </w:p>
        </w:tc>
      </w:tr>
      <w:tr w:rsidR="001C1151" w:rsidRPr="009317FC" w14:paraId="10E103CF" w14:textId="77777777" w:rsidTr="00C54E0E">
        <w:trPr>
          <w:trHeight w:val="262"/>
          <w:jc w:val="center"/>
        </w:trPr>
        <w:tc>
          <w:tcPr>
            <w:tcW w:w="3168" w:type="dxa"/>
            <w:shd w:val="clear" w:color="auto" w:fill="FFFFFF" w:themeFill="background1"/>
            <w:vAlign w:val="center"/>
          </w:tcPr>
          <w:p w14:paraId="12FB444C" w14:textId="77777777" w:rsidR="001C1151" w:rsidRPr="00924F67" w:rsidRDefault="001C1151" w:rsidP="00163C4B">
            <w:pPr>
              <w:autoSpaceDE w:val="0"/>
              <w:autoSpaceDN w:val="0"/>
              <w:adjustRightInd w:val="0"/>
              <w:spacing w:after="0"/>
              <w:ind w:left="40"/>
              <w:rPr>
                <w:rFonts w:cs="Arial"/>
              </w:rPr>
            </w:pPr>
            <w:r w:rsidRPr="00924F67">
              <w:rPr>
                <w:rFonts w:cs="Arial"/>
              </w:rPr>
              <w:t>Understands Disability</w:t>
            </w:r>
          </w:p>
        </w:tc>
        <w:tc>
          <w:tcPr>
            <w:tcW w:w="717" w:type="dxa"/>
            <w:shd w:val="clear" w:color="auto" w:fill="FFFFFF" w:themeFill="background1"/>
            <w:vAlign w:val="center"/>
          </w:tcPr>
          <w:p w14:paraId="4C77D905" w14:textId="77777777" w:rsidR="001C1151" w:rsidRPr="00924F67" w:rsidRDefault="001C1151" w:rsidP="00095D1D">
            <w:pPr>
              <w:autoSpaceDE w:val="0"/>
              <w:autoSpaceDN w:val="0"/>
              <w:adjustRightInd w:val="0"/>
              <w:spacing w:after="0"/>
              <w:jc w:val="center"/>
              <w:rPr>
                <w:rFonts w:cs="Arial"/>
              </w:rPr>
            </w:pPr>
            <w:r w:rsidRPr="00924F67">
              <w:rPr>
                <w:rFonts w:cs="Arial"/>
              </w:rPr>
              <w:t>52</w:t>
            </w:r>
          </w:p>
        </w:tc>
        <w:tc>
          <w:tcPr>
            <w:tcW w:w="717" w:type="dxa"/>
            <w:shd w:val="clear" w:color="auto" w:fill="FFFFFF" w:themeFill="background1"/>
            <w:vAlign w:val="center"/>
          </w:tcPr>
          <w:p w14:paraId="2CCD849C" w14:textId="77777777" w:rsidR="001C1151" w:rsidRPr="00924F67" w:rsidRDefault="001C1151" w:rsidP="00095D1D">
            <w:pPr>
              <w:autoSpaceDE w:val="0"/>
              <w:autoSpaceDN w:val="0"/>
              <w:adjustRightInd w:val="0"/>
              <w:spacing w:after="0"/>
              <w:jc w:val="center"/>
              <w:rPr>
                <w:rFonts w:cs="Arial"/>
              </w:rPr>
            </w:pPr>
            <w:r w:rsidRPr="00924F67">
              <w:rPr>
                <w:rFonts w:cs="Arial"/>
              </w:rPr>
              <w:t>22</w:t>
            </w:r>
          </w:p>
        </w:tc>
        <w:tc>
          <w:tcPr>
            <w:tcW w:w="717" w:type="dxa"/>
            <w:shd w:val="clear" w:color="auto" w:fill="FFFFFF" w:themeFill="background1"/>
            <w:vAlign w:val="center"/>
          </w:tcPr>
          <w:p w14:paraId="63652ECF" w14:textId="77777777" w:rsidR="001C1151" w:rsidRPr="00924F67" w:rsidRDefault="001C1151" w:rsidP="00095D1D">
            <w:pPr>
              <w:autoSpaceDE w:val="0"/>
              <w:autoSpaceDN w:val="0"/>
              <w:adjustRightInd w:val="0"/>
              <w:spacing w:after="0"/>
              <w:jc w:val="center"/>
              <w:rPr>
                <w:rFonts w:cs="Arial"/>
              </w:rPr>
            </w:pPr>
            <w:r w:rsidRPr="00924F67">
              <w:rPr>
                <w:rFonts w:cs="Arial"/>
              </w:rPr>
              <w:t>38</w:t>
            </w:r>
          </w:p>
        </w:tc>
        <w:tc>
          <w:tcPr>
            <w:tcW w:w="717" w:type="dxa"/>
            <w:shd w:val="clear" w:color="auto" w:fill="FFFFFF" w:themeFill="background1"/>
            <w:vAlign w:val="center"/>
          </w:tcPr>
          <w:p w14:paraId="3BC1A8BF" w14:textId="77777777" w:rsidR="001C1151" w:rsidRPr="00924F67" w:rsidRDefault="001C1151" w:rsidP="00095D1D">
            <w:pPr>
              <w:autoSpaceDE w:val="0"/>
              <w:autoSpaceDN w:val="0"/>
              <w:adjustRightInd w:val="0"/>
              <w:spacing w:after="0"/>
              <w:jc w:val="center"/>
              <w:rPr>
                <w:rFonts w:cs="Arial"/>
              </w:rPr>
            </w:pPr>
            <w:r w:rsidRPr="00924F67">
              <w:rPr>
                <w:rFonts w:cs="Arial"/>
              </w:rPr>
              <w:t>39</w:t>
            </w:r>
          </w:p>
        </w:tc>
        <w:tc>
          <w:tcPr>
            <w:tcW w:w="717" w:type="dxa"/>
            <w:shd w:val="clear" w:color="auto" w:fill="FFFFFF" w:themeFill="background1"/>
            <w:vAlign w:val="center"/>
          </w:tcPr>
          <w:p w14:paraId="0F73704C" w14:textId="77777777" w:rsidR="001C1151" w:rsidRPr="00924F67" w:rsidRDefault="001C1151" w:rsidP="00095D1D">
            <w:pPr>
              <w:autoSpaceDE w:val="0"/>
              <w:autoSpaceDN w:val="0"/>
              <w:adjustRightInd w:val="0"/>
              <w:spacing w:after="0"/>
              <w:jc w:val="center"/>
              <w:rPr>
                <w:rFonts w:cs="Arial"/>
              </w:rPr>
            </w:pPr>
            <w:r w:rsidRPr="00924F67">
              <w:rPr>
                <w:rFonts w:cs="Arial"/>
              </w:rPr>
              <w:t>82</w:t>
            </w:r>
          </w:p>
        </w:tc>
        <w:tc>
          <w:tcPr>
            <w:tcW w:w="717" w:type="dxa"/>
            <w:shd w:val="clear" w:color="auto" w:fill="FFFFFF" w:themeFill="background1"/>
            <w:vAlign w:val="center"/>
          </w:tcPr>
          <w:p w14:paraId="5AA7BCF8" w14:textId="77777777" w:rsidR="001C1151" w:rsidRPr="00924F67" w:rsidRDefault="001C1151" w:rsidP="00095D1D">
            <w:pPr>
              <w:autoSpaceDE w:val="0"/>
              <w:autoSpaceDN w:val="0"/>
              <w:adjustRightInd w:val="0"/>
              <w:spacing w:after="0"/>
              <w:jc w:val="center"/>
              <w:rPr>
                <w:rFonts w:cs="Arial"/>
              </w:rPr>
            </w:pPr>
            <w:r w:rsidRPr="00924F67">
              <w:rPr>
                <w:rFonts w:cs="Arial"/>
              </w:rPr>
              <w:t>126</w:t>
            </w:r>
          </w:p>
        </w:tc>
        <w:tc>
          <w:tcPr>
            <w:tcW w:w="923" w:type="dxa"/>
            <w:shd w:val="clear" w:color="auto" w:fill="FFFFFF" w:themeFill="background1"/>
            <w:vAlign w:val="center"/>
          </w:tcPr>
          <w:p w14:paraId="70095A1F" w14:textId="77777777" w:rsidR="001C1151" w:rsidRPr="00924F67" w:rsidRDefault="001C1151" w:rsidP="00095D1D">
            <w:pPr>
              <w:autoSpaceDE w:val="0"/>
              <w:autoSpaceDN w:val="0"/>
              <w:adjustRightInd w:val="0"/>
              <w:spacing w:after="0"/>
              <w:jc w:val="center"/>
              <w:rPr>
                <w:rFonts w:cs="Arial"/>
              </w:rPr>
            </w:pPr>
            <w:r w:rsidRPr="00924F67">
              <w:rPr>
                <w:rFonts w:cs="Arial"/>
              </w:rPr>
              <w:t>354</w:t>
            </w:r>
          </w:p>
        </w:tc>
        <w:tc>
          <w:tcPr>
            <w:tcW w:w="1014" w:type="dxa"/>
            <w:shd w:val="clear" w:color="auto" w:fill="auto"/>
            <w:vAlign w:val="center"/>
          </w:tcPr>
          <w:p w14:paraId="1994B9DE" w14:textId="60174357" w:rsidR="001C1151" w:rsidRPr="00924F67" w:rsidRDefault="00163C4B" w:rsidP="00163C4B">
            <w:pPr>
              <w:autoSpaceDE w:val="0"/>
              <w:autoSpaceDN w:val="0"/>
              <w:adjustRightInd w:val="0"/>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713</w:t>
            </w:r>
            <w:r>
              <w:rPr>
                <w:rFonts w:cs="Arial"/>
              </w:rPr>
              <w:fldChar w:fldCharType="end"/>
            </w:r>
          </w:p>
        </w:tc>
        <w:tc>
          <w:tcPr>
            <w:tcW w:w="1014" w:type="dxa"/>
            <w:shd w:val="clear" w:color="auto" w:fill="FFFFFF" w:themeFill="background1"/>
            <w:vAlign w:val="center"/>
          </w:tcPr>
          <w:p w14:paraId="31D343E9" w14:textId="7AE40B5C" w:rsidR="001C1151" w:rsidRPr="00924F67" w:rsidRDefault="001C1151" w:rsidP="00095D1D">
            <w:pPr>
              <w:autoSpaceDE w:val="0"/>
              <w:autoSpaceDN w:val="0"/>
              <w:adjustRightInd w:val="0"/>
              <w:spacing w:after="0"/>
              <w:jc w:val="center"/>
              <w:rPr>
                <w:rFonts w:cs="Arial"/>
              </w:rPr>
            </w:pPr>
            <w:r w:rsidRPr="00924F67">
              <w:rPr>
                <w:rFonts w:cs="Arial"/>
              </w:rPr>
              <w:t>80.3%</w:t>
            </w:r>
          </w:p>
        </w:tc>
      </w:tr>
      <w:tr w:rsidR="001C1151" w:rsidRPr="009317FC" w14:paraId="50B2A9BC" w14:textId="77777777" w:rsidTr="00C54E0E">
        <w:trPr>
          <w:trHeight w:val="262"/>
          <w:jc w:val="center"/>
        </w:trPr>
        <w:tc>
          <w:tcPr>
            <w:tcW w:w="3168" w:type="dxa"/>
            <w:shd w:val="clear" w:color="auto" w:fill="FFFFFF" w:themeFill="background1"/>
            <w:vAlign w:val="center"/>
          </w:tcPr>
          <w:p w14:paraId="235BDE96" w14:textId="77777777" w:rsidR="001C1151" w:rsidRPr="00924F67" w:rsidRDefault="001C1151" w:rsidP="00163C4B">
            <w:pPr>
              <w:autoSpaceDE w:val="0"/>
              <w:autoSpaceDN w:val="0"/>
              <w:adjustRightInd w:val="0"/>
              <w:spacing w:after="0"/>
              <w:ind w:left="40"/>
              <w:rPr>
                <w:rFonts w:cs="Arial"/>
              </w:rPr>
            </w:pPr>
            <w:r w:rsidRPr="00924F67">
              <w:rPr>
                <w:rFonts w:cs="Arial"/>
              </w:rPr>
              <w:t>Respectful</w:t>
            </w:r>
          </w:p>
        </w:tc>
        <w:tc>
          <w:tcPr>
            <w:tcW w:w="717" w:type="dxa"/>
            <w:shd w:val="clear" w:color="auto" w:fill="FFFFFF" w:themeFill="background1"/>
            <w:vAlign w:val="center"/>
          </w:tcPr>
          <w:p w14:paraId="1676F7C9" w14:textId="77777777" w:rsidR="001C1151" w:rsidRPr="00924F67" w:rsidRDefault="001C1151" w:rsidP="00095D1D">
            <w:pPr>
              <w:autoSpaceDE w:val="0"/>
              <w:autoSpaceDN w:val="0"/>
              <w:adjustRightInd w:val="0"/>
              <w:spacing w:after="0"/>
              <w:jc w:val="center"/>
              <w:rPr>
                <w:rFonts w:cs="Arial"/>
              </w:rPr>
            </w:pPr>
            <w:r w:rsidRPr="00924F67">
              <w:rPr>
                <w:rFonts w:cs="Arial"/>
              </w:rPr>
              <w:t>30</w:t>
            </w:r>
          </w:p>
        </w:tc>
        <w:tc>
          <w:tcPr>
            <w:tcW w:w="717" w:type="dxa"/>
            <w:shd w:val="clear" w:color="auto" w:fill="FFFFFF" w:themeFill="background1"/>
            <w:vAlign w:val="center"/>
          </w:tcPr>
          <w:p w14:paraId="6D0CA4F2" w14:textId="77777777" w:rsidR="001C1151" w:rsidRPr="00924F67" w:rsidRDefault="001C1151" w:rsidP="00095D1D">
            <w:pPr>
              <w:autoSpaceDE w:val="0"/>
              <w:autoSpaceDN w:val="0"/>
              <w:adjustRightInd w:val="0"/>
              <w:spacing w:after="0"/>
              <w:jc w:val="center"/>
              <w:rPr>
                <w:rFonts w:cs="Arial"/>
              </w:rPr>
            </w:pPr>
            <w:r w:rsidRPr="00924F67">
              <w:rPr>
                <w:rFonts w:cs="Arial"/>
              </w:rPr>
              <w:t>12</w:t>
            </w:r>
          </w:p>
        </w:tc>
        <w:tc>
          <w:tcPr>
            <w:tcW w:w="717" w:type="dxa"/>
            <w:shd w:val="clear" w:color="auto" w:fill="FFFFFF" w:themeFill="background1"/>
            <w:vAlign w:val="center"/>
          </w:tcPr>
          <w:p w14:paraId="1920CA55" w14:textId="77777777" w:rsidR="001C1151" w:rsidRPr="00924F67" w:rsidRDefault="001C1151" w:rsidP="00095D1D">
            <w:pPr>
              <w:autoSpaceDE w:val="0"/>
              <w:autoSpaceDN w:val="0"/>
              <w:adjustRightInd w:val="0"/>
              <w:spacing w:after="0"/>
              <w:jc w:val="center"/>
              <w:rPr>
                <w:rFonts w:cs="Arial"/>
              </w:rPr>
            </w:pPr>
            <w:r w:rsidRPr="00924F67">
              <w:rPr>
                <w:rFonts w:cs="Arial"/>
              </w:rPr>
              <w:t>23</w:t>
            </w:r>
          </w:p>
        </w:tc>
        <w:tc>
          <w:tcPr>
            <w:tcW w:w="717" w:type="dxa"/>
            <w:shd w:val="clear" w:color="auto" w:fill="FFFFFF" w:themeFill="background1"/>
            <w:vAlign w:val="center"/>
          </w:tcPr>
          <w:p w14:paraId="19FEE072" w14:textId="77777777" w:rsidR="001C1151" w:rsidRPr="00924F67" w:rsidRDefault="001C1151" w:rsidP="00095D1D">
            <w:pPr>
              <w:autoSpaceDE w:val="0"/>
              <w:autoSpaceDN w:val="0"/>
              <w:adjustRightInd w:val="0"/>
              <w:spacing w:after="0"/>
              <w:jc w:val="center"/>
              <w:rPr>
                <w:rFonts w:cs="Arial"/>
              </w:rPr>
            </w:pPr>
            <w:r w:rsidRPr="00924F67">
              <w:rPr>
                <w:rFonts w:cs="Arial"/>
              </w:rPr>
              <w:t>18</w:t>
            </w:r>
          </w:p>
        </w:tc>
        <w:tc>
          <w:tcPr>
            <w:tcW w:w="717" w:type="dxa"/>
            <w:shd w:val="clear" w:color="auto" w:fill="FFFFFF" w:themeFill="background1"/>
            <w:vAlign w:val="center"/>
          </w:tcPr>
          <w:p w14:paraId="61F5266A" w14:textId="77777777" w:rsidR="001C1151" w:rsidRPr="00924F67" w:rsidRDefault="001C1151" w:rsidP="00095D1D">
            <w:pPr>
              <w:autoSpaceDE w:val="0"/>
              <w:autoSpaceDN w:val="0"/>
              <w:adjustRightInd w:val="0"/>
              <w:spacing w:after="0"/>
              <w:jc w:val="center"/>
              <w:rPr>
                <w:rFonts w:cs="Arial"/>
              </w:rPr>
            </w:pPr>
            <w:r w:rsidRPr="00924F67">
              <w:rPr>
                <w:rFonts w:cs="Arial"/>
              </w:rPr>
              <w:t>58</w:t>
            </w:r>
          </w:p>
        </w:tc>
        <w:tc>
          <w:tcPr>
            <w:tcW w:w="717" w:type="dxa"/>
            <w:shd w:val="clear" w:color="auto" w:fill="FFFFFF" w:themeFill="background1"/>
            <w:vAlign w:val="center"/>
          </w:tcPr>
          <w:p w14:paraId="14CFA8C5" w14:textId="77777777" w:rsidR="001C1151" w:rsidRPr="00924F67" w:rsidRDefault="001C1151" w:rsidP="00095D1D">
            <w:pPr>
              <w:autoSpaceDE w:val="0"/>
              <w:autoSpaceDN w:val="0"/>
              <w:adjustRightInd w:val="0"/>
              <w:spacing w:after="0"/>
              <w:jc w:val="center"/>
              <w:rPr>
                <w:rFonts w:cs="Arial"/>
              </w:rPr>
            </w:pPr>
            <w:r w:rsidRPr="00924F67">
              <w:rPr>
                <w:rFonts w:cs="Arial"/>
              </w:rPr>
              <w:t>107</w:t>
            </w:r>
          </w:p>
        </w:tc>
        <w:tc>
          <w:tcPr>
            <w:tcW w:w="923" w:type="dxa"/>
            <w:shd w:val="clear" w:color="auto" w:fill="FFFFFF" w:themeFill="background1"/>
            <w:vAlign w:val="center"/>
          </w:tcPr>
          <w:p w14:paraId="7D8A557E" w14:textId="77777777" w:rsidR="001C1151" w:rsidRPr="00924F67" w:rsidRDefault="001C1151" w:rsidP="00095D1D">
            <w:pPr>
              <w:autoSpaceDE w:val="0"/>
              <w:autoSpaceDN w:val="0"/>
              <w:adjustRightInd w:val="0"/>
              <w:spacing w:after="0"/>
              <w:jc w:val="center"/>
              <w:rPr>
                <w:rFonts w:cs="Arial"/>
              </w:rPr>
            </w:pPr>
            <w:r w:rsidRPr="00924F67">
              <w:rPr>
                <w:rFonts w:cs="Arial"/>
              </w:rPr>
              <w:t>460</w:t>
            </w:r>
          </w:p>
        </w:tc>
        <w:tc>
          <w:tcPr>
            <w:tcW w:w="1014" w:type="dxa"/>
            <w:shd w:val="clear" w:color="auto" w:fill="auto"/>
            <w:vAlign w:val="center"/>
          </w:tcPr>
          <w:p w14:paraId="305D1DC7" w14:textId="5156887C" w:rsidR="001C1151" w:rsidRPr="00924F67" w:rsidRDefault="00163C4B" w:rsidP="00163C4B">
            <w:pPr>
              <w:autoSpaceDE w:val="0"/>
              <w:autoSpaceDN w:val="0"/>
              <w:adjustRightInd w:val="0"/>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708</w:t>
            </w:r>
            <w:r>
              <w:rPr>
                <w:rFonts w:cs="Arial"/>
              </w:rPr>
              <w:fldChar w:fldCharType="end"/>
            </w:r>
          </w:p>
        </w:tc>
        <w:tc>
          <w:tcPr>
            <w:tcW w:w="1014" w:type="dxa"/>
            <w:shd w:val="clear" w:color="auto" w:fill="FFFFFF" w:themeFill="background1"/>
            <w:vAlign w:val="center"/>
          </w:tcPr>
          <w:p w14:paraId="3EFED15D" w14:textId="418542B6" w:rsidR="001C1151" w:rsidRPr="00924F67" w:rsidRDefault="001C1151" w:rsidP="00095D1D">
            <w:pPr>
              <w:autoSpaceDE w:val="0"/>
              <w:autoSpaceDN w:val="0"/>
              <w:adjustRightInd w:val="0"/>
              <w:spacing w:after="0"/>
              <w:jc w:val="center"/>
              <w:rPr>
                <w:rFonts w:cs="Arial"/>
              </w:rPr>
            </w:pPr>
            <w:r w:rsidRPr="00924F67">
              <w:rPr>
                <w:rFonts w:cs="Arial"/>
              </w:rPr>
              <w:t>87.7%</w:t>
            </w:r>
          </w:p>
        </w:tc>
      </w:tr>
      <w:tr w:rsidR="001C1151" w:rsidRPr="009317FC" w14:paraId="57EEB27B" w14:textId="77777777" w:rsidTr="00C54E0E">
        <w:trPr>
          <w:trHeight w:val="262"/>
          <w:jc w:val="center"/>
        </w:trPr>
        <w:tc>
          <w:tcPr>
            <w:tcW w:w="3168" w:type="dxa"/>
            <w:shd w:val="clear" w:color="auto" w:fill="FFFFFF" w:themeFill="background1"/>
            <w:vAlign w:val="center"/>
          </w:tcPr>
          <w:p w14:paraId="7126800A" w14:textId="77777777" w:rsidR="001C1151" w:rsidRPr="00924F67" w:rsidRDefault="001C1151" w:rsidP="00163C4B">
            <w:pPr>
              <w:autoSpaceDE w:val="0"/>
              <w:autoSpaceDN w:val="0"/>
              <w:adjustRightInd w:val="0"/>
              <w:spacing w:after="0"/>
              <w:ind w:left="40"/>
              <w:rPr>
                <w:rFonts w:cs="Arial"/>
              </w:rPr>
            </w:pPr>
            <w:r w:rsidRPr="00924F67">
              <w:rPr>
                <w:rFonts w:cs="Arial"/>
              </w:rPr>
              <w:t>Timely Responses</w:t>
            </w:r>
          </w:p>
        </w:tc>
        <w:tc>
          <w:tcPr>
            <w:tcW w:w="717" w:type="dxa"/>
            <w:shd w:val="clear" w:color="auto" w:fill="FFFFFF" w:themeFill="background1"/>
            <w:vAlign w:val="center"/>
          </w:tcPr>
          <w:p w14:paraId="6D0AEB4D" w14:textId="77777777" w:rsidR="001C1151" w:rsidRPr="00924F67" w:rsidRDefault="001C1151" w:rsidP="00095D1D">
            <w:pPr>
              <w:autoSpaceDE w:val="0"/>
              <w:autoSpaceDN w:val="0"/>
              <w:adjustRightInd w:val="0"/>
              <w:spacing w:after="0"/>
              <w:jc w:val="center"/>
              <w:rPr>
                <w:rFonts w:cs="Arial"/>
              </w:rPr>
            </w:pPr>
            <w:r w:rsidRPr="00924F67">
              <w:rPr>
                <w:rFonts w:cs="Arial"/>
              </w:rPr>
              <w:t>55</w:t>
            </w:r>
          </w:p>
        </w:tc>
        <w:tc>
          <w:tcPr>
            <w:tcW w:w="717" w:type="dxa"/>
            <w:shd w:val="clear" w:color="auto" w:fill="FFFFFF" w:themeFill="background1"/>
            <w:vAlign w:val="center"/>
          </w:tcPr>
          <w:p w14:paraId="56F1E9EC" w14:textId="77777777" w:rsidR="001C1151" w:rsidRPr="00924F67" w:rsidRDefault="001C1151" w:rsidP="00095D1D">
            <w:pPr>
              <w:autoSpaceDE w:val="0"/>
              <w:autoSpaceDN w:val="0"/>
              <w:adjustRightInd w:val="0"/>
              <w:spacing w:after="0"/>
              <w:jc w:val="center"/>
              <w:rPr>
                <w:rFonts w:cs="Arial"/>
              </w:rPr>
            </w:pPr>
            <w:r w:rsidRPr="00924F67">
              <w:rPr>
                <w:rFonts w:cs="Arial"/>
              </w:rPr>
              <w:t>20</w:t>
            </w:r>
          </w:p>
        </w:tc>
        <w:tc>
          <w:tcPr>
            <w:tcW w:w="717" w:type="dxa"/>
            <w:shd w:val="clear" w:color="auto" w:fill="FFFFFF" w:themeFill="background1"/>
            <w:vAlign w:val="center"/>
          </w:tcPr>
          <w:p w14:paraId="19A7F3CE" w14:textId="77777777" w:rsidR="001C1151" w:rsidRPr="00924F67" w:rsidRDefault="001C1151" w:rsidP="00095D1D">
            <w:pPr>
              <w:autoSpaceDE w:val="0"/>
              <w:autoSpaceDN w:val="0"/>
              <w:adjustRightInd w:val="0"/>
              <w:spacing w:after="0"/>
              <w:jc w:val="center"/>
              <w:rPr>
                <w:rFonts w:cs="Arial"/>
              </w:rPr>
            </w:pPr>
            <w:r w:rsidRPr="00924F67">
              <w:rPr>
                <w:rFonts w:cs="Arial"/>
              </w:rPr>
              <w:t>28</w:t>
            </w:r>
          </w:p>
        </w:tc>
        <w:tc>
          <w:tcPr>
            <w:tcW w:w="717" w:type="dxa"/>
            <w:shd w:val="clear" w:color="auto" w:fill="FFFFFF" w:themeFill="background1"/>
            <w:vAlign w:val="center"/>
          </w:tcPr>
          <w:p w14:paraId="5B40DCFB" w14:textId="77777777" w:rsidR="001C1151" w:rsidRPr="00924F67" w:rsidRDefault="001C1151" w:rsidP="00095D1D">
            <w:pPr>
              <w:autoSpaceDE w:val="0"/>
              <w:autoSpaceDN w:val="0"/>
              <w:adjustRightInd w:val="0"/>
              <w:spacing w:after="0"/>
              <w:jc w:val="center"/>
              <w:rPr>
                <w:rFonts w:cs="Arial"/>
              </w:rPr>
            </w:pPr>
            <w:r w:rsidRPr="00924F67">
              <w:rPr>
                <w:rFonts w:cs="Arial"/>
              </w:rPr>
              <w:t>48</w:t>
            </w:r>
          </w:p>
        </w:tc>
        <w:tc>
          <w:tcPr>
            <w:tcW w:w="717" w:type="dxa"/>
            <w:shd w:val="clear" w:color="auto" w:fill="FFFFFF" w:themeFill="background1"/>
            <w:vAlign w:val="center"/>
          </w:tcPr>
          <w:p w14:paraId="626A7D65" w14:textId="77777777" w:rsidR="001C1151" w:rsidRPr="00924F67" w:rsidRDefault="001C1151" w:rsidP="00095D1D">
            <w:pPr>
              <w:autoSpaceDE w:val="0"/>
              <w:autoSpaceDN w:val="0"/>
              <w:adjustRightInd w:val="0"/>
              <w:spacing w:after="0"/>
              <w:jc w:val="center"/>
              <w:rPr>
                <w:rFonts w:cs="Arial"/>
              </w:rPr>
            </w:pPr>
            <w:r w:rsidRPr="00924F67">
              <w:rPr>
                <w:rFonts w:cs="Arial"/>
              </w:rPr>
              <w:t>81</w:t>
            </w:r>
          </w:p>
        </w:tc>
        <w:tc>
          <w:tcPr>
            <w:tcW w:w="717" w:type="dxa"/>
            <w:shd w:val="clear" w:color="auto" w:fill="FFFFFF" w:themeFill="background1"/>
            <w:vAlign w:val="center"/>
          </w:tcPr>
          <w:p w14:paraId="2A598155" w14:textId="77777777" w:rsidR="001C1151" w:rsidRPr="00924F67" w:rsidRDefault="001C1151" w:rsidP="00095D1D">
            <w:pPr>
              <w:autoSpaceDE w:val="0"/>
              <w:autoSpaceDN w:val="0"/>
              <w:adjustRightInd w:val="0"/>
              <w:spacing w:after="0"/>
              <w:jc w:val="center"/>
              <w:rPr>
                <w:rFonts w:cs="Arial"/>
              </w:rPr>
            </w:pPr>
            <w:r w:rsidRPr="00924F67">
              <w:rPr>
                <w:rFonts w:cs="Arial"/>
              </w:rPr>
              <w:t>132</w:t>
            </w:r>
          </w:p>
        </w:tc>
        <w:tc>
          <w:tcPr>
            <w:tcW w:w="923" w:type="dxa"/>
            <w:shd w:val="clear" w:color="auto" w:fill="FFFFFF" w:themeFill="background1"/>
            <w:vAlign w:val="center"/>
          </w:tcPr>
          <w:p w14:paraId="46C35419" w14:textId="77777777" w:rsidR="001C1151" w:rsidRPr="00924F67" w:rsidRDefault="001C1151" w:rsidP="00095D1D">
            <w:pPr>
              <w:autoSpaceDE w:val="0"/>
              <w:autoSpaceDN w:val="0"/>
              <w:adjustRightInd w:val="0"/>
              <w:spacing w:after="0"/>
              <w:jc w:val="center"/>
              <w:rPr>
                <w:rFonts w:cs="Arial"/>
              </w:rPr>
            </w:pPr>
            <w:r w:rsidRPr="00924F67">
              <w:rPr>
                <w:rFonts w:cs="Arial"/>
              </w:rPr>
              <w:t>378</w:t>
            </w:r>
          </w:p>
        </w:tc>
        <w:tc>
          <w:tcPr>
            <w:tcW w:w="1014" w:type="dxa"/>
            <w:shd w:val="clear" w:color="auto" w:fill="auto"/>
            <w:vAlign w:val="center"/>
          </w:tcPr>
          <w:p w14:paraId="14F2FA8A" w14:textId="5374B936" w:rsidR="001C1151" w:rsidRPr="00924F67" w:rsidRDefault="00163C4B" w:rsidP="00163C4B">
            <w:pPr>
              <w:autoSpaceDE w:val="0"/>
              <w:autoSpaceDN w:val="0"/>
              <w:adjustRightInd w:val="0"/>
              <w:spacing w:after="0"/>
              <w:jc w:val="center"/>
              <w:rPr>
                <w:rFonts w:cs="Arial"/>
              </w:rPr>
            </w:pPr>
            <w:r>
              <w:rPr>
                <w:rFonts w:cs="Arial"/>
              </w:rPr>
              <w:fldChar w:fldCharType="begin"/>
            </w:r>
            <w:r>
              <w:rPr>
                <w:rFonts w:cs="Arial"/>
              </w:rPr>
              <w:instrText xml:space="preserve"> =SUM(LEFT) </w:instrText>
            </w:r>
            <w:r>
              <w:rPr>
                <w:rFonts w:cs="Arial"/>
              </w:rPr>
              <w:fldChar w:fldCharType="separate"/>
            </w:r>
            <w:r>
              <w:rPr>
                <w:rFonts w:cs="Arial"/>
                <w:noProof/>
              </w:rPr>
              <w:t>742</w:t>
            </w:r>
            <w:r>
              <w:rPr>
                <w:rFonts w:cs="Arial"/>
              </w:rPr>
              <w:fldChar w:fldCharType="end"/>
            </w:r>
          </w:p>
        </w:tc>
        <w:tc>
          <w:tcPr>
            <w:tcW w:w="1014" w:type="dxa"/>
            <w:shd w:val="clear" w:color="auto" w:fill="FFFFFF" w:themeFill="background1"/>
            <w:vAlign w:val="center"/>
          </w:tcPr>
          <w:p w14:paraId="4E7E2217" w14:textId="0D691FBB" w:rsidR="001C1151" w:rsidRPr="00924F67" w:rsidRDefault="001C1151" w:rsidP="00095D1D">
            <w:pPr>
              <w:autoSpaceDE w:val="0"/>
              <w:autoSpaceDN w:val="0"/>
              <w:adjustRightInd w:val="0"/>
              <w:spacing w:after="0"/>
              <w:jc w:val="center"/>
              <w:rPr>
                <w:rFonts w:cs="Arial"/>
              </w:rPr>
            </w:pPr>
            <w:r w:rsidRPr="00924F67">
              <w:rPr>
                <w:rFonts w:cs="Arial"/>
              </w:rPr>
              <w:t>81.1%</w:t>
            </w:r>
          </w:p>
        </w:tc>
      </w:tr>
      <w:tr w:rsidR="001C1151" w:rsidRPr="00730AA8" w14:paraId="4F89FD6C" w14:textId="77777777" w:rsidTr="00C54E0E">
        <w:trPr>
          <w:trHeight w:val="262"/>
          <w:jc w:val="center"/>
        </w:trPr>
        <w:tc>
          <w:tcPr>
            <w:tcW w:w="3168" w:type="dxa"/>
            <w:shd w:val="clear" w:color="auto" w:fill="F2F2F2" w:themeFill="background1" w:themeFillShade="F2"/>
            <w:vAlign w:val="center"/>
          </w:tcPr>
          <w:p w14:paraId="7B4208A0" w14:textId="77777777" w:rsidR="001C1151" w:rsidRPr="00730AA8" w:rsidRDefault="001C1151" w:rsidP="00095D1D">
            <w:pPr>
              <w:autoSpaceDE w:val="0"/>
              <w:autoSpaceDN w:val="0"/>
              <w:adjustRightInd w:val="0"/>
              <w:spacing w:after="0"/>
              <w:rPr>
                <w:rFonts w:cs="Arial"/>
                <w:b/>
                <w:bCs/>
              </w:rPr>
            </w:pPr>
            <w:r w:rsidRPr="00730AA8">
              <w:rPr>
                <w:rFonts w:cs="Arial"/>
                <w:b/>
                <w:bCs/>
              </w:rPr>
              <w:t>Total</w:t>
            </w:r>
          </w:p>
        </w:tc>
        <w:tc>
          <w:tcPr>
            <w:tcW w:w="717" w:type="dxa"/>
            <w:shd w:val="clear" w:color="auto" w:fill="F2F2F2" w:themeFill="background1" w:themeFillShade="F2"/>
            <w:vAlign w:val="center"/>
          </w:tcPr>
          <w:p w14:paraId="2F51CA34"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203</w:t>
            </w:r>
          </w:p>
        </w:tc>
        <w:tc>
          <w:tcPr>
            <w:tcW w:w="717" w:type="dxa"/>
            <w:shd w:val="clear" w:color="auto" w:fill="F2F2F2" w:themeFill="background1" w:themeFillShade="F2"/>
            <w:vAlign w:val="center"/>
          </w:tcPr>
          <w:p w14:paraId="6FC6EBE7"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78</w:t>
            </w:r>
          </w:p>
        </w:tc>
        <w:tc>
          <w:tcPr>
            <w:tcW w:w="717" w:type="dxa"/>
            <w:shd w:val="clear" w:color="auto" w:fill="F2F2F2" w:themeFill="background1" w:themeFillShade="F2"/>
            <w:vAlign w:val="center"/>
          </w:tcPr>
          <w:p w14:paraId="3D54F3E8"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127</w:t>
            </w:r>
          </w:p>
        </w:tc>
        <w:tc>
          <w:tcPr>
            <w:tcW w:w="717" w:type="dxa"/>
            <w:shd w:val="clear" w:color="auto" w:fill="F2F2F2" w:themeFill="background1" w:themeFillShade="F2"/>
            <w:vAlign w:val="center"/>
          </w:tcPr>
          <w:p w14:paraId="7F1DCFD6"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174</w:t>
            </w:r>
          </w:p>
        </w:tc>
        <w:tc>
          <w:tcPr>
            <w:tcW w:w="717" w:type="dxa"/>
            <w:shd w:val="clear" w:color="auto" w:fill="F2F2F2" w:themeFill="background1" w:themeFillShade="F2"/>
            <w:vAlign w:val="center"/>
          </w:tcPr>
          <w:p w14:paraId="35BB4CAA"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370</w:t>
            </w:r>
          </w:p>
        </w:tc>
        <w:tc>
          <w:tcPr>
            <w:tcW w:w="717" w:type="dxa"/>
            <w:shd w:val="clear" w:color="auto" w:fill="F2F2F2" w:themeFill="background1" w:themeFillShade="F2"/>
            <w:vAlign w:val="center"/>
          </w:tcPr>
          <w:p w14:paraId="6D78DC6A"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716</w:t>
            </w:r>
          </w:p>
        </w:tc>
        <w:tc>
          <w:tcPr>
            <w:tcW w:w="923" w:type="dxa"/>
            <w:shd w:val="clear" w:color="auto" w:fill="F2F2F2" w:themeFill="background1" w:themeFillShade="F2"/>
            <w:vAlign w:val="center"/>
          </w:tcPr>
          <w:p w14:paraId="50ACB35C" w14:textId="77777777" w:rsidR="001C1151" w:rsidRPr="00730AA8" w:rsidRDefault="001C1151" w:rsidP="00095D1D">
            <w:pPr>
              <w:autoSpaceDE w:val="0"/>
              <w:autoSpaceDN w:val="0"/>
              <w:adjustRightInd w:val="0"/>
              <w:spacing w:after="0"/>
              <w:jc w:val="center"/>
              <w:rPr>
                <w:rFonts w:cs="Arial"/>
                <w:b/>
                <w:bCs/>
              </w:rPr>
            </w:pPr>
            <w:r w:rsidRPr="00730AA8">
              <w:rPr>
                <w:rFonts w:cs="Arial"/>
                <w:b/>
                <w:bCs/>
              </w:rPr>
              <w:t>1,301</w:t>
            </w:r>
          </w:p>
        </w:tc>
        <w:tc>
          <w:tcPr>
            <w:tcW w:w="1014" w:type="dxa"/>
            <w:shd w:val="clear" w:color="auto" w:fill="F2F2F2" w:themeFill="background1" w:themeFillShade="F2"/>
            <w:vAlign w:val="center"/>
          </w:tcPr>
          <w:p w14:paraId="722D9731" w14:textId="386128FE" w:rsidR="001C1151" w:rsidRPr="00730AA8" w:rsidRDefault="00163C4B" w:rsidP="00163C4B">
            <w:pPr>
              <w:autoSpaceDE w:val="0"/>
              <w:autoSpaceDN w:val="0"/>
              <w:adjustRightInd w:val="0"/>
              <w:spacing w:after="0"/>
              <w:jc w:val="center"/>
              <w:rPr>
                <w:rFonts w:cs="Arial"/>
                <w:b/>
                <w:bCs/>
              </w:rPr>
            </w:pPr>
            <w:r w:rsidRPr="00730AA8">
              <w:rPr>
                <w:rFonts w:cs="Arial"/>
                <w:b/>
                <w:bCs/>
              </w:rPr>
              <w:fldChar w:fldCharType="begin"/>
            </w:r>
            <w:r w:rsidRPr="00730AA8">
              <w:rPr>
                <w:rFonts w:cs="Arial"/>
                <w:b/>
                <w:bCs/>
              </w:rPr>
              <w:instrText xml:space="preserve"> =SUM(LEFT) </w:instrText>
            </w:r>
            <w:r w:rsidRPr="00730AA8">
              <w:rPr>
                <w:rFonts w:cs="Arial"/>
                <w:b/>
                <w:bCs/>
              </w:rPr>
              <w:fldChar w:fldCharType="separate"/>
            </w:r>
            <w:r w:rsidRPr="00730AA8">
              <w:rPr>
                <w:rFonts w:cs="Arial"/>
                <w:b/>
                <w:bCs/>
                <w:noProof/>
              </w:rPr>
              <w:t>2,969</w:t>
            </w:r>
            <w:r w:rsidRPr="00730AA8">
              <w:rPr>
                <w:rFonts w:cs="Arial"/>
                <w:b/>
                <w:bCs/>
              </w:rPr>
              <w:fldChar w:fldCharType="end"/>
            </w:r>
          </w:p>
        </w:tc>
        <w:tc>
          <w:tcPr>
            <w:tcW w:w="1014" w:type="dxa"/>
            <w:shd w:val="clear" w:color="auto" w:fill="F2F2F2" w:themeFill="background1" w:themeFillShade="F2"/>
            <w:vAlign w:val="center"/>
          </w:tcPr>
          <w:p w14:paraId="0C69BD25" w14:textId="38355C95" w:rsidR="001C1151" w:rsidRPr="00730AA8" w:rsidRDefault="001C1151" w:rsidP="00095D1D">
            <w:pPr>
              <w:autoSpaceDE w:val="0"/>
              <w:autoSpaceDN w:val="0"/>
              <w:adjustRightInd w:val="0"/>
              <w:spacing w:after="0"/>
              <w:jc w:val="center"/>
              <w:rPr>
                <w:rFonts w:cs="Arial"/>
                <w:b/>
                <w:bCs/>
              </w:rPr>
            </w:pPr>
            <w:r w:rsidRPr="00730AA8">
              <w:rPr>
                <w:rFonts w:cs="Arial"/>
                <w:b/>
                <w:bCs/>
              </w:rPr>
              <w:t>80.3%</w:t>
            </w:r>
          </w:p>
        </w:tc>
      </w:tr>
    </w:tbl>
    <w:p w14:paraId="337D87E3" w14:textId="1BD6C8C5" w:rsidR="001B27F9" w:rsidRDefault="001B27F9" w:rsidP="00635226">
      <w:pPr>
        <w:pStyle w:val="SectionSub-HeadingsTopics"/>
      </w:pPr>
      <w:bookmarkStart w:id="21" w:name="_Toc90632182"/>
      <w:r>
        <w:lastRenderedPageBreak/>
        <w:t>Employment Services</w:t>
      </w:r>
      <w:bookmarkEnd w:id="21"/>
    </w:p>
    <w:p w14:paraId="16FB5FE5" w14:textId="18FCBA78" w:rsidR="00845316" w:rsidRDefault="009969FC" w:rsidP="00845316">
      <w:r>
        <w:t xml:space="preserve">Survey participants were asked to rate their </w:t>
      </w:r>
      <w:r w:rsidR="00DD1B2A">
        <w:t>satisfaction with the</w:t>
      </w:r>
      <w:r w:rsidR="0049086E">
        <w:t>ir</w:t>
      </w:r>
      <w:r w:rsidR="00DD1B2A">
        <w:t xml:space="preserve"> employment services and </w:t>
      </w:r>
      <w:r w:rsidR="00990EF0">
        <w:t xml:space="preserve">goals </w:t>
      </w:r>
      <w:r w:rsidR="0049086E">
        <w:t xml:space="preserve">which are related to </w:t>
      </w:r>
      <w:r w:rsidR="00990EF0">
        <w:t xml:space="preserve">their </w:t>
      </w:r>
      <w:r w:rsidR="008D33E0">
        <w:t>Individualized Plan for Employment (IPE)</w:t>
      </w:r>
      <w:r w:rsidR="00990EF0">
        <w:t>.</w:t>
      </w:r>
      <w:r w:rsidR="008D33E0">
        <w:t xml:space="preserve"> </w:t>
      </w:r>
      <w:r w:rsidR="007746FE">
        <w:t>The CSS had four questions regarding employment services</w:t>
      </w:r>
      <w:r w:rsidR="00E759EC">
        <w:t>: setting employment goals, making the right connections</w:t>
      </w:r>
      <w:r w:rsidR="0049049D">
        <w:t xml:space="preserve"> to other agencies and </w:t>
      </w:r>
      <w:r w:rsidR="00AA2A15">
        <w:t>service providers</w:t>
      </w:r>
      <w:r w:rsidR="00E759EC">
        <w:t>, employment goal disagreements, and DOR</w:t>
      </w:r>
      <w:r w:rsidR="001C4F9E">
        <w:t>’s</w:t>
      </w:r>
      <w:r w:rsidR="00E759EC">
        <w:t xml:space="preserve"> appeal process. </w:t>
      </w:r>
      <w:r w:rsidR="00620768">
        <w:t xml:space="preserve">Ratings for each question are </w:t>
      </w:r>
      <w:r w:rsidR="00620768" w:rsidRPr="00B173A4">
        <w:t>listed below (Figur</w:t>
      </w:r>
      <w:r w:rsidR="00C51EA2" w:rsidRPr="00B173A4">
        <w:t>e 5</w:t>
      </w:r>
      <w:r w:rsidR="00620768" w:rsidRPr="00B173A4">
        <w:t>, Table</w:t>
      </w:r>
      <w:r w:rsidR="00C51EA2" w:rsidRPr="00B173A4">
        <w:t xml:space="preserve"> 8)</w:t>
      </w:r>
      <w:r w:rsidR="00620768" w:rsidRPr="00B173A4">
        <w:t>.</w:t>
      </w:r>
    </w:p>
    <w:p w14:paraId="692A7292" w14:textId="328A43B1" w:rsidR="004B6C1D" w:rsidRDefault="003B16E0" w:rsidP="0097333B">
      <w:r>
        <w:t>Employment services had an overall satisfaction score</w:t>
      </w:r>
      <w:r w:rsidR="00933BB5">
        <w:t xml:space="preserve"> of 77.4%</w:t>
      </w:r>
      <w:r w:rsidR="0097333B">
        <w:t xml:space="preserve">, </w:t>
      </w:r>
      <w:r>
        <w:t xml:space="preserve">which means </w:t>
      </w:r>
      <w:r w:rsidR="0097333B">
        <w:t>survey participants were satisfied with</w:t>
      </w:r>
      <w:r>
        <w:t xml:space="preserve"> this category. For</w:t>
      </w:r>
      <w:r w:rsidR="00C45EB8">
        <w:t xml:space="preserve"> this category</w:t>
      </w:r>
      <w:r>
        <w:t>, survey participants rated the</w:t>
      </w:r>
      <w:r w:rsidR="00C45EB8">
        <w:t xml:space="preserve"> </w:t>
      </w:r>
      <w:r>
        <w:t>c</w:t>
      </w:r>
      <w:r w:rsidR="00897CAE">
        <w:t xml:space="preserve">onnections made by their DOR team </w:t>
      </w:r>
      <w:r>
        <w:t>highest (</w:t>
      </w:r>
      <w:r w:rsidR="00AD7802">
        <w:t>80.6%, satisfi</w:t>
      </w:r>
      <w:r w:rsidR="00D9642C">
        <w:t>ed</w:t>
      </w:r>
      <w:r w:rsidR="00897CAE">
        <w:t>)</w:t>
      </w:r>
      <w:r w:rsidR="00AD7802">
        <w:t>, followed by employment goal setting (77.3%, satisfied), DOR appeal process (75.9%, satisfied), and employment goal disagreements (75.8%).</w:t>
      </w:r>
      <w:r w:rsidR="00247D7B">
        <w:t xml:space="preserve"> These positive results are consistent with the</w:t>
      </w:r>
      <w:r w:rsidR="00A0281B">
        <w:t xml:space="preserve"> high</w:t>
      </w:r>
      <w:r w:rsidR="00247D7B">
        <w:t xml:space="preserve"> ratings </w:t>
      </w:r>
      <w:r w:rsidR="00A0281B">
        <w:t>participants</w:t>
      </w:r>
      <w:r w:rsidR="00FA1DC1">
        <w:t xml:space="preserve"> also</w:t>
      </w:r>
      <w:r w:rsidR="00A0281B">
        <w:t xml:space="preserve"> gave their DOR counselors and </w:t>
      </w:r>
      <w:r w:rsidR="00FA1DC1">
        <w:t>service providers.</w:t>
      </w:r>
    </w:p>
    <w:p w14:paraId="4885049C" w14:textId="50801818" w:rsidR="00462C3A" w:rsidRDefault="00462C3A" w:rsidP="00963B0B">
      <w:pPr>
        <w:pStyle w:val="FigureTitle"/>
        <w:spacing w:after="240"/>
      </w:pPr>
      <w:r>
        <w:t>Satisfaction Ratings for Employment Services</w:t>
      </w:r>
    </w:p>
    <w:p w14:paraId="77E490BD" w14:textId="18858FF0" w:rsidR="00462C3A" w:rsidRDefault="00462C3A" w:rsidP="00163C4B">
      <w:pPr>
        <w:jc w:val="center"/>
      </w:pPr>
      <w:r w:rsidRPr="00FC2750">
        <w:rPr>
          <w:noProof/>
        </w:rPr>
        <w:drawing>
          <wp:inline distT="0" distB="0" distL="0" distR="0" wp14:anchorId="7140FB3E" wp14:editId="755A204C">
            <wp:extent cx="6858000" cy="3370521"/>
            <wp:effectExtent l="0" t="0" r="0" b="1905"/>
            <wp:docPr id="17" name="Chart 17" descr="Figure 5 Description:  Satisfaction ratings of CSS questions related to employment services are illustrated as a diverging bar chart. Ratings were considered satisfied (5-7, blues), neutral (4, light gray), and not satisfied (1-3, dark grays). Figure data are listed below in table format (Table 8).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6164337" w14:textId="09F1CE88" w:rsidR="006B2852" w:rsidRDefault="006B2852" w:rsidP="00825CC7">
      <w:pPr>
        <w:pStyle w:val="FigureFootnotes"/>
      </w:pPr>
      <w:r>
        <w:t xml:space="preserve">Satisfaction ratings of CSS questions related to employment services are illustrated as a diverging bar chart. Ratings were considered satisfied (5-7, blues), neutral (4, light gray), and not satisfied (1-3, dark grays). </w:t>
      </w:r>
      <w:r w:rsidR="00843311">
        <w:t xml:space="preserve">Figure data are listed below in table format </w:t>
      </w:r>
      <w:r w:rsidR="00843311" w:rsidRPr="00E57643">
        <w:t>(</w:t>
      </w:r>
      <w:r w:rsidR="00843311" w:rsidRPr="00943E9E">
        <w:t>Table</w:t>
      </w:r>
      <w:r w:rsidR="00843311" w:rsidRPr="00E57643">
        <w:t xml:space="preserve"> </w:t>
      </w:r>
      <w:r w:rsidR="00163C4B" w:rsidRPr="00E57643">
        <w:t>8</w:t>
      </w:r>
      <w:r w:rsidR="00843311" w:rsidRPr="00E57643">
        <w:t>).</w:t>
      </w:r>
      <w:r>
        <w:t xml:space="preserve"> </w:t>
      </w:r>
    </w:p>
    <w:p w14:paraId="256B02A4" w14:textId="1D73C164" w:rsidR="00825CC7" w:rsidRDefault="00825CC7" w:rsidP="00825CC7">
      <w:pPr>
        <w:pStyle w:val="TableTitle"/>
      </w:pPr>
      <w:r>
        <w:lastRenderedPageBreak/>
        <w:t>Satisfaction Ratings for Employment Services</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20" w:firstRow="1" w:lastRow="0" w:firstColumn="0" w:lastColumn="0" w:noHBand="0" w:noVBand="0"/>
      </w:tblPr>
      <w:tblGrid>
        <w:gridCol w:w="3516"/>
        <w:gridCol w:w="684"/>
        <w:gridCol w:w="684"/>
        <w:gridCol w:w="684"/>
        <w:gridCol w:w="684"/>
        <w:gridCol w:w="684"/>
        <w:gridCol w:w="684"/>
        <w:gridCol w:w="917"/>
        <w:gridCol w:w="917"/>
        <w:gridCol w:w="1010"/>
      </w:tblGrid>
      <w:tr w:rsidR="004C5D37" w:rsidRPr="00E759EC" w14:paraId="21328F27" w14:textId="77777777" w:rsidTr="004C5D37">
        <w:trPr>
          <w:trHeight w:val="430"/>
          <w:jc w:val="center"/>
        </w:trPr>
        <w:tc>
          <w:tcPr>
            <w:tcW w:w="0" w:type="auto"/>
            <w:shd w:val="clear" w:color="auto" w:fill="00407B" w:themeFill="accent1" w:themeFillShade="BF"/>
            <w:vAlign w:val="center"/>
          </w:tcPr>
          <w:p w14:paraId="2AB95202" w14:textId="5671241A" w:rsidR="00935434" w:rsidRPr="00CE54CF" w:rsidRDefault="00935434" w:rsidP="00095D1D">
            <w:pPr>
              <w:autoSpaceDE w:val="0"/>
              <w:autoSpaceDN w:val="0"/>
              <w:adjustRightInd w:val="0"/>
              <w:spacing w:after="0"/>
              <w:rPr>
                <w:rFonts w:cs="Arial"/>
                <w:b/>
                <w:bCs/>
                <w:color w:val="FFFFFF" w:themeColor="background1"/>
                <w:vertAlign w:val="superscript"/>
              </w:rPr>
            </w:pPr>
            <w:r>
              <w:rPr>
                <w:rFonts w:cs="Arial"/>
                <w:b/>
                <w:bCs/>
                <w:color w:val="FFFFFF" w:themeColor="background1"/>
              </w:rPr>
              <w:t>Employment Services</w:t>
            </w:r>
          </w:p>
          <w:p w14:paraId="15510CD2" w14:textId="030EAE89" w:rsidR="00CE54CF" w:rsidRPr="00CE54CF" w:rsidRDefault="00C54E0E" w:rsidP="00095D1D">
            <w:pPr>
              <w:autoSpaceDE w:val="0"/>
              <w:autoSpaceDN w:val="0"/>
              <w:adjustRightInd w:val="0"/>
              <w:spacing w:after="0"/>
              <w:rPr>
                <w:rFonts w:cs="Arial"/>
                <w:color w:val="FFFFFF" w:themeColor="background1"/>
              </w:rPr>
            </w:pPr>
            <w:r w:rsidRPr="00C54E0E">
              <w:rPr>
                <w:rFonts w:cs="Arial"/>
                <w:b/>
                <w:bCs/>
                <w:color w:val="FFFFFF" w:themeColor="background1"/>
              </w:rPr>
              <w:t xml:space="preserve">Ratings </w:t>
            </w:r>
            <w:r w:rsidR="00CE54CF" w:rsidRPr="00CE54CF">
              <w:rPr>
                <w:rFonts w:cs="Arial"/>
                <w:color w:val="FFFFFF" w:themeColor="background1"/>
              </w:rPr>
              <w:t>(Count)</w:t>
            </w:r>
          </w:p>
        </w:tc>
        <w:tc>
          <w:tcPr>
            <w:tcW w:w="0" w:type="auto"/>
            <w:shd w:val="clear" w:color="auto" w:fill="00407B" w:themeFill="accent1" w:themeFillShade="BF"/>
            <w:vAlign w:val="center"/>
          </w:tcPr>
          <w:p w14:paraId="61659374"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1</w:t>
            </w:r>
          </w:p>
        </w:tc>
        <w:tc>
          <w:tcPr>
            <w:tcW w:w="0" w:type="auto"/>
            <w:shd w:val="clear" w:color="auto" w:fill="00407B" w:themeFill="accent1" w:themeFillShade="BF"/>
            <w:vAlign w:val="center"/>
          </w:tcPr>
          <w:p w14:paraId="10D6A7B4"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2</w:t>
            </w:r>
          </w:p>
        </w:tc>
        <w:tc>
          <w:tcPr>
            <w:tcW w:w="0" w:type="auto"/>
            <w:shd w:val="clear" w:color="auto" w:fill="00407B" w:themeFill="accent1" w:themeFillShade="BF"/>
            <w:vAlign w:val="center"/>
          </w:tcPr>
          <w:p w14:paraId="15EC60B6"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3</w:t>
            </w:r>
          </w:p>
        </w:tc>
        <w:tc>
          <w:tcPr>
            <w:tcW w:w="0" w:type="auto"/>
            <w:shd w:val="clear" w:color="auto" w:fill="00407B" w:themeFill="accent1" w:themeFillShade="BF"/>
            <w:vAlign w:val="center"/>
          </w:tcPr>
          <w:p w14:paraId="2846E210"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4</w:t>
            </w:r>
          </w:p>
        </w:tc>
        <w:tc>
          <w:tcPr>
            <w:tcW w:w="0" w:type="auto"/>
            <w:shd w:val="clear" w:color="auto" w:fill="00407B" w:themeFill="accent1" w:themeFillShade="BF"/>
            <w:vAlign w:val="center"/>
          </w:tcPr>
          <w:p w14:paraId="425B3F47"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5</w:t>
            </w:r>
          </w:p>
        </w:tc>
        <w:tc>
          <w:tcPr>
            <w:tcW w:w="0" w:type="auto"/>
            <w:shd w:val="clear" w:color="auto" w:fill="00407B" w:themeFill="accent1" w:themeFillShade="BF"/>
            <w:vAlign w:val="center"/>
          </w:tcPr>
          <w:p w14:paraId="41975ADD"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6</w:t>
            </w:r>
          </w:p>
        </w:tc>
        <w:tc>
          <w:tcPr>
            <w:tcW w:w="0" w:type="auto"/>
            <w:shd w:val="clear" w:color="auto" w:fill="00407B" w:themeFill="accent1" w:themeFillShade="BF"/>
            <w:vAlign w:val="center"/>
          </w:tcPr>
          <w:p w14:paraId="6685A27B" w14:textId="77777777" w:rsidR="00935434" w:rsidRPr="00E759EC" w:rsidRDefault="00935434" w:rsidP="00095D1D">
            <w:pPr>
              <w:autoSpaceDE w:val="0"/>
              <w:autoSpaceDN w:val="0"/>
              <w:adjustRightInd w:val="0"/>
              <w:spacing w:after="0"/>
              <w:jc w:val="center"/>
              <w:rPr>
                <w:rFonts w:cs="Arial"/>
                <w:b/>
                <w:bCs/>
                <w:color w:val="FFFFFF" w:themeColor="background1"/>
              </w:rPr>
            </w:pPr>
            <w:r w:rsidRPr="00E759EC">
              <w:rPr>
                <w:rFonts w:cs="Arial"/>
                <w:b/>
                <w:bCs/>
                <w:color w:val="FFFFFF" w:themeColor="background1"/>
              </w:rPr>
              <w:t>7</w:t>
            </w:r>
          </w:p>
        </w:tc>
        <w:tc>
          <w:tcPr>
            <w:tcW w:w="0" w:type="auto"/>
            <w:shd w:val="clear" w:color="auto" w:fill="00407B" w:themeFill="accent1" w:themeFillShade="BF"/>
            <w:vAlign w:val="center"/>
          </w:tcPr>
          <w:p w14:paraId="0B01F35E" w14:textId="2822EE8A" w:rsidR="00935434" w:rsidRPr="00E759EC" w:rsidRDefault="00935434" w:rsidP="00935434">
            <w:pPr>
              <w:autoSpaceDE w:val="0"/>
              <w:autoSpaceDN w:val="0"/>
              <w:adjustRightInd w:val="0"/>
              <w:spacing w:after="0"/>
              <w:jc w:val="center"/>
              <w:rPr>
                <w:rFonts w:cs="Arial"/>
                <w:b/>
                <w:bCs/>
                <w:color w:val="FFFFFF" w:themeColor="background1"/>
              </w:rPr>
            </w:pPr>
            <w:r>
              <w:rPr>
                <w:rFonts w:cs="Arial"/>
                <w:b/>
                <w:bCs/>
                <w:color w:val="FFFFFF" w:themeColor="background1"/>
              </w:rPr>
              <w:t>Total</w:t>
            </w:r>
          </w:p>
        </w:tc>
        <w:tc>
          <w:tcPr>
            <w:tcW w:w="0" w:type="auto"/>
            <w:shd w:val="clear" w:color="auto" w:fill="00407B" w:themeFill="accent1" w:themeFillShade="BF"/>
            <w:vAlign w:val="center"/>
          </w:tcPr>
          <w:p w14:paraId="2FB72C7D" w14:textId="18B442BE" w:rsidR="00935434" w:rsidRPr="00E759EC" w:rsidRDefault="00935434" w:rsidP="00095D1D">
            <w:pPr>
              <w:autoSpaceDE w:val="0"/>
              <w:autoSpaceDN w:val="0"/>
              <w:adjustRightInd w:val="0"/>
              <w:spacing w:after="0"/>
              <w:jc w:val="center"/>
              <w:rPr>
                <w:rFonts w:cs="Arial"/>
                <w:b/>
                <w:bCs/>
                <w:color w:val="FFFFFF" w:themeColor="background1"/>
                <w:vertAlign w:val="superscript"/>
              </w:rPr>
            </w:pPr>
            <w:r w:rsidRPr="00E759EC">
              <w:rPr>
                <w:rFonts w:cs="Arial"/>
                <w:b/>
                <w:bCs/>
                <w:color w:val="FFFFFF" w:themeColor="background1"/>
              </w:rPr>
              <w:t>Score</w:t>
            </w:r>
          </w:p>
        </w:tc>
      </w:tr>
      <w:tr w:rsidR="004C5D37" w:rsidRPr="00325509" w14:paraId="2EA2E1EA" w14:textId="77777777" w:rsidTr="004C5D37">
        <w:trPr>
          <w:trHeight w:val="278"/>
          <w:jc w:val="center"/>
        </w:trPr>
        <w:tc>
          <w:tcPr>
            <w:tcW w:w="0" w:type="auto"/>
            <w:shd w:val="clear" w:color="auto" w:fill="auto"/>
            <w:vAlign w:val="center"/>
          </w:tcPr>
          <w:p w14:paraId="2BAA998B" w14:textId="5795FFB8" w:rsidR="00935434" w:rsidRPr="00325509" w:rsidRDefault="00935434" w:rsidP="00095D1D">
            <w:pPr>
              <w:autoSpaceDE w:val="0"/>
              <w:autoSpaceDN w:val="0"/>
              <w:adjustRightInd w:val="0"/>
              <w:spacing w:after="0"/>
              <w:rPr>
                <w:rFonts w:cs="Arial"/>
                <w:color w:val="000000"/>
              </w:rPr>
            </w:pPr>
            <w:r w:rsidRPr="00325509">
              <w:rPr>
                <w:rFonts w:cs="Arial"/>
                <w:color w:val="000000"/>
              </w:rPr>
              <w:t>Setting Goals</w:t>
            </w:r>
          </w:p>
        </w:tc>
        <w:tc>
          <w:tcPr>
            <w:tcW w:w="0" w:type="auto"/>
            <w:shd w:val="clear" w:color="auto" w:fill="auto"/>
            <w:vAlign w:val="center"/>
          </w:tcPr>
          <w:p w14:paraId="4AD1432F"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78</w:t>
            </w:r>
          </w:p>
        </w:tc>
        <w:tc>
          <w:tcPr>
            <w:tcW w:w="0" w:type="auto"/>
            <w:shd w:val="clear" w:color="auto" w:fill="auto"/>
            <w:vAlign w:val="center"/>
          </w:tcPr>
          <w:p w14:paraId="590B4C2C"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26</w:t>
            </w:r>
          </w:p>
        </w:tc>
        <w:tc>
          <w:tcPr>
            <w:tcW w:w="0" w:type="auto"/>
            <w:shd w:val="clear" w:color="auto" w:fill="auto"/>
            <w:vAlign w:val="center"/>
          </w:tcPr>
          <w:p w14:paraId="2176159E"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34</w:t>
            </w:r>
          </w:p>
        </w:tc>
        <w:tc>
          <w:tcPr>
            <w:tcW w:w="0" w:type="auto"/>
            <w:shd w:val="clear" w:color="auto" w:fill="auto"/>
            <w:vAlign w:val="center"/>
          </w:tcPr>
          <w:p w14:paraId="4A281BE0"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45</w:t>
            </w:r>
          </w:p>
        </w:tc>
        <w:tc>
          <w:tcPr>
            <w:tcW w:w="0" w:type="auto"/>
            <w:shd w:val="clear" w:color="auto" w:fill="auto"/>
            <w:vAlign w:val="center"/>
          </w:tcPr>
          <w:p w14:paraId="7FC2332B"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92</w:t>
            </w:r>
          </w:p>
        </w:tc>
        <w:tc>
          <w:tcPr>
            <w:tcW w:w="0" w:type="auto"/>
            <w:shd w:val="clear" w:color="auto" w:fill="auto"/>
            <w:vAlign w:val="center"/>
          </w:tcPr>
          <w:p w14:paraId="5831EDCF"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131</w:t>
            </w:r>
          </w:p>
        </w:tc>
        <w:tc>
          <w:tcPr>
            <w:tcW w:w="0" w:type="auto"/>
            <w:shd w:val="clear" w:color="auto" w:fill="auto"/>
            <w:vAlign w:val="center"/>
          </w:tcPr>
          <w:p w14:paraId="0E7CFB57"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338</w:t>
            </w:r>
          </w:p>
        </w:tc>
        <w:tc>
          <w:tcPr>
            <w:tcW w:w="0" w:type="auto"/>
            <w:shd w:val="clear" w:color="auto" w:fill="auto"/>
            <w:vAlign w:val="center"/>
          </w:tcPr>
          <w:p w14:paraId="3FCF78D8" w14:textId="2964FDC9" w:rsidR="00935434" w:rsidRDefault="00FC2750" w:rsidP="00FC2750">
            <w:pPr>
              <w:autoSpaceDE w:val="0"/>
              <w:autoSpaceDN w:val="0"/>
              <w:adjustRightInd w:val="0"/>
              <w:spacing w:after="0"/>
              <w:jc w:val="center"/>
              <w:rPr>
                <w:rFonts w:cs="Arial"/>
                <w:color w:val="000000"/>
              </w:rPr>
            </w:pPr>
            <w:r>
              <w:rPr>
                <w:rFonts w:cs="Arial"/>
                <w:color w:val="000000"/>
              </w:rPr>
              <w:fldChar w:fldCharType="begin"/>
            </w:r>
            <w:r>
              <w:rPr>
                <w:rFonts w:cs="Arial"/>
                <w:color w:val="000000"/>
              </w:rPr>
              <w:instrText xml:space="preserve"> =SUM(LEFT) </w:instrText>
            </w:r>
            <w:r>
              <w:rPr>
                <w:rFonts w:cs="Arial"/>
                <w:color w:val="000000"/>
              </w:rPr>
              <w:fldChar w:fldCharType="separate"/>
            </w:r>
            <w:r>
              <w:rPr>
                <w:rFonts w:cs="Arial"/>
                <w:noProof/>
                <w:color w:val="000000"/>
              </w:rPr>
              <w:t>744</w:t>
            </w:r>
            <w:r>
              <w:rPr>
                <w:rFonts w:cs="Arial"/>
                <w:color w:val="000000"/>
              </w:rPr>
              <w:fldChar w:fldCharType="end"/>
            </w:r>
          </w:p>
        </w:tc>
        <w:tc>
          <w:tcPr>
            <w:tcW w:w="0" w:type="auto"/>
            <w:shd w:val="clear" w:color="auto" w:fill="auto"/>
            <w:vAlign w:val="center"/>
          </w:tcPr>
          <w:p w14:paraId="6BC2E39D" w14:textId="7AFFBBAB" w:rsidR="00935434" w:rsidRPr="00325509" w:rsidRDefault="00935434" w:rsidP="00095D1D">
            <w:pPr>
              <w:autoSpaceDE w:val="0"/>
              <w:autoSpaceDN w:val="0"/>
              <w:adjustRightInd w:val="0"/>
              <w:spacing w:after="0"/>
              <w:jc w:val="center"/>
              <w:rPr>
                <w:rFonts w:cs="Arial"/>
                <w:color w:val="000000"/>
              </w:rPr>
            </w:pPr>
            <w:r>
              <w:rPr>
                <w:rFonts w:cs="Arial"/>
                <w:color w:val="000000"/>
              </w:rPr>
              <w:t>77.3%</w:t>
            </w:r>
          </w:p>
        </w:tc>
      </w:tr>
      <w:tr w:rsidR="004C5D37" w:rsidRPr="00325509" w14:paraId="0613F004" w14:textId="77777777" w:rsidTr="004C5D37">
        <w:trPr>
          <w:trHeight w:val="278"/>
          <w:jc w:val="center"/>
        </w:trPr>
        <w:tc>
          <w:tcPr>
            <w:tcW w:w="0" w:type="auto"/>
            <w:shd w:val="clear" w:color="auto" w:fill="auto"/>
            <w:vAlign w:val="center"/>
          </w:tcPr>
          <w:p w14:paraId="39C1ACCB" w14:textId="5C2E8A0A" w:rsidR="00935434" w:rsidRPr="003E2EF5" w:rsidRDefault="00013CE2" w:rsidP="00095D1D">
            <w:pPr>
              <w:autoSpaceDE w:val="0"/>
              <w:autoSpaceDN w:val="0"/>
              <w:adjustRightInd w:val="0"/>
              <w:spacing w:after="0"/>
              <w:rPr>
                <w:rFonts w:cs="Arial"/>
                <w:color w:val="000000"/>
              </w:rPr>
            </w:pPr>
            <w:r w:rsidRPr="003E2EF5">
              <w:t>Agency/Prov. Connections</w:t>
            </w:r>
          </w:p>
        </w:tc>
        <w:tc>
          <w:tcPr>
            <w:tcW w:w="0" w:type="auto"/>
            <w:shd w:val="clear" w:color="auto" w:fill="auto"/>
            <w:vAlign w:val="center"/>
          </w:tcPr>
          <w:p w14:paraId="560EB8F8"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97</w:t>
            </w:r>
          </w:p>
        </w:tc>
        <w:tc>
          <w:tcPr>
            <w:tcW w:w="0" w:type="auto"/>
            <w:shd w:val="clear" w:color="auto" w:fill="auto"/>
            <w:vAlign w:val="center"/>
          </w:tcPr>
          <w:p w14:paraId="0DDAD80A"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28</w:t>
            </w:r>
          </w:p>
        </w:tc>
        <w:tc>
          <w:tcPr>
            <w:tcW w:w="0" w:type="auto"/>
            <w:shd w:val="clear" w:color="auto" w:fill="auto"/>
            <w:vAlign w:val="center"/>
          </w:tcPr>
          <w:p w14:paraId="1F9EB839"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31</w:t>
            </w:r>
          </w:p>
        </w:tc>
        <w:tc>
          <w:tcPr>
            <w:tcW w:w="0" w:type="auto"/>
            <w:shd w:val="clear" w:color="auto" w:fill="auto"/>
            <w:vAlign w:val="center"/>
          </w:tcPr>
          <w:p w14:paraId="270E2C37"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39</w:t>
            </w:r>
          </w:p>
        </w:tc>
        <w:tc>
          <w:tcPr>
            <w:tcW w:w="0" w:type="auto"/>
            <w:shd w:val="clear" w:color="auto" w:fill="auto"/>
            <w:vAlign w:val="center"/>
          </w:tcPr>
          <w:p w14:paraId="65C2F4B9"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78</w:t>
            </w:r>
          </w:p>
        </w:tc>
        <w:tc>
          <w:tcPr>
            <w:tcW w:w="0" w:type="auto"/>
            <w:shd w:val="clear" w:color="auto" w:fill="auto"/>
            <w:vAlign w:val="center"/>
          </w:tcPr>
          <w:p w14:paraId="033346A3"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113</w:t>
            </w:r>
          </w:p>
        </w:tc>
        <w:tc>
          <w:tcPr>
            <w:tcW w:w="0" w:type="auto"/>
            <w:shd w:val="clear" w:color="auto" w:fill="auto"/>
            <w:vAlign w:val="center"/>
          </w:tcPr>
          <w:p w14:paraId="61297E21"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341</w:t>
            </w:r>
          </w:p>
        </w:tc>
        <w:tc>
          <w:tcPr>
            <w:tcW w:w="0" w:type="auto"/>
            <w:shd w:val="clear" w:color="auto" w:fill="auto"/>
            <w:vAlign w:val="center"/>
          </w:tcPr>
          <w:p w14:paraId="5622A3F7" w14:textId="6A450963" w:rsidR="00935434" w:rsidRDefault="00FC2750" w:rsidP="00FC2750">
            <w:pPr>
              <w:autoSpaceDE w:val="0"/>
              <w:autoSpaceDN w:val="0"/>
              <w:adjustRightInd w:val="0"/>
              <w:spacing w:after="0"/>
              <w:jc w:val="center"/>
              <w:rPr>
                <w:rFonts w:cs="Arial"/>
                <w:color w:val="000000"/>
              </w:rPr>
            </w:pPr>
            <w:r>
              <w:rPr>
                <w:rFonts w:cs="Arial"/>
                <w:color w:val="000000"/>
              </w:rPr>
              <w:fldChar w:fldCharType="begin"/>
            </w:r>
            <w:r>
              <w:rPr>
                <w:rFonts w:cs="Arial"/>
                <w:color w:val="000000"/>
              </w:rPr>
              <w:instrText xml:space="preserve"> =SUM(LEFT) </w:instrText>
            </w:r>
            <w:r>
              <w:rPr>
                <w:rFonts w:cs="Arial"/>
                <w:color w:val="000000"/>
              </w:rPr>
              <w:fldChar w:fldCharType="separate"/>
            </w:r>
            <w:r>
              <w:rPr>
                <w:rFonts w:cs="Arial"/>
                <w:noProof/>
                <w:color w:val="000000"/>
              </w:rPr>
              <w:t>727</w:t>
            </w:r>
            <w:r>
              <w:rPr>
                <w:rFonts w:cs="Arial"/>
                <w:color w:val="000000"/>
              </w:rPr>
              <w:fldChar w:fldCharType="end"/>
            </w:r>
          </w:p>
        </w:tc>
        <w:tc>
          <w:tcPr>
            <w:tcW w:w="0" w:type="auto"/>
            <w:shd w:val="clear" w:color="auto" w:fill="auto"/>
            <w:vAlign w:val="center"/>
          </w:tcPr>
          <w:p w14:paraId="0FD8AA8F" w14:textId="613BC5BE" w:rsidR="00935434" w:rsidRPr="00325509" w:rsidRDefault="004C5D37" w:rsidP="00095D1D">
            <w:pPr>
              <w:autoSpaceDE w:val="0"/>
              <w:autoSpaceDN w:val="0"/>
              <w:adjustRightInd w:val="0"/>
              <w:spacing w:after="0"/>
              <w:jc w:val="center"/>
              <w:rPr>
                <w:rFonts w:cs="Arial"/>
                <w:color w:val="000000"/>
              </w:rPr>
            </w:pPr>
            <w:r>
              <w:rPr>
                <w:rFonts w:cs="Arial"/>
                <w:color w:val="000000"/>
              </w:rPr>
              <w:t>75.</w:t>
            </w:r>
            <w:r w:rsidR="00935434">
              <w:rPr>
                <w:rFonts w:cs="Arial"/>
                <w:color w:val="000000"/>
              </w:rPr>
              <w:t>8%</w:t>
            </w:r>
          </w:p>
        </w:tc>
      </w:tr>
      <w:tr w:rsidR="004C5D37" w:rsidRPr="00325509" w14:paraId="69167293" w14:textId="77777777" w:rsidTr="004C5D37">
        <w:trPr>
          <w:trHeight w:val="278"/>
          <w:jc w:val="center"/>
        </w:trPr>
        <w:tc>
          <w:tcPr>
            <w:tcW w:w="0" w:type="auto"/>
            <w:shd w:val="clear" w:color="auto" w:fill="auto"/>
            <w:vAlign w:val="center"/>
          </w:tcPr>
          <w:p w14:paraId="45EB888B" w14:textId="523D043E" w:rsidR="00935434" w:rsidRPr="00325509" w:rsidRDefault="00935434" w:rsidP="00095D1D">
            <w:pPr>
              <w:autoSpaceDE w:val="0"/>
              <w:autoSpaceDN w:val="0"/>
              <w:adjustRightInd w:val="0"/>
              <w:spacing w:after="0"/>
              <w:rPr>
                <w:rFonts w:cs="Arial"/>
                <w:color w:val="000000"/>
              </w:rPr>
            </w:pPr>
            <w:r w:rsidRPr="00325509">
              <w:rPr>
                <w:rFonts w:cs="Arial"/>
                <w:color w:val="000000"/>
              </w:rPr>
              <w:t>Goal Disagreements</w:t>
            </w:r>
          </w:p>
        </w:tc>
        <w:tc>
          <w:tcPr>
            <w:tcW w:w="0" w:type="auto"/>
            <w:shd w:val="clear" w:color="auto" w:fill="auto"/>
            <w:vAlign w:val="center"/>
          </w:tcPr>
          <w:p w14:paraId="77E21416"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58</w:t>
            </w:r>
          </w:p>
        </w:tc>
        <w:tc>
          <w:tcPr>
            <w:tcW w:w="0" w:type="auto"/>
            <w:shd w:val="clear" w:color="auto" w:fill="auto"/>
            <w:vAlign w:val="center"/>
          </w:tcPr>
          <w:p w14:paraId="372976CB"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21</w:t>
            </w:r>
          </w:p>
        </w:tc>
        <w:tc>
          <w:tcPr>
            <w:tcW w:w="0" w:type="auto"/>
            <w:shd w:val="clear" w:color="auto" w:fill="auto"/>
            <w:vAlign w:val="center"/>
          </w:tcPr>
          <w:p w14:paraId="4CBF2BAD"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22</w:t>
            </w:r>
          </w:p>
        </w:tc>
        <w:tc>
          <w:tcPr>
            <w:tcW w:w="0" w:type="auto"/>
            <w:shd w:val="clear" w:color="auto" w:fill="auto"/>
            <w:vAlign w:val="center"/>
          </w:tcPr>
          <w:p w14:paraId="5CFB7532"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51</w:t>
            </w:r>
          </w:p>
        </w:tc>
        <w:tc>
          <w:tcPr>
            <w:tcW w:w="0" w:type="auto"/>
            <w:shd w:val="clear" w:color="auto" w:fill="auto"/>
            <w:vAlign w:val="center"/>
          </w:tcPr>
          <w:p w14:paraId="35CBE7D7"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76</w:t>
            </w:r>
          </w:p>
        </w:tc>
        <w:tc>
          <w:tcPr>
            <w:tcW w:w="0" w:type="auto"/>
            <w:shd w:val="clear" w:color="auto" w:fill="auto"/>
            <w:vAlign w:val="center"/>
          </w:tcPr>
          <w:p w14:paraId="6A89F36D"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132</w:t>
            </w:r>
          </w:p>
        </w:tc>
        <w:tc>
          <w:tcPr>
            <w:tcW w:w="0" w:type="auto"/>
            <w:shd w:val="clear" w:color="auto" w:fill="auto"/>
            <w:vAlign w:val="center"/>
          </w:tcPr>
          <w:p w14:paraId="494C9203"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360</w:t>
            </w:r>
          </w:p>
        </w:tc>
        <w:tc>
          <w:tcPr>
            <w:tcW w:w="0" w:type="auto"/>
            <w:shd w:val="clear" w:color="auto" w:fill="auto"/>
            <w:vAlign w:val="center"/>
          </w:tcPr>
          <w:p w14:paraId="27D0561A" w14:textId="298DD8DB" w:rsidR="00935434" w:rsidRDefault="00FC2750" w:rsidP="00FC2750">
            <w:pPr>
              <w:autoSpaceDE w:val="0"/>
              <w:autoSpaceDN w:val="0"/>
              <w:adjustRightInd w:val="0"/>
              <w:spacing w:after="0"/>
              <w:jc w:val="center"/>
              <w:rPr>
                <w:rFonts w:cs="Arial"/>
                <w:color w:val="000000"/>
              </w:rPr>
            </w:pPr>
            <w:r>
              <w:rPr>
                <w:rFonts w:cs="Arial"/>
                <w:color w:val="000000"/>
              </w:rPr>
              <w:fldChar w:fldCharType="begin"/>
            </w:r>
            <w:r>
              <w:rPr>
                <w:rFonts w:cs="Arial"/>
                <w:color w:val="000000"/>
              </w:rPr>
              <w:instrText xml:space="preserve"> =SUM(LEFT) </w:instrText>
            </w:r>
            <w:r>
              <w:rPr>
                <w:rFonts w:cs="Arial"/>
                <w:color w:val="000000"/>
              </w:rPr>
              <w:fldChar w:fldCharType="separate"/>
            </w:r>
            <w:r>
              <w:rPr>
                <w:rFonts w:cs="Arial"/>
                <w:noProof/>
                <w:color w:val="000000"/>
              </w:rPr>
              <w:t>720</w:t>
            </w:r>
            <w:r>
              <w:rPr>
                <w:rFonts w:cs="Arial"/>
                <w:color w:val="000000"/>
              </w:rPr>
              <w:fldChar w:fldCharType="end"/>
            </w:r>
          </w:p>
        </w:tc>
        <w:tc>
          <w:tcPr>
            <w:tcW w:w="0" w:type="auto"/>
            <w:shd w:val="clear" w:color="auto" w:fill="auto"/>
            <w:vAlign w:val="center"/>
          </w:tcPr>
          <w:p w14:paraId="198A48C5" w14:textId="072A2AB8" w:rsidR="00935434" w:rsidRPr="00325509" w:rsidRDefault="00935434" w:rsidP="00095D1D">
            <w:pPr>
              <w:autoSpaceDE w:val="0"/>
              <w:autoSpaceDN w:val="0"/>
              <w:adjustRightInd w:val="0"/>
              <w:spacing w:after="0"/>
              <w:jc w:val="center"/>
              <w:rPr>
                <w:rFonts w:cs="Arial"/>
                <w:color w:val="000000"/>
              </w:rPr>
            </w:pPr>
            <w:r>
              <w:rPr>
                <w:rFonts w:cs="Arial"/>
                <w:color w:val="000000"/>
              </w:rPr>
              <w:t>8</w:t>
            </w:r>
            <w:r w:rsidR="004C5D37">
              <w:rPr>
                <w:rFonts w:cs="Arial"/>
                <w:color w:val="000000"/>
              </w:rPr>
              <w:t>0.6</w:t>
            </w:r>
            <w:r>
              <w:rPr>
                <w:rFonts w:cs="Arial"/>
                <w:color w:val="000000"/>
              </w:rPr>
              <w:t>%</w:t>
            </w:r>
          </w:p>
        </w:tc>
      </w:tr>
      <w:tr w:rsidR="004C5D37" w:rsidRPr="00325509" w14:paraId="0565E4CA" w14:textId="77777777" w:rsidTr="004C5D37">
        <w:trPr>
          <w:trHeight w:val="278"/>
          <w:jc w:val="center"/>
        </w:trPr>
        <w:tc>
          <w:tcPr>
            <w:tcW w:w="0" w:type="auto"/>
            <w:shd w:val="clear" w:color="auto" w:fill="auto"/>
            <w:vAlign w:val="center"/>
          </w:tcPr>
          <w:p w14:paraId="1D365668" w14:textId="354967DA" w:rsidR="00935434" w:rsidRPr="00325509" w:rsidRDefault="00935434" w:rsidP="00095D1D">
            <w:pPr>
              <w:autoSpaceDE w:val="0"/>
              <w:autoSpaceDN w:val="0"/>
              <w:adjustRightInd w:val="0"/>
              <w:spacing w:after="0"/>
              <w:rPr>
                <w:rFonts w:cs="Arial"/>
                <w:color w:val="000000"/>
              </w:rPr>
            </w:pPr>
            <w:r w:rsidRPr="00325509">
              <w:rPr>
                <w:rFonts w:cs="Arial"/>
                <w:color w:val="000000"/>
              </w:rPr>
              <w:t>DOR Appeal Process</w:t>
            </w:r>
          </w:p>
        </w:tc>
        <w:tc>
          <w:tcPr>
            <w:tcW w:w="0" w:type="auto"/>
            <w:shd w:val="clear" w:color="auto" w:fill="auto"/>
            <w:vAlign w:val="center"/>
          </w:tcPr>
          <w:p w14:paraId="489DA7ED"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72</w:t>
            </w:r>
          </w:p>
        </w:tc>
        <w:tc>
          <w:tcPr>
            <w:tcW w:w="0" w:type="auto"/>
            <w:shd w:val="clear" w:color="auto" w:fill="auto"/>
            <w:vAlign w:val="center"/>
          </w:tcPr>
          <w:p w14:paraId="63400843"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32</w:t>
            </w:r>
          </w:p>
        </w:tc>
        <w:tc>
          <w:tcPr>
            <w:tcW w:w="0" w:type="auto"/>
            <w:shd w:val="clear" w:color="auto" w:fill="auto"/>
            <w:vAlign w:val="center"/>
          </w:tcPr>
          <w:p w14:paraId="2A89D206"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25</w:t>
            </w:r>
          </w:p>
        </w:tc>
        <w:tc>
          <w:tcPr>
            <w:tcW w:w="0" w:type="auto"/>
            <w:shd w:val="clear" w:color="auto" w:fill="auto"/>
            <w:vAlign w:val="center"/>
          </w:tcPr>
          <w:p w14:paraId="044B084D"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60</w:t>
            </w:r>
          </w:p>
        </w:tc>
        <w:tc>
          <w:tcPr>
            <w:tcW w:w="0" w:type="auto"/>
            <w:shd w:val="clear" w:color="auto" w:fill="auto"/>
            <w:vAlign w:val="center"/>
          </w:tcPr>
          <w:p w14:paraId="4D8A1676" w14:textId="77777777" w:rsidR="00935434" w:rsidRPr="00325509" w:rsidRDefault="00935434" w:rsidP="00095D1D">
            <w:pPr>
              <w:autoSpaceDE w:val="0"/>
              <w:autoSpaceDN w:val="0"/>
              <w:adjustRightInd w:val="0"/>
              <w:spacing w:after="0"/>
              <w:jc w:val="center"/>
              <w:rPr>
                <w:rFonts w:cs="Arial"/>
                <w:color w:val="000000"/>
              </w:rPr>
            </w:pPr>
            <w:r w:rsidRPr="00325509">
              <w:rPr>
                <w:rFonts w:cs="Arial"/>
                <w:color w:val="000000"/>
              </w:rPr>
              <w:t>63</w:t>
            </w:r>
          </w:p>
        </w:tc>
        <w:tc>
          <w:tcPr>
            <w:tcW w:w="0" w:type="auto"/>
            <w:shd w:val="clear" w:color="auto" w:fill="auto"/>
            <w:vAlign w:val="center"/>
          </w:tcPr>
          <w:p w14:paraId="458C9850"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111</w:t>
            </w:r>
          </w:p>
        </w:tc>
        <w:tc>
          <w:tcPr>
            <w:tcW w:w="0" w:type="auto"/>
            <w:shd w:val="clear" w:color="auto" w:fill="auto"/>
            <w:vAlign w:val="center"/>
          </w:tcPr>
          <w:p w14:paraId="3DBC2109" w14:textId="77777777" w:rsidR="00935434" w:rsidRPr="00325509" w:rsidRDefault="00935434" w:rsidP="00095D1D">
            <w:pPr>
              <w:autoSpaceDE w:val="0"/>
              <w:autoSpaceDN w:val="0"/>
              <w:adjustRightInd w:val="0"/>
              <w:spacing w:after="0"/>
              <w:jc w:val="center"/>
              <w:rPr>
                <w:rFonts w:cs="Arial"/>
                <w:color w:val="000000"/>
              </w:rPr>
            </w:pPr>
            <w:r>
              <w:rPr>
                <w:rFonts w:cs="Arial"/>
                <w:color w:val="000000"/>
              </w:rPr>
              <w:t>294</w:t>
            </w:r>
          </w:p>
        </w:tc>
        <w:tc>
          <w:tcPr>
            <w:tcW w:w="0" w:type="auto"/>
            <w:shd w:val="clear" w:color="auto" w:fill="auto"/>
            <w:vAlign w:val="center"/>
          </w:tcPr>
          <w:p w14:paraId="3945F04E" w14:textId="45F34621" w:rsidR="00935434" w:rsidRDefault="00FC2750" w:rsidP="00FC2750">
            <w:pPr>
              <w:autoSpaceDE w:val="0"/>
              <w:autoSpaceDN w:val="0"/>
              <w:adjustRightInd w:val="0"/>
              <w:spacing w:after="0"/>
              <w:jc w:val="center"/>
              <w:rPr>
                <w:rFonts w:cs="Arial"/>
                <w:color w:val="000000"/>
              </w:rPr>
            </w:pPr>
            <w:r>
              <w:rPr>
                <w:rFonts w:cs="Arial"/>
                <w:color w:val="000000"/>
              </w:rPr>
              <w:fldChar w:fldCharType="begin"/>
            </w:r>
            <w:r>
              <w:rPr>
                <w:rFonts w:cs="Arial"/>
                <w:color w:val="000000"/>
              </w:rPr>
              <w:instrText xml:space="preserve"> =SUM(LEFT) </w:instrText>
            </w:r>
            <w:r>
              <w:rPr>
                <w:rFonts w:cs="Arial"/>
                <w:color w:val="000000"/>
              </w:rPr>
              <w:fldChar w:fldCharType="separate"/>
            </w:r>
            <w:r>
              <w:rPr>
                <w:rFonts w:cs="Arial"/>
                <w:noProof/>
                <w:color w:val="000000"/>
              </w:rPr>
              <w:t>657</w:t>
            </w:r>
            <w:r>
              <w:rPr>
                <w:rFonts w:cs="Arial"/>
                <w:color w:val="000000"/>
              </w:rPr>
              <w:fldChar w:fldCharType="end"/>
            </w:r>
          </w:p>
        </w:tc>
        <w:tc>
          <w:tcPr>
            <w:tcW w:w="0" w:type="auto"/>
            <w:shd w:val="clear" w:color="auto" w:fill="auto"/>
            <w:vAlign w:val="center"/>
          </w:tcPr>
          <w:p w14:paraId="754C264A" w14:textId="389EA5A8" w:rsidR="00935434" w:rsidRPr="00325509" w:rsidRDefault="00935434" w:rsidP="00095D1D">
            <w:pPr>
              <w:autoSpaceDE w:val="0"/>
              <w:autoSpaceDN w:val="0"/>
              <w:adjustRightInd w:val="0"/>
              <w:spacing w:after="0"/>
              <w:jc w:val="center"/>
              <w:rPr>
                <w:rFonts w:cs="Arial"/>
                <w:color w:val="000000"/>
              </w:rPr>
            </w:pPr>
            <w:r>
              <w:rPr>
                <w:rFonts w:cs="Arial"/>
                <w:color w:val="000000"/>
              </w:rPr>
              <w:t>75.9%</w:t>
            </w:r>
          </w:p>
        </w:tc>
      </w:tr>
      <w:tr w:rsidR="004C5D37" w:rsidRPr="0043361A" w14:paraId="0D154B78" w14:textId="77777777" w:rsidTr="004C5D37">
        <w:trPr>
          <w:trHeight w:val="278"/>
          <w:jc w:val="center"/>
        </w:trPr>
        <w:tc>
          <w:tcPr>
            <w:tcW w:w="0" w:type="auto"/>
            <w:shd w:val="clear" w:color="auto" w:fill="F2F2F2" w:themeFill="background1" w:themeFillShade="F2"/>
            <w:vAlign w:val="center"/>
          </w:tcPr>
          <w:p w14:paraId="3106CF42" w14:textId="77777777" w:rsidR="00935434" w:rsidRPr="0043361A" w:rsidRDefault="00935434" w:rsidP="00095D1D">
            <w:pPr>
              <w:autoSpaceDE w:val="0"/>
              <w:autoSpaceDN w:val="0"/>
              <w:adjustRightInd w:val="0"/>
              <w:spacing w:after="0"/>
              <w:rPr>
                <w:rFonts w:cs="Arial"/>
                <w:b/>
                <w:bCs/>
                <w:color w:val="000000"/>
              </w:rPr>
            </w:pPr>
            <w:r w:rsidRPr="0043361A">
              <w:rPr>
                <w:rFonts w:cs="Arial"/>
                <w:b/>
                <w:bCs/>
                <w:color w:val="000000"/>
              </w:rPr>
              <w:t>Total</w:t>
            </w:r>
          </w:p>
        </w:tc>
        <w:tc>
          <w:tcPr>
            <w:tcW w:w="0" w:type="auto"/>
            <w:shd w:val="clear" w:color="auto" w:fill="F2F2F2" w:themeFill="background1" w:themeFillShade="F2"/>
            <w:vAlign w:val="center"/>
          </w:tcPr>
          <w:p w14:paraId="6D49E174"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305</w:t>
            </w:r>
          </w:p>
        </w:tc>
        <w:tc>
          <w:tcPr>
            <w:tcW w:w="0" w:type="auto"/>
            <w:shd w:val="clear" w:color="auto" w:fill="F2F2F2" w:themeFill="background1" w:themeFillShade="F2"/>
            <w:vAlign w:val="center"/>
          </w:tcPr>
          <w:p w14:paraId="465B0E1C"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107</w:t>
            </w:r>
          </w:p>
        </w:tc>
        <w:tc>
          <w:tcPr>
            <w:tcW w:w="0" w:type="auto"/>
            <w:shd w:val="clear" w:color="auto" w:fill="F2F2F2" w:themeFill="background1" w:themeFillShade="F2"/>
            <w:vAlign w:val="center"/>
          </w:tcPr>
          <w:p w14:paraId="2E392276"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112</w:t>
            </w:r>
          </w:p>
        </w:tc>
        <w:tc>
          <w:tcPr>
            <w:tcW w:w="0" w:type="auto"/>
            <w:shd w:val="clear" w:color="auto" w:fill="F2F2F2" w:themeFill="background1" w:themeFillShade="F2"/>
            <w:vAlign w:val="center"/>
          </w:tcPr>
          <w:p w14:paraId="60EBDDFC"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195</w:t>
            </w:r>
          </w:p>
        </w:tc>
        <w:tc>
          <w:tcPr>
            <w:tcW w:w="0" w:type="auto"/>
            <w:shd w:val="clear" w:color="auto" w:fill="F2F2F2" w:themeFill="background1" w:themeFillShade="F2"/>
            <w:vAlign w:val="center"/>
          </w:tcPr>
          <w:p w14:paraId="53AFF393"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309</w:t>
            </w:r>
          </w:p>
        </w:tc>
        <w:tc>
          <w:tcPr>
            <w:tcW w:w="0" w:type="auto"/>
            <w:shd w:val="clear" w:color="auto" w:fill="F2F2F2" w:themeFill="background1" w:themeFillShade="F2"/>
            <w:vAlign w:val="center"/>
          </w:tcPr>
          <w:p w14:paraId="20201EE1"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487</w:t>
            </w:r>
          </w:p>
        </w:tc>
        <w:tc>
          <w:tcPr>
            <w:tcW w:w="0" w:type="auto"/>
            <w:shd w:val="clear" w:color="auto" w:fill="F2F2F2" w:themeFill="background1" w:themeFillShade="F2"/>
            <w:vAlign w:val="center"/>
          </w:tcPr>
          <w:p w14:paraId="0B4D545D" w14:textId="77777777"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1,333</w:t>
            </w:r>
          </w:p>
        </w:tc>
        <w:tc>
          <w:tcPr>
            <w:tcW w:w="0" w:type="auto"/>
            <w:shd w:val="clear" w:color="auto" w:fill="F2F2F2" w:themeFill="background1" w:themeFillShade="F2"/>
            <w:vAlign w:val="center"/>
          </w:tcPr>
          <w:p w14:paraId="3F196C7D" w14:textId="311F1D2F" w:rsidR="00935434" w:rsidRPr="0043361A" w:rsidRDefault="00FC2750" w:rsidP="00FC2750">
            <w:pPr>
              <w:autoSpaceDE w:val="0"/>
              <w:autoSpaceDN w:val="0"/>
              <w:adjustRightInd w:val="0"/>
              <w:spacing w:after="0"/>
              <w:jc w:val="center"/>
              <w:rPr>
                <w:rFonts w:cs="Arial"/>
                <w:b/>
                <w:bCs/>
                <w:color w:val="000000"/>
              </w:rPr>
            </w:pPr>
            <w:r>
              <w:rPr>
                <w:rFonts w:cs="Arial"/>
                <w:b/>
                <w:bCs/>
                <w:color w:val="000000"/>
              </w:rPr>
              <w:fldChar w:fldCharType="begin"/>
            </w:r>
            <w:r>
              <w:rPr>
                <w:rFonts w:cs="Arial"/>
                <w:b/>
                <w:bCs/>
                <w:color w:val="000000"/>
              </w:rPr>
              <w:instrText xml:space="preserve"> =SUM(LEFT) </w:instrText>
            </w:r>
            <w:r>
              <w:rPr>
                <w:rFonts w:cs="Arial"/>
                <w:b/>
                <w:bCs/>
                <w:color w:val="000000"/>
              </w:rPr>
              <w:fldChar w:fldCharType="separate"/>
            </w:r>
            <w:r>
              <w:rPr>
                <w:rFonts w:cs="Arial"/>
                <w:b/>
                <w:bCs/>
                <w:noProof/>
                <w:color w:val="000000"/>
              </w:rPr>
              <w:t>2,848</w:t>
            </w:r>
            <w:r>
              <w:rPr>
                <w:rFonts w:cs="Arial"/>
                <w:b/>
                <w:bCs/>
                <w:color w:val="000000"/>
              </w:rPr>
              <w:fldChar w:fldCharType="end"/>
            </w:r>
          </w:p>
        </w:tc>
        <w:tc>
          <w:tcPr>
            <w:tcW w:w="0" w:type="auto"/>
            <w:shd w:val="clear" w:color="auto" w:fill="F2F2F2" w:themeFill="background1" w:themeFillShade="F2"/>
            <w:vAlign w:val="center"/>
          </w:tcPr>
          <w:p w14:paraId="30AA3739" w14:textId="11E2A67B" w:rsidR="00935434" w:rsidRPr="0043361A" w:rsidRDefault="00935434" w:rsidP="00095D1D">
            <w:pPr>
              <w:autoSpaceDE w:val="0"/>
              <w:autoSpaceDN w:val="0"/>
              <w:adjustRightInd w:val="0"/>
              <w:spacing w:after="0"/>
              <w:jc w:val="center"/>
              <w:rPr>
                <w:rFonts w:cs="Arial"/>
                <w:b/>
                <w:bCs/>
                <w:color w:val="000000"/>
              </w:rPr>
            </w:pPr>
            <w:r w:rsidRPr="0043361A">
              <w:rPr>
                <w:rFonts w:cs="Arial"/>
                <w:b/>
                <w:bCs/>
                <w:color w:val="000000"/>
              </w:rPr>
              <w:t>77.4%</w:t>
            </w:r>
          </w:p>
        </w:tc>
      </w:tr>
    </w:tbl>
    <w:p w14:paraId="0F96673D" w14:textId="7941AC77" w:rsidR="004F1237" w:rsidRDefault="004F0410" w:rsidP="00635226">
      <w:pPr>
        <w:pStyle w:val="SectionSub-HeadingsTopics"/>
      </w:pPr>
      <w:bookmarkStart w:id="22" w:name="_Toc90632183"/>
      <w:r>
        <w:t xml:space="preserve">Current </w:t>
      </w:r>
      <w:r w:rsidR="00936B1F">
        <w:t>Employment</w:t>
      </w:r>
      <w:bookmarkEnd w:id="22"/>
    </w:p>
    <w:p w14:paraId="5714F4AF" w14:textId="7D53BCAE" w:rsidR="00285688" w:rsidRDefault="00977106" w:rsidP="00285688">
      <w:r>
        <w:t>E</w:t>
      </w:r>
      <w:r w:rsidR="004F0410">
        <w:t>mployed s</w:t>
      </w:r>
      <w:r w:rsidR="006738E8">
        <w:t>urvey participants</w:t>
      </w:r>
      <w:r w:rsidR="004F0410">
        <w:t xml:space="preserve"> were asked to rate </w:t>
      </w:r>
      <w:r>
        <w:t>their</w:t>
      </w:r>
      <w:r w:rsidR="004F0410">
        <w:t xml:space="preserve"> satisfaction with</w:t>
      </w:r>
      <w:r>
        <w:t xml:space="preserve"> various aspects of</w:t>
      </w:r>
      <w:r w:rsidR="004F0410">
        <w:t xml:space="preserve"> their</w:t>
      </w:r>
      <w:r>
        <w:t xml:space="preserve"> current</w:t>
      </w:r>
      <w:r w:rsidR="004F0410">
        <w:t xml:space="preserve"> job</w:t>
      </w:r>
      <w:r w:rsidR="00AB1589">
        <w:t xml:space="preserve"> </w:t>
      </w:r>
      <w:r w:rsidR="00285688" w:rsidRPr="00943E9E">
        <w:t xml:space="preserve">(Figure </w:t>
      </w:r>
      <w:r w:rsidR="00943E9E" w:rsidRPr="00943E9E">
        <w:t>6 and</w:t>
      </w:r>
      <w:r w:rsidR="00285688" w:rsidRPr="00943E9E">
        <w:t xml:space="preserve"> Table </w:t>
      </w:r>
      <w:r w:rsidR="00943E9E" w:rsidRPr="00943E9E">
        <w:t>9</w:t>
      </w:r>
      <w:r w:rsidR="00285688" w:rsidRPr="00943E9E">
        <w:t>)</w:t>
      </w:r>
      <w:r w:rsidR="002F4928" w:rsidRPr="00943E9E">
        <w:t>.</w:t>
      </w:r>
      <w:r w:rsidR="002F4928">
        <w:t xml:space="preserve"> </w:t>
      </w:r>
      <w:r w:rsidR="00A249BE">
        <w:t>Specifically, they</w:t>
      </w:r>
      <w:r w:rsidR="003761A5">
        <w:t xml:space="preserve"> rated their satisfaction with the type of work they do, the</w:t>
      </w:r>
      <w:r w:rsidR="00A249BE">
        <w:t>ir</w:t>
      </w:r>
      <w:r w:rsidR="003761A5">
        <w:t xml:space="preserve"> wages and benefits, how well th</w:t>
      </w:r>
      <w:r w:rsidR="00A249BE">
        <w:t>eir</w:t>
      </w:r>
      <w:r w:rsidR="003761A5">
        <w:t xml:space="preserve"> job aligns with their DOR employment goals, and if their life is more independent</w:t>
      </w:r>
      <w:r w:rsidR="00FC32E2">
        <w:t xml:space="preserve"> after becoming employed with the help of DOR services. </w:t>
      </w:r>
      <w:r w:rsidR="003D1427">
        <w:t xml:space="preserve">Please note that some survey participants responded to </w:t>
      </w:r>
      <w:r w:rsidR="003E1471">
        <w:t xml:space="preserve">employment </w:t>
      </w:r>
      <w:r w:rsidR="00A858A1">
        <w:t xml:space="preserve">satisfaction questions for currently </w:t>
      </w:r>
      <w:r w:rsidR="008B58C5">
        <w:t xml:space="preserve">employed </w:t>
      </w:r>
      <w:r w:rsidR="00A218CF">
        <w:t>and</w:t>
      </w:r>
      <w:r w:rsidR="00F67D6E">
        <w:t xml:space="preserve"> currently</w:t>
      </w:r>
      <w:r w:rsidR="008B58C5">
        <w:t xml:space="preserve"> unemployed </w:t>
      </w:r>
      <w:r w:rsidR="00A858A1">
        <w:t>consumer</w:t>
      </w:r>
      <w:r w:rsidR="00F67D6E">
        <w:t>s</w:t>
      </w:r>
      <w:r w:rsidR="008B58C5">
        <w:t>.</w:t>
      </w:r>
      <w:r w:rsidR="00F32203">
        <w:t xml:space="preserve"> </w:t>
      </w:r>
    </w:p>
    <w:p w14:paraId="17906AA0" w14:textId="219A41D1" w:rsidR="00F34A2A" w:rsidRDefault="00EA6FCB" w:rsidP="0097333B">
      <w:r>
        <w:t xml:space="preserve">Overall, participants </w:t>
      </w:r>
      <w:r w:rsidR="00961088">
        <w:t>were satisfied with</w:t>
      </w:r>
      <w:r>
        <w:t xml:space="preserve"> their </w:t>
      </w:r>
      <w:r w:rsidR="00961088">
        <w:t xml:space="preserve">current </w:t>
      </w:r>
      <w:r>
        <w:t>employment satisfaction</w:t>
      </w:r>
      <w:r w:rsidR="00961088">
        <w:t xml:space="preserve"> (75.7% score). In fact, 73.6% of all responses received </w:t>
      </w:r>
      <w:r w:rsidR="006B3A6C">
        <w:t xml:space="preserve">for this category </w:t>
      </w:r>
      <w:r w:rsidR="00961088">
        <w:t xml:space="preserve">were positive (ratings five or higher). </w:t>
      </w:r>
      <w:r w:rsidR="00886A69">
        <w:t>Based on satisfaction score, participants rated the</w:t>
      </w:r>
      <w:r w:rsidR="00AA6199">
        <w:t>ir</w:t>
      </w:r>
      <w:r w:rsidR="00886A69">
        <w:t xml:space="preserve"> t</w:t>
      </w:r>
      <w:r w:rsidR="009447A9">
        <w:t>ype of work</w:t>
      </w:r>
      <w:r w:rsidR="00886A69">
        <w:t xml:space="preserve"> </w:t>
      </w:r>
      <w:r w:rsidR="00AA6199">
        <w:t>h</w:t>
      </w:r>
      <w:r w:rsidR="009447A9">
        <w:t xml:space="preserve">ighest (77.1%), followed by </w:t>
      </w:r>
      <w:r w:rsidR="004A7667">
        <w:t>increased independence</w:t>
      </w:r>
      <w:r w:rsidR="00AA6199">
        <w:t xml:space="preserve"> (76.2%)</w:t>
      </w:r>
      <w:r w:rsidR="004A7667">
        <w:t>, IPE alignment</w:t>
      </w:r>
      <w:r w:rsidR="00AA6199">
        <w:t xml:space="preserve"> (76.0%)</w:t>
      </w:r>
      <w:r w:rsidR="004A7667">
        <w:t>, and wages</w:t>
      </w:r>
      <w:r w:rsidR="00886A69">
        <w:t>/benefits</w:t>
      </w:r>
      <w:r w:rsidR="00AA6199">
        <w:t xml:space="preserve"> (73.5%)</w:t>
      </w:r>
      <w:r w:rsidR="00886A69">
        <w:t xml:space="preserve">. </w:t>
      </w:r>
      <w:r w:rsidR="00F96ABD">
        <w:t>Additionally,</w:t>
      </w:r>
      <w:r w:rsidR="007E4E52">
        <w:t xml:space="preserve"> </w:t>
      </w:r>
      <w:r w:rsidR="00C81CFD">
        <w:t>46.0% (254</w:t>
      </w:r>
      <w:r w:rsidR="007A2778">
        <w:t>) o</w:t>
      </w:r>
      <w:r w:rsidR="00EA40B9">
        <w:t>f</w:t>
      </w:r>
      <w:r w:rsidR="007A2778">
        <w:t xml:space="preserve"> respondent</w:t>
      </w:r>
      <w:r w:rsidR="00EA40B9">
        <w:t>s</w:t>
      </w:r>
      <w:r w:rsidR="007A2778">
        <w:t xml:space="preserve"> (</w:t>
      </w:r>
      <w:r w:rsidR="00DC3EE0">
        <w:t xml:space="preserve">552) </w:t>
      </w:r>
      <w:r w:rsidR="004A663D">
        <w:t xml:space="preserve">said they </w:t>
      </w:r>
      <w:r w:rsidR="00DC3EE0">
        <w:t xml:space="preserve">were extremely satisfied (rating seven) with </w:t>
      </w:r>
      <w:r w:rsidR="00EA40B9">
        <w:t>their increased independence after receiving DOR services.</w:t>
      </w:r>
      <w:r w:rsidR="0097333B" w:rsidRPr="0002255D">
        <w:t xml:space="preserve"> </w:t>
      </w:r>
    </w:p>
    <w:p w14:paraId="48B06645" w14:textId="2BB7EC93" w:rsidR="00FD3C01" w:rsidRDefault="000865D3" w:rsidP="00766F5F">
      <w:pPr>
        <w:pStyle w:val="FigureTitle"/>
      </w:pPr>
      <w:r>
        <w:t xml:space="preserve"> </w:t>
      </w:r>
      <w:r w:rsidR="001946D2">
        <w:t xml:space="preserve">Satisfaction Ratings for Current Employment from Employed </w:t>
      </w:r>
      <w:r w:rsidR="001946D2" w:rsidRPr="0044539E">
        <w:t>Participants</w:t>
      </w:r>
    </w:p>
    <w:p w14:paraId="5CB185D1" w14:textId="520D0155" w:rsidR="00AD028C" w:rsidRDefault="00466A65" w:rsidP="00C91A58">
      <w:pPr>
        <w:jc w:val="center"/>
      </w:pPr>
      <w:r>
        <w:rPr>
          <w:noProof/>
        </w:rPr>
        <w:drawing>
          <wp:inline distT="0" distB="0" distL="0" distR="0" wp14:anchorId="5F6B2FE9" wp14:editId="7079696D">
            <wp:extent cx="6858000" cy="2752725"/>
            <wp:effectExtent l="0" t="0" r="0" b="9525"/>
            <wp:docPr id="18" name="Chart 18" descr="Figure 6 Description:  Satisfaction ratings for CSS questions related to current employment are illustrated as a diverging bar chart. Ratings were considered satisfied (5-7, blues), neutral (4, light gray), and not satisfied (1-3, dark grays). Figure data are listed below in table format (Tabl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51F334" w14:textId="197D0A76" w:rsidR="00AA74FB" w:rsidRPr="0044539E" w:rsidRDefault="00450CF5" w:rsidP="0044539E">
      <w:pPr>
        <w:pStyle w:val="FigureFootnotes"/>
      </w:pPr>
      <w:r>
        <w:lastRenderedPageBreak/>
        <w:t xml:space="preserve">Satisfaction ratings </w:t>
      </w:r>
      <w:r w:rsidR="00AA74FB">
        <w:t>for</w:t>
      </w:r>
      <w:r>
        <w:t xml:space="preserve"> CSS questions related to current employment are illustrated as a diverging bar chart. Ratings were considered satisfied (5-7, blues), neutral (4, light gray), and not satisfied (1-3, dark grays). Figure data are listed below in table format (Table 9).</w:t>
      </w:r>
    </w:p>
    <w:p w14:paraId="6CD3FE60" w14:textId="26E9E70F" w:rsidR="00FD3C01" w:rsidRDefault="00FD3C01" w:rsidP="00FD3C01">
      <w:pPr>
        <w:pStyle w:val="TableTitle"/>
      </w:pPr>
      <w:r>
        <w:t>Satisfaction</w:t>
      </w:r>
      <w:r w:rsidR="00757DEC">
        <w:t xml:space="preserve"> </w:t>
      </w:r>
      <w:r w:rsidR="0071049B">
        <w:t xml:space="preserve">Ratings </w:t>
      </w:r>
      <w:r w:rsidR="001946D2">
        <w:t xml:space="preserve">for </w:t>
      </w:r>
      <w:r w:rsidR="00757DEC">
        <w:t>Current Employment</w:t>
      </w:r>
      <w:r w:rsidR="001946D2">
        <w:t xml:space="preserve"> from Employed</w:t>
      </w:r>
      <w:r w:rsidR="00757DEC">
        <w:t xml:space="preserve"> Participant</w:t>
      </w:r>
      <w:r>
        <w:t>s</w:t>
      </w:r>
    </w:p>
    <w:tbl>
      <w:tblPr>
        <w:tblStyle w:val="TableGrid"/>
        <w:tblW w:w="1052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Pr>
      <w:tblGrid>
        <w:gridCol w:w="3698"/>
        <w:gridCol w:w="833"/>
        <w:gridCol w:w="531"/>
        <w:gridCol w:w="532"/>
        <w:gridCol w:w="532"/>
        <w:gridCol w:w="757"/>
        <w:gridCol w:w="757"/>
        <w:gridCol w:w="756"/>
        <w:gridCol w:w="1026"/>
        <w:gridCol w:w="1100"/>
      </w:tblGrid>
      <w:tr w:rsidR="00FD3C01" w:rsidRPr="00FD3C01" w14:paraId="6CD065A3" w14:textId="77777777" w:rsidTr="004C5D37">
        <w:trPr>
          <w:trHeight w:val="292"/>
          <w:jc w:val="center"/>
        </w:trPr>
        <w:tc>
          <w:tcPr>
            <w:tcW w:w="3698" w:type="dxa"/>
            <w:shd w:val="clear" w:color="auto" w:fill="00407B" w:themeFill="accent1" w:themeFillShade="BF"/>
            <w:vAlign w:val="center"/>
          </w:tcPr>
          <w:p w14:paraId="1BD299DF" w14:textId="483AAB94" w:rsidR="002963AF" w:rsidRPr="002963AF" w:rsidRDefault="00680D0D" w:rsidP="00680D0D">
            <w:pPr>
              <w:autoSpaceDE w:val="0"/>
              <w:autoSpaceDN w:val="0"/>
              <w:adjustRightInd w:val="0"/>
              <w:spacing w:after="0"/>
              <w:rPr>
                <w:rFonts w:cs="Arial"/>
                <w:color w:val="FFFFFF" w:themeColor="background1"/>
              </w:rPr>
            </w:pPr>
            <w:r>
              <w:rPr>
                <w:rFonts w:cs="Arial"/>
                <w:b/>
                <w:bCs/>
                <w:color w:val="FFFFFF" w:themeColor="background1"/>
              </w:rPr>
              <w:t xml:space="preserve">Current </w:t>
            </w:r>
            <w:r w:rsidR="003B257F">
              <w:rPr>
                <w:rFonts w:cs="Arial"/>
                <w:b/>
                <w:bCs/>
                <w:color w:val="FFFFFF" w:themeColor="background1"/>
              </w:rPr>
              <w:t>Employment</w:t>
            </w:r>
            <w:r w:rsidR="00FD3C01" w:rsidRPr="00FD3C01">
              <w:rPr>
                <w:rFonts w:cs="Arial"/>
                <w:b/>
                <w:bCs/>
                <w:color w:val="FFFFFF" w:themeColor="background1"/>
              </w:rPr>
              <w:t xml:space="preserve"> Ratings</w:t>
            </w:r>
            <w:r>
              <w:rPr>
                <w:rFonts w:cs="Arial"/>
                <w:b/>
                <w:bCs/>
                <w:color w:val="FFFFFF" w:themeColor="background1"/>
              </w:rPr>
              <w:t xml:space="preserve"> </w:t>
            </w:r>
            <w:r w:rsidR="002963AF">
              <w:rPr>
                <w:rFonts w:cs="Arial"/>
                <w:color w:val="FFFFFF" w:themeColor="background1"/>
              </w:rPr>
              <w:t>(Count)</w:t>
            </w:r>
          </w:p>
        </w:tc>
        <w:tc>
          <w:tcPr>
            <w:tcW w:w="833" w:type="dxa"/>
            <w:shd w:val="clear" w:color="auto" w:fill="00407B" w:themeFill="accent1" w:themeFillShade="BF"/>
            <w:vAlign w:val="center"/>
          </w:tcPr>
          <w:p w14:paraId="7965B030"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1</w:t>
            </w:r>
          </w:p>
        </w:tc>
        <w:tc>
          <w:tcPr>
            <w:tcW w:w="531" w:type="dxa"/>
            <w:shd w:val="clear" w:color="auto" w:fill="00407B" w:themeFill="accent1" w:themeFillShade="BF"/>
            <w:vAlign w:val="center"/>
          </w:tcPr>
          <w:p w14:paraId="4D2519C6"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2</w:t>
            </w:r>
          </w:p>
        </w:tc>
        <w:tc>
          <w:tcPr>
            <w:tcW w:w="532" w:type="dxa"/>
            <w:shd w:val="clear" w:color="auto" w:fill="00407B" w:themeFill="accent1" w:themeFillShade="BF"/>
            <w:vAlign w:val="center"/>
          </w:tcPr>
          <w:p w14:paraId="235A8FFB"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3</w:t>
            </w:r>
          </w:p>
        </w:tc>
        <w:tc>
          <w:tcPr>
            <w:tcW w:w="532" w:type="dxa"/>
            <w:shd w:val="clear" w:color="auto" w:fill="00407B" w:themeFill="accent1" w:themeFillShade="BF"/>
            <w:vAlign w:val="center"/>
          </w:tcPr>
          <w:p w14:paraId="64525BDC"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4</w:t>
            </w:r>
          </w:p>
        </w:tc>
        <w:tc>
          <w:tcPr>
            <w:tcW w:w="757" w:type="dxa"/>
            <w:shd w:val="clear" w:color="auto" w:fill="00407B" w:themeFill="accent1" w:themeFillShade="BF"/>
            <w:vAlign w:val="center"/>
          </w:tcPr>
          <w:p w14:paraId="469AF24B"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5</w:t>
            </w:r>
          </w:p>
        </w:tc>
        <w:tc>
          <w:tcPr>
            <w:tcW w:w="757" w:type="dxa"/>
            <w:shd w:val="clear" w:color="auto" w:fill="00407B" w:themeFill="accent1" w:themeFillShade="BF"/>
            <w:vAlign w:val="center"/>
          </w:tcPr>
          <w:p w14:paraId="414E0C40"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6</w:t>
            </w:r>
          </w:p>
        </w:tc>
        <w:tc>
          <w:tcPr>
            <w:tcW w:w="756" w:type="dxa"/>
            <w:shd w:val="clear" w:color="auto" w:fill="00407B" w:themeFill="accent1" w:themeFillShade="BF"/>
            <w:vAlign w:val="center"/>
          </w:tcPr>
          <w:p w14:paraId="6A38C764"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7</w:t>
            </w:r>
          </w:p>
        </w:tc>
        <w:tc>
          <w:tcPr>
            <w:tcW w:w="1026" w:type="dxa"/>
            <w:shd w:val="clear" w:color="auto" w:fill="00407B" w:themeFill="accent1" w:themeFillShade="BF"/>
            <w:vAlign w:val="center"/>
          </w:tcPr>
          <w:p w14:paraId="1F4646DC" w14:textId="77777777" w:rsidR="00FD3C01" w:rsidRPr="00FD3C01" w:rsidRDefault="00FD3C01" w:rsidP="002E0417">
            <w:pPr>
              <w:autoSpaceDE w:val="0"/>
              <w:autoSpaceDN w:val="0"/>
              <w:adjustRightInd w:val="0"/>
              <w:spacing w:after="0"/>
              <w:jc w:val="center"/>
              <w:rPr>
                <w:rFonts w:cs="Arial"/>
                <w:b/>
                <w:bCs/>
                <w:color w:val="FFFFFF" w:themeColor="background1"/>
              </w:rPr>
            </w:pPr>
            <w:r w:rsidRPr="00FD3C01">
              <w:rPr>
                <w:rFonts w:cs="Arial"/>
                <w:b/>
                <w:bCs/>
                <w:color w:val="FFFFFF" w:themeColor="background1"/>
              </w:rPr>
              <w:t>Total</w:t>
            </w:r>
          </w:p>
        </w:tc>
        <w:tc>
          <w:tcPr>
            <w:tcW w:w="1100" w:type="dxa"/>
            <w:shd w:val="clear" w:color="auto" w:fill="00407B" w:themeFill="accent1" w:themeFillShade="BF"/>
            <w:vAlign w:val="center"/>
          </w:tcPr>
          <w:p w14:paraId="66191F3D" w14:textId="0F323787" w:rsidR="00FD3C01" w:rsidRPr="00FD3C01" w:rsidRDefault="00FD3C01" w:rsidP="002E0417">
            <w:pPr>
              <w:autoSpaceDE w:val="0"/>
              <w:autoSpaceDN w:val="0"/>
              <w:adjustRightInd w:val="0"/>
              <w:spacing w:after="0"/>
              <w:jc w:val="center"/>
              <w:rPr>
                <w:rFonts w:cs="Arial"/>
                <w:b/>
                <w:bCs/>
                <w:color w:val="FFFFFF" w:themeColor="background1"/>
                <w:vertAlign w:val="superscript"/>
              </w:rPr>
            </w:pPr>
            <w:r w:rsidRPr="00FD3C01">
              <w:rPr>
                <w:rFonts w:cs="Arial"/>
                <w:b/>
                <w:bCs/>
                <w:color w:val="FFFFFF" w:themeColor="background1"/>
              </w:rPr>
              <w:t>Score</w:t>
            </w:r>
          </w:p>
        </w:tc>
      </w:tr>
      <w:tr w:rsidR="00FD3C01" w:rsidRPr="00325509" w14:paraId="636D98F8" w14:textId="77777777" w:rsidTr="004C5D37">
        <w:trPr>
          <w:trHeight w:val="292"/>
          <w:jc w:val="center"/>
        </w:trPr>
        <w:tc>
          <w:tcPr>
            <w:tcW w:w="3698" w:type="dxa"/>
            <w:vAlign w:val="center"/>
          </w:tcPr>
          <w:p w14:paraId="11D80F6F" w14:textId="77777777" w:rsidR="00FD3C01" w:rsidRPr="00325509" w:rsidRDefault="00FD3C01" w:rsidP="007B7043">
            <w:pPr>
              <w:autoSpaceDE w:val="0"/>
              <w:autoSpaceDN w:val="0"/>
              <w:adjustRightInd w:val="0"/>
              <w:spacing w:after="0"/>
              <w:rPr>
                <w:rFonts w:cs="Arial"/>
                <w:color w:val="000000"/>
              </w:rPr>
            </w:pPr>
            <w:r w:rsidRPr="00325509">
              <w:rPr>
                <w:rFonts w:cs="Arial"/>
                <w:color w:val="000000"/>
              </w:rPr>
              <w:t>Type of Work</w:t>
            </w:r>
          </w:p>
        </w:tc>
        <w:tc>
          <w:tcPr>
            <w:tcW w:w="833" w:type="dxa"/>
          </w:tcPr>
          <w:p w14:paraId="28D4DA7C"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52</w:t>
            </w:r>
          </w:p>
        </w:tc>
        <w:tc>
          <w:tcPr>
            <w:tcW w:w="531" w:type="dxa"/>
          </w:tcPr>
          <w:p w14:paraId="08CE93A1"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12</w:t>
            </w:r>
          </w:p>
        </w:tc>
        <w:tc>
          <w:tcPr>
            <w:tcW w:w="532" w:type="dxa"/>
          </w:tcPr>
          <w:p w14:paraId="78022D06"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7</w:t>
            </w:r>
          </w:p>
        </w:tc>
        <w:tc>
          <w:tcPr>
            <w:tcW w:w="532" w:type="dxa"/>
          </w:tcPr>
          <w:p w14:paraId="06863F76"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22</w:t>
            </w:r>
          </w:p>
        </w:tc>
        <w:tc>
          <w:tcPr>
            <w:tcW w:w="757" w:type="dxa"/>
          </w:tcPr>
          <w:p w14:paraId="673D4424"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38</w:t>
            </w:r>
          </w:p>
        </w:tc>
        <w:tc>
          <w:tcPr>
            <w:tcW w:w="757" w:type="dxa"/>
          </w:tcPr>
          <w:p w14:paraId="346C14B6"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47</w:t>
            </w:r>
          </w:p>
        </w:tc>
        <w:tc>
          <w:tcPr>
            <w:tcW w:w="756" w:type="dxa"/>
          </w:tcPr>
          <w:p w14:paraId="316358B8"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189</w:t>
            </w:r>
          </w:p>
        </w:tc>
        <w:tc>
          <w:tcPr>
            <w:tcW w:w="1026" w:type="dxa"/>
          </w:tcPr>
          <w:p w14:paraId="4B4F5313"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367</w:t>
            </w:r>
          </w:p>
        </w:tc>
        <w:tc>
          <w:tcPr>
            <w:tcW w:w="1100" w:type="dxa"/>
          </w:tcPr>
          <w:p w14:paraId="3D32DDA3"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77.1%</w:t>
            </w:r>
          </w:p>
        </w:tc>
      </w:tr>
      <w:tr w:rsidR="00FD3C01" w:rsidRPr="00325509" w14:paraId="6C483B5F" w14:textId="77777777" w:rsidTr="004C5D37">
        <w:trPr>
          <w:trHeight w:val="292"/>
          <w:jc w:val="center"/>
        </w:trPr>
        <w:tc>
          <w:tcPr>
            <w:tcW w:w="3698" w:type="dxa"/>
            <w:vAlign w:val="center"/>
          </w:tcPr>
          <w:p w14:paraId="7E924B5D" w14:textId="77777777" w:rsidR="00FD3C01" w:rsidRPr="00325509" w:rsidRDefault="00FD3C01" w:rsidP="007B7043">
            <w:pPr>
              <w:autoSpaceDE w:val="0"/>
              <w:autoSpaceDN w:val="0"/>
              <w:adjustRightInd w:val="0"/>
              <w:spacing w:after="0"/>
              <w:rPr>
                <w:rFonts w:cs="Arial"/>
                <w:color w:val="000000"/>
              </w:rPr>
            </w:pPr>
            <w:r w:rsidRPr="00325509">
              <w:rPr>
                <w:rFonts w:cs="Arial"/>
                <w:color w:val="000000"/>
              </w:rPr>
              <w:t>Wages and Benefits</w:t>
            </w:r>
          </w:p>
        </w:tc>
        <w:tc>
          <w:tcPr>
            <w:tcW w:w="833" w:type="dxa"/>
          </w:tcPr>
          <w:p w14:paraId="4D6236DB"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54</w:t>
            </w:r>
          </w:p>
        </w:tc>
        <w:tc>
          <w:tcPr>
            <w:tcW w:w="531" w:type="dxa"/>
          </w:tcPr>
          <w:p w14:paraId="4BDF4401"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16</w:t>
            </w:r>
          </w:p>
        </w:tc>
        <w:tc>
          <w:tcPr>
            <w:tcW w:w="532" w:type="dxa"/>
          </w:tcPr>
          <w:p w14:paraId="4F40A90A"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13</w:t>
            </w:r>
          </w:p>
        </w:tc>
        <w:tc>
          <w:tcPr>
            <w:tcW w:w="532" w:type="dxa"/>
          </w:tcPr>
          <w:p w14:paraId="7EA1B3D4"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25</w:t>
            </w:r>
          </w:p>
        </w:tc>
        <w:tc>
          <w:tcPr>
            <w:tcW w:w="757" w:type="dxa"/>
          </w:tcPr>
          <w:p w14:paraId="1C7CCBFF"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48</w:t>
            </w:r>
          </w:p>
        </w:tc>
        <w:tc>
          <w:tcPr>
            <w:tcW w:w="757" w:type="dxa"/>
          </w:tcPr>
          <w:p w14:paraId="7AAAB266"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53</w:t>
            </w:r>
          </w:p>
        </w:tc>
        <w:tc>
          <w:tcPr>
            <w:tcW w:w="756" w:type="dxa"/>
          </w:tcPr>
          <w:p w14:paraId="018AFF2D"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157</w:t>
            </w:r>
          </w:p>
        </w:tc>
        <w:tc>
          <w:tcPr>
            <w:tcW w:w="1026" w:type="dxa"/>
          </w:tcPr>
          <w:p w14:paraId="4C6C083C"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366</w:t>
            </w:r>
          </w:p>
        </w:tc>
        <w:tc>
          <w:tcPr>
            <w:tcW w:w="1100" w:type="dxa"/>
          </w:tcPr>
          <w:p w14:paraId="6784CA0D"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73.5%</w:t>
            </w:r>
          </w:p>
        </w:tc>
      </w:tr>
      <w:tr w:rsidR="00FD3C01" w:rsidRPr="00325509" w14:paraId="6A711BE4" w14:textId="77777777" w:rsidTr="004C5D37">
        <w:trPr>
          <w:trHeight w:val="292"/>
          <w:jc w:val="center"/>
        </w:trPr>
        <w:tc>
          <w:tcPr>
            <w:tcW w:w="3698" w:type="dxa"/>
            <w:vAlign w:val="center"/>
          </w:tcPr>
          <w:p w14:paraId="2A1AA5DF" w14:textId="77777777" w:rsidR="00FD3C01" w:rsidRPr="00325509" w:rsidRDefault="00FD3C01" w:rsidP="007B7043">
            <w:pPr>
              <w:autoSpaceDE w:val="0"/>
              <w:autoSpaceDN w:val="0"/>
              <w:adjustRightInd w:val="0"/>
              <w:spacing w:after="0"/>
              <w:rPr>
                <w:rFonts w:cs="Arial"/>
                <w:color w:val="000000"/>
              </w:rPr>
            </w:pPr>
            <w:r w:rsidRPr="00325509">
              <w:rPr>
                <w:rFonts w:cs="Arial"/>
                <w:color w:val="000000"/>
              </w:rPr>
              <w:t>Alignment with IPE</w:t>
            </w:r>
          </w:p>
        </w:tc>
        <w:tc>
          <w:tcPr>
            <w:tcW w:w="833" w:type="dxa"/>
          </w:tcPr>
          <w:p w14:paraId="5B5A2750"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51</w:t>
            </w:r>
          </w:p>
        </w:tc>
        <w:tc>
          <w:tcPr>
            <w:tcW w:w="531" w:type="dxa"/>
          </w:tcPr>
          <w:p w14:paraId="2CA316F5"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12</w:t>
            </w:r>
          </w:p>
        </w:tc>
        <w:tc>
          <w:tcPr>
            <w:tcW w:w="532" w:type="dxa"/>
          </w:tcPr>
          <w:p w14:paraId="07B48841"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9</w:t>
            </w:r>
          </w:p>
        </w:tc>
        <w:tc>
          <w:tcPr>
            <w:tcW w:w="532" w:type="dxa"/>
          </w:tcPr>
          <w:p w14:paraId="33DBD186"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21</w:t>
            </w:r>
          </w:p>
        </w:tc>
        <w:tc>
          <w:tcPr>
            <w:tcW w:w="757" w:type="dxa"/>
          </w:tcPr>
          <w:p w14:paraId="1301C618"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48</w:t>
            </w:r>
          </w:p>
        </w:tc>
        <w:tc>
          <w:tcPr>
            <w:tcW w:w="757" w:type="dxa"/>
          </w:tcPr>
          <w:p w14:paraId="461933FA"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55</w:t>
            </w:r>
          </w:p>
        </w:tc>
        <w:tc>
          <w:tcPr>
            <w:tcW w:w="756" w:type="dxa"/>
          </w:tcPr>
          <w:p w14:paraId="4FEBCC92"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171</w:t>
            </w:r>
          </w:p>
        </w:tc>
        <w:tc>
          <w:tcPr>
            <w:tcW w:w="1026" w:type="dxa"/>
          </w:tcPr>
          <w:p w14:paraId="2413D335"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367</w:t>
            </w:r>
          </w:p>
        </w:tc>
        <w:tc>
          <w:tcPr>
            <w:tcW w:w="1100" w:type="dxa"/>
          </w:tcPr>
          <w:p w14:paraId="279A6DC0"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76.0%</w:t>
            </w:r>
          </w:p>
        </w:tc>
      </w:tr>
      <w:tr w:rsidR="00FD3C01" w:rsidRPr="00325509" w14:paraId="49035DA9" w14:textId="77777777" w:rsidTr="004C5D37">
        <w:trPr>
          <w:trHeight w:val="292"/>
          <w:jc w:val="center"/>
        </w:trPr>
        <w:tc>
          <w:tcPr>
            <w:tcW w:w="3698" w:type="dxa"/>
            <w:vAlign w:val="center"/>
          </w:tcPr>
          <w:p w14:paraId="1047DC10" w14:textId="77777777" w:rsidR="00FD3C01" w:rsidRPr="00325509" w:rsidRDefault="00FD3C01" w:rsidP="007B7043">
            <w:pPr>
              <w:autoSpaceDE w:val="0"/>
              <w:autoSpaceDN w:val="0"/>
              <w:adjustRightInd w:val="0"/>
              <w:spacing w:after="0"/>
              <w:rPr>
                <w:rFonts w:cs="Arial"/>
                <w:color w:val="000000"/>
              </w:rPr>
            </w:pPr>
            <w:r w:rsidRPr="00325509">
              <w:rPr>
                <w:rFonts w:cs="Arial"/>
                <w:color w:val="000000"/>
              </w:rPr>
              <w:t>Increased Independence</w:t>
            </w:r>
          </w:p>
        </w:tc>
        <w:tc>
          <w:tcPr>
            <w:tcW w:w="833" w:type="dxa"/>
          </w:tcPr>
          <w:p w14:paraId="2FD20A4F"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68</w:t>
            </w:r>
          </w:p>
        </w:tc>
        <w:tc>
          <w:tcPr>
            <w:tcW w:w="531" w:type="dxa"/>
          </w:tcPr>
          <w:p w14:paraId="27E250E4"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23</w:t>
            </w:r>
          </w:p>
        </w:tc>
        <w:tc>
          <w:tcPr>
            <w:tcW w:w="532" w:type="dxa"/>
          </w:tcPr>
          <w:p w14:paraId="30460CA7"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23</w:t>
            </w:r>
          </w:p>
        </w:tc>
        <w:tc>
          <w:tcPr>
            <w:tcW w:w="532" w:type="dxa"/>
          </w:tcPr>
          <w:p w14:paraId="0A6023A2"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28</w:t>
            </w:r>
          </w:p>
        </w:tc>
        <w:tc>
          <w:tcPr>
            <w:tcW w:w="757" w:type="dxa"/>
          </w:tcPr>
          <w:p w14:paraId="2543C3D6"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65</w:t>
            </w:r>
          </w:p>
        </w:tc>
        <w:tc>
          <w:tcPr>
            <w:tcW w:w="757" w:type="dxa"/>
          </w:tcPr>
          <w:p w14:paraId="33BCB53F"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91</w:t>
            </w:r>
          </w:p>
        </w:tc>
        <w:tc>
          <w:tcPr>
            <w:tcW w:w="756" w:type="dxa"/>
          </w:tcPr>
          <w:p w14:paraId="6981F6D2"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254</w:t>
            </w:r>
          </w:p>
        </w:tc>
        <w:tc>
          <w:tcPr>
            <w:tcW w:w="1026" w:type="dxa"/>
          </w:tcPr>
          <w:p w14:paraId="39E6B453" w14:textId="77777777" w:rsidR="00FD3C01" w:rsidRPr="00325509" w:rsidRDefault="00FD3C01" w:rsidP="007B7043">
            <w:pPr>
              <w:autoSpaceDE w:val="0"/>
              <w:autoSpaceDN w:val="0"/>
              <w:adjustRightInd w:val="0"/>
              <w:spacing w:after="0"/>
              <w:jc w:val="center"/>
              <w:rPr>
                <w:rFonts w:cs="Arial"/>
                <w:color w:val="000000"/>
              </w:rPr>
            </w:pPr>
            <w:r w:rsidRPr="00325509">
              <w:rPr>
                <w:rFonts w:cs="Arial"/>
                <w:color w:val="000000"/>
              </w:rPr>
              <w:t>552</w:t>
            </w:r>
          </w:p>
        </w:tc>
        <w:tc>
          <w:tcPr>
            <w:tcW w:w="1100" w:type="dxa"/>
          </w:tcPr>
          <w:p w14:paraId="62A0AC6B" w14:textId="77777777" w:rsidR="00FD3C01" w:rsidRPr="00325509" w:rsidRDefault="00FD3C01" w:rsidP="007B7043">
            <w:pPr>
              <w:autoSpaceDE w:val="0"/>
              <w:autoSpaceDN w:val="0"/>
              <w:adjustRightInd w:val="0"/>
              <w:spacing w:after="0"/>
              <w:jc w:val="center"/>
              <w:rPr>
                <w:rFonts w:cs="Arial"/>
                <w:color w:val="000000"/>
              </w:rPr>
            </w:pPr>
            <w:r>
              <w:rPr>
                <w:rFonts w:cs="Arial"/>
                <w:color w:val="000000"/>
              </w:rPr>
              <w:t>76.2%</w:t>
            </w:r>
          </w:p>
        </w:tc>
      </w:tr>
      <w:tr w:rsidR="00FD3C01" w:rsidRPr="00FD3C01" w14:paraId="6181B349" w14:textId="77777777" w:rsidTr="004C5D37">
        <w:trPr>
          <w:trHeight w:val="292"/>
          <w:jc w:val="center"/>
        </w:trPr>
        <w:tc>
          <w:tcPr>
            <w:tcW w:w="3698" w:type="dxa"/>
            <w:shd w:val="clear" w:color="auto" w:fill="F2F2F2" w:themeFill="background1" w:themeFillShade="F2"/>
            <w:vAlign w:val="center"/>
          </w:tcPr>
          <w:p w14:paraId="212CFF9A" w14:textId="77777777" w:rsidR="00FD3C01" w:rsidRPr="00FD3C01" w:rsidRDefault="00FD3C01" w:rsidP="007B7043">
            <w:pPr>
              <w:autoSpaceDE w:val="0"/>
              <w:autoSpaceDN w:val="0"/>
              <w:adjustRightInd w:val="0"/>
              <w:spacing w:after="0"/>
              <w:rPr>
                <w:rFonts w:cs="Arial"/>
                <w:b/>
                <w:bCs/>
                <w:color w:val="000000"/>
              </w:rPr>
            </w:pPr>
            <w:r w:rsidRPr="00FD3C01">
              <w:rPr>
                <w:rFonts w:cs="Arial"/>
                <w:b/>
                <w:bCs/>
                <w:color w:val="000000"/>
              </w:rPr>
              <w:t>Total</w:t>
            </w:r>
          </w:p>
        </w:tc>
        <w:tc>
          <w:tcPr>
            <w:tcW w:w="833" w:type="dxa"/>
            <w:shd w:val="clear" w:color="auto" w:fill="F2F2F2" w:themeFill="background1" w:themeFillShade="F2"/>
          </w:tcPr>
          <w:p w14:paraId="56567D4D"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225</w:t>
            </w:r>
          </w:p>
        </w:tc>
        <w:tc>
          <w:tcPr>
            <w:tcW w:w="531" w:type="dxa"/>
            <w:shd w:val="clear" w:color="auto" w:fill="F2F2F2" w:themeFill="background1" w:themeFillShade="F2"/>
          </w:tcPr>
          <w:p w14:paraId="4F11E251"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63</w:t>
            </w:r>
          </w:p>
        </w:tc>
        <w:tc>
          <w:tcPr>
            <w:tcW w:w="532" w:type="dxa"/>
            <w:shd w:val="clear" w:color="auto" w:fill="F2F2F2" w:themeFill="background1" w:themeFillShade="F2"/>
          </w:tcPr>
          <w:p w14:paraId="7C24141D"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52</w:t>
            </w:r>
          </w:p>
        </w:tc>
        <w:tc>
          <w:tcPr>
            <w:tcW w:w="532" w:type="dxa"/>
            <w:shd w:val="clear" w:color="auto" w:fill="F2F2F2" w:themeFill="background1" w:themeFillShade="F2"/>
          </w:tcPr>
          <w:p w14:paraId="0F24A2CF"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96</w:t>
            </w:r>
          </w:p>
        </w:tc>
        <w:tc>
          <w:tcPr>
            <w:tcW w:w="757" w:type="dxa"/>
            <w:shd w:val="clear" w:color="auto" w:fill="F2F2F2" w:themeFill="background1" w:themeFillShade="F2"/>
          </w:tcPr>
          <w:p w14:paraId="0B86A5DC"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199</w:t>
            </w:r>
          </w:p>
        </w:tc>
        <w:tc>
          <w:tcPr>
            <w:tcW w:w="757" w:type="dxa"/>
            <w:shd w:val="clear" w:color="auto" w:fill="F2F2F2" w:themeFill="background1" w:themeFillShade="F2"/>
          </w:tcPr>
          <w:p w14:paraId="4795A769"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246</w:t>
            </w:r>
          </w:p>
        </w:tc>
        <w:tc>
          <w:tcPr>
            <w:tcW w:w="756" w:type="dxa"/>
            <w:shd w:val="clear" w:color="auto" w:fill="F2F2F2" w:themeFill="background1" w:themeFillShade="F2"/>
          </w:tcPr>
          <w:p w14:paraId="534453B7"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771</w:t>
            </w:r>
          </w:p>
        </w:tc>
        <w:tc>
          <w:tcPr>
            <w:tcW w:w="1026" w:type="dxa"/>
            <w:shd w:val="clear" w:color="auto" w:fill="F2F2F2" w:themeFill="background1" w:themeFillShade="F2"/>
          </w:tcPr>
          <w:p w14:paraId="7F4C74E2"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1,652</w:t>
            </w:r>
          </w:p>
        </w:tc>
        <w:tc>
          <w:tcPr>
            <w:tcW w:w="1100" w:type="dxa"/>
            <w:shd w:val="clear" w:color="auto" w:fill="F2F2F2" w:themeFill="background1" w:themeFillShade="F2"/>
          </w:tcPr>
          <w:p w14:paraId="332D0766" w14:textId="77777777" w:rsidR="00FD3C01" w:rsidRPr="00FD3C01" w:rsidRDefault="00FD3C01" w:rsidP="007B7043">
            <w:pPr>
              <w:autoSpaceDE w:val="0"/>
              <w:autoSpaceDN w:val="0"/>
              <w:adjustRightInd w:val="0"/>
              <w:spacing w:after="0"/>
              <w:jc w:val="center"/>
              <w:rPr>
                <w:rFonts w:cs="Arial"/>
                <w:b/>
                <w:bCs/>
                <w:color w:val="000000"/>
              </w:rPr>
            </w:pPr>
            <w:r w:rsidRPr="00FD3C01">
              <w:rPr>
                <w:rFonts w:cs="Arial"/>
                <w:b/>
                <w:bCs/>
                <w:color w:val="000000"/>
              </w:rPr>
              <w:t>75.7%</w:t>
            </w:r>
          </w:p>
        </w:tc>
      </w:tr>
    </w:tbl>
    <w:p w14:paraId="59883AD9" w14:textId="19E10D52" w:rsidR="00B31BC6" w:rsidRDefault="00282A1A" w:rsidP="00F24B62">
      <w:pPr>
        <w:pStyle w:val="SectionSub-HeadingsTopics"/>
        <w:keepNext/>
        <w:keepLines/>
      </w:pPr>
      <w:bookmarkStart w:id="23" w:name="_Toc90632184"/>
      <w:r>
        <w:t xml:space="preserve">Improved </w:t>
      </w:r>
      <w:r w:rsidR="00B31BC6">
        <w:t>Employment Opportunities</w:t>
      </w:r>
      <w:bookmarkEnd w:id="23"/>
    </w:p>
    <w:p w14:paraId="74EC63DF" w14:textId="087FC073" w:rsidR="00282A1A" w:rsidRDefault="00282A1A" w:rsidP="00282A1A">
      <w:r w:rsidRPr="0074249D">
        <w:t xml:space="preserve">Unemployed survey participants were asked to rate their satisfaction with </w:t>
      </w:r>
      <w:r w:rsidR="006C5802">
        <w:t xml:space="preserve">their employment opportunities </w:t>
      </w:r>
      <w:r w:rsidR="00724604">
        <w:t>after receiving DOR services</w:t>
      </w:r>
      <w:r w:rsidR="00CB4383">
        <w:t xml:space="preserve"> </w:t>
      </w:r>
      <w:r w:rsidR="00CB4383" w:rsidRPr="00E90DDB">
        <w:t xml:space="preserve">(Figure </w:t>
      </w:r>
      <w:r w:rsidR="00051C02" w:rsidRPr="00E90DDB">
        <w:t>7</w:t>
      </w:r>
      <w:r w:rsidR="00CB4383" w:rsidRPr="00E90DDB">
        <w:t xml:space="preserve">, Table </w:t>
      </w:r>
      <w:r w:rsidR="00051C02" w:rsidRPr="00E90DDB">
        <w:t>10</w:t>
      </w:r>
      <w:r w:rsidR="00CB4383" w:rsidRPr="00E90DDB">
        <w:t>)</w:t>
      </w:r>
      <w:r w:rsidRPr="00E90DDB">
        <w:t>. Overall</w:t>
      </w:r>
      <w:r w:rsidR="00CB4383">
        <w:t>,</w:t>
      </w:r>
      <w:r w:rsidRPr="0074249D">
        <w:t xml:space="preserve"> there were 545 responses, which is equivalent to 64.2% of all survey participants (849). While 24.2% of individuals gave dissatisfied ratings (1-3), 40.4% of all respondents were extremely satisfied (rating seven). Collectively, survey participants rated their improved employment chances as satisfied (72.0% satisfaction score). </w:t>
      </w:r>
    </w:p>
    <w:p w14:paraId="3EE9FD1C" w14:textId="049566E7" w:rsidR="00026141" w:rsidRPr="00753173" w:rsidRDefault="00A32EDA" w:rsidP="00282A1A">
      <w:pPr>
        <w:rPr>
          <w:rFonts w:eastAsia="Times New Roman" w:cs="Arial"/>
        </w:rPr>
      </w:pPr>
      <w:r>
        <w:rPr>
          <w:rFonts w:eastAsia="Times New Roman" w:cs="Arial"/>
        </w:rPr>
        <w:t xml:space="preserve">Compared to all other categories assessed in the CSS, </w:t>
      </w:r>
      <w:r w:rsidR="0044598F">
        <w:rPr>
          <w:rFonts w:eastAsia="Times New Roman" w:cs="Arial"/>
        </w:rPr>
        <w:t>improved employment chances had the lowest satisfaction score</w:t>
      </w:r>
      <w:r w:rsidR="00E45735">
        <w:rPr>
          <w:rFonts w:eastAsia="Times New Roman" w:cs="Arial"/>
        </w:rPr>
        <w:t xml:space="preserve">. </w:t>
      </w:r>
      <w:r w:rsidR="00C0031F">
        <w:rPr>
          <w:rFonts w:eastAsia="Times New Roman" w:cs="Arial"/>
        </w:rPr>
        <w:t xml:space="preserve">Interestingly, </w:t>
      </w:r>
      <w:r w:rsidR="00CA43E9">
        <w:rPr>
          <w:rFonts w:eastAsia="Times New Roman" w:cs="Arial"/>
        </w:rPr>
        <w:t xml:space="preserve">identifying employment opportunities was </w:t>
      </w:r>
      <w:r w:rsidR="00C0031F">
        <w:rPr>
          <w:rFonts w:eastAsia="Times New Roman" w:cs="Arial"/>
        </w:rPr>
        <w:t xml:space="preserve">discussed </w:t>
      </w:r>
      <w:r w:rsidR="00753173">
        <w:rPr>
          <w:rFonts w:eastAsia="Times New Roman" w:cs="Arial"/>
        </w:rPr>
        <w:t>in 17% of all comments received, which was the third most common theme in survey feedback.</w:t>
      </w:r>
      <w:r w:rsidR="00C36203">
        <w:rPr>
          <w:rFonts w:eastAsia="Times New Roman" w:cs="Arial"/>
        </w:rPr>
        <w:t xml:space="preserve"> </w:t>
      </w:r>
    </w:p>
    <w:p w14:paraId="2157826D" w14:textId="21EEDF1B" w:rsidR="00B20343" w:rsidRDefault="00B20343" w:rsidP="00350937">
      <w:pPr>
        <w:pStyle w:val="FigureTitle"/>
      </w:pPr>
      <w:r>
        <w:t>Satisfaction</w:t>
      </w:r>
      <w:r w:rsidR="000F662A">
        <w:t xml:space="preserve"> Ratings for </w:t>
      </w:r>
      <w:r w:rsidR="00757DEC">
        <w:t xml:space="preserve">Employment Opportunities </w:t>
      </w:r>
      <w:r w:rsidR="0071049B">
        <w:t>from Unemployed</w:t>
      </w:r>
      <w:r w:rsidR="00757DEC">
        <w:t xml:space="preserve"> </w:t>
      </w:r>
      <w:r w:rsidR="00757DEC" w:rsidRPr="00350937">
        <w:t>Participant</w:t>
      </w:r>
      <w:r w:rsidR="0071049B" w:rsidRPr="00350937">
        <w:t>s</w:t>
      </w:r>
    </w:p>
    <w:p w14:paraId="3C4DE147" w14:textId="557A7887" w:rsidR="00B20343" w:rsidRDefault="00B20343" w:rsidP="00462C3A">
      <w:r>
        <w:rPr>
          <w:noProof/>
        </w:rPr>
        <w:drawing>
          <wp:inline distT="0" distB="0" distL="0" distR="0" wp14:anchorId="0594DC7E" wp14:editId="1E941BD4">
            <wp:extent cx="6858000" cy="2133600"/>
            <wp:effectExtent l="0" t="0" r="0" b="0"/>
            <wp:docPr id="19" name="Chart 19" descr="Figure 7 Description:  Satisfaction ratings of CSS questions related to employment opportunities for unemployed participants are  illustrated as a diverging bar chart. Ratings were considered satisfied (5-7), neutral (4), and not satisfied (1-3). Figure data are listed below in table format (Table 10).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E304A3" w14:textId="4D9769D2" w:rsidR="0002255D" w:rsidRDefault="0002255D" w:rsidP="0005040E">
      <w:pPr>
        <w:pStyle w:val="FigureFootnotes"/>
        <w:keepNext/>
        <w:keepLines/>
      </w:pPr>
      <w:r w:rsidRPr="0002255D">
        <w:lastRenderedPageBreak/>
        <w:t xml:space="preserve">Satisfaction ratings </w:t>
      </w:r>
      <w:r w:rsidR="00B272E9">
        <w:t>for</w:t>
      </w:r>
      <w:r w:rsidRPr="0002255D">
        <w:t xml:space="preserve"> employment </w:t>
      </w:r>
      <w:r>
        <w:t>opportunities for unemployed participants</w:t>
      </w:r>
      <w:r w:rsidRPr="0002255D">
        <w:t xml:space="preserve"> are illustrated as a diverging bar chart. Ratings were considered satisfied (5-7</w:t>
      </w:r>
      <w:r w:rsidR="00753173">
        <w:t>)</w:t>
      </w:r>
      <w:r w:rsidRPr="0002255D">
        <w:t>, neutral (4</w:t>
      </w:r>
      <w:r w:rsidR="00E236EF">
        <w:t>)</w:t>
      </w:r>
      <w:r w:rsidRPr="0002255D">
        <w:t>, and not satisfied (1-3</w:t>
      </w:r>
      <w:r w:rsidR="00E236EF">
        <w:t>)</w:t>
      </w:r>
      <w:r w:rsidRPr="0002255D">
        <w:t xml:space="preserve">. Figure data are listed below in table </w:t>
      </w:r>
      <w:r w:rsidRPr="00E90DDB">
        <w:t xml:space="preserve">format (Table </w:t>
      </w:r>
      <w:r w:rsidR="00051C02" w:rsidRPr="00E90DDB">
        <w:t>10</w:t>
      </w:r>
      <w:r w:rsidRPr="00E90DDB">
        <w:t>).</w:t>
      </w:r>
      <w:r w:rsidRPr="0002255D">
        <w:t xml:space="preserve"> </w:t>
      </w:r>
    </w:p>
    <w:p w14:paraId="17380EBE" w14:textId="56406F0F" w:rsidR="004C0414" w:rsidRPr="0002255D" w:rsidRDefault="005C354B" w:rsidP="004C0414">
      <w:pPr>
        <w:pStyle w:val="TableTitle"/>
      </w:pPr>
      <w:r>
        <w:t xml:space="preserve">Satisfaction Ratings </w:t>
      </w:r>
      <w:r w:rsidR="000F662A">
        <w:t>for</w:t>
      </w:r>
      <w:r>
        <w:t xml:space="preserve"> </w:t>
      </w:r>
      <w:r w:rsidR="004C0414">
        <w:t>Employment Opportunities f</w:t>
      </w:r>
      <w:r>
        <w:t>rom</w:t>
      </w:r>
      <w:r w:rsidR="004C0414">
        <w:t xml:space="preserve"> Unemployed Survey Parti</w:t>
      </w:r>
      <w:r>
        <w:t>cipants</w:t>
      </w:r>
    </w:p>
    <w:tbl>
      <w:tblPr>
        <w:tblStyle w:val="TableGrid"/>
        <w:tblW w:w="1009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43" w:type="dxa"/>
          <w:right w:w="43" w:type="dxa"/>
        </w:tblCellMar>
        <w:tblLook w:val="0020" w:firstRow="1" w:lastRow="0" w:firstColumn="0" w:lastColumn="0" w:noHBand="0" w:noVBand="0"/>
      </w:tblPr>
      <w:tblGrid>
        <w:gridCol w:w="3744"/>
        <w:gridCol w:w="576"/>
        <w:gridCol w:w="576"/>
        <w:gridCol w:w="576"/>
        <w:gridCol w:w="576"/>
        <w:gridCol w:w="576"/>
        <w:gridCol w:w="576"/>
        <w:gridCol w:w="720"/>
        <w:gridCol w:w="1189"/>
        <w:gridCol w:w="990"/>
      </w:tblGrid>
      <w:tr w:rsidR="001772FF" w:rsidRPr="001772FF" w14:paraId="6C316EE3" w14:textId="77777777" w:rsidTr="00680D0D">
        <w:trPr>
          <w:trHeight w:val="720"/>
          <w:jc w:val="center"/>
        </w:trPr>
        <w:tc>
          <w:tcPr>
            <w:tcW w:w="3744" w:type="dxa"/>
            <w:shd w:val="clear" w:color="auto" w:fill="00407B" w:themeFill="accent1" w:themeFillShade="BF"/>
            <w:vAlign w:val="center"/>
          </w:tcPr>
          <w:p w14:paraId="44C2E8F0" w14:textId="77777777" w:rsidR="00680D0D" w:rsidRDefault="00680D0D" w:rsidP="009A236D">
            <w:pPr>
              <w:autoSpaceDE w:val="0"/>
              <w:autoSpaceDN w:val="0"/>
              <w:adjustRightInd w:val="0"/>
              <w:spacing w:after="0"/>
              <w:rPr>
                <w:rFonts w:cs="Arial"/>
                <w:b/>
                <w:bCs/>
                <w:color w:val="FFFFFF" w:themeColor="background1"/>
              </w:rPr>
            </w:pPr>
            <w:r>
              <w:rPr>
                <w:rFonts w:cs="Arial"/>
                <w:b/>
                <w:bCs/>
                <w:color w:val="FFFFFF" w:themeColor="background1"/>
              </w:rPr>
              <w:t xml:space="preserve">Employment </w:t>
            </w:r>
            <w:r w:rsidR="00051C02">
              <w:rPr>
                <w:rFonts w:cs="Arial"/>
                <w:b/>
                <w:bCs/>
                <w:color w:val="FFFFFF" w:themeColor="background1"/>
              </w:rPr>
              <w:t xml:space="preserve">Opportunities </w:t>
            </w:r>
          </w:p>
          <w:p w14:paraId="5CCB2209" w14:textId="34A738A6" w:rsidR="00051C02" w:rsidRPr="00051C02" w:rsidRDefault="00051C02" w:rsidP="00680D0D">
            <w:pPr>
              <w:autoSpaceDE w:val="0"/>
              <w:autoSpaceDN w:val="0"/>
              <w:adjustRightInd w:val="0"/>
              <w:spacing w:after="0"/>
              <w:rPr>
                <w:rFonts w:cs="Arial"/>
                <w:color w:val="FFFFFF" w:themeColor="background1"/>
              </w:rPr>
            </w:pPr>
            <w:r>
              <w:rPr>
                <w:rFonts w:cs="Arial"/>
                <w:b/>
                <w:bCs/>
                <w:color w:val="FFFFFF" w:themeColor="background1"/>
              </w:rPr>
              <w:t>Ratings</w:t>
            </w:r>
            <w:r w:rsidR="00680D0D">
              <w:rPr>
                <w:rFonts w:cs="Arial"/>
                <w:b/>
                <w:bCs/>
                <w:color w:val="FFFFFF" w:themeColor="background1"/>
              </w:rPr>
              <w:t xml:space="preserve"> </w:t>
            </w:r>
            <w:r>
              <w:rPr>
                <w:rFonts w:cs="Arial"/>
                <w:color w:val="FFFFFF" w:themeColor="background1"/>
              </w:rPr>
              <w:t>(Count)</w:t>
            </w:r>
          </w:p>
        </w:tc>
        <w:tc>
          <w:tcPr>
            <w:tcW w:w="576" w:type="dxa"/>
            <w:shd w:val="clear" w:color="auto" w:fill="00407B" w:themeFill="accent1" w:themeFillShade="BF"/>
            <w:vAlign w:val="center"/>
          </w:tcPr>
          <w:p w14:paraId="77E5889C"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1</w:t>
            </w:r>
          </w:p>
        </w:tc>
        <w:tc>
          <w:tcPr>
            <w:tcW w:w="576" w:type="dxa"/>
            <w:shd w:val="clear" w:color="auto" w:fill="00407B" w:themeFill="accent1" w:themeFillShade="BF"/>
            <w:vAlign w:val="center"/>
          </w:tcPr>
          <w:p w14:paraId="3BB6C49B"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2</w:t>
            </w:r>
          </w:p>
        </w:tc>
        <w:tc>
          <w:tcPr>
            <w:tcW w:w="576" w:type="dxa"/>
            <w:shd w:val="clear" w:color="auto" w:fill="00407B" w:themeFill="accent1" w:themeFillShade="BF"/>
            <w:vAlign w:val="center"/>
          </w:tcPr>
          <w:p w14:paraId="6DA13291"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3</w:t>
            </w:r>
          </w:p>
        </w:tc>
        <w:tc>
          <w:tcPr>
            <w:tcW w:w="576" w:type="dxa"/>
            <w:shd w:val="clear" w:color="auto" w:fill="00407B" w:themeFill="accent1" w:themeFillShade="BF"/>
            <w:vAlign w:val="center"/>
          </w:tcPr>
          <w:p w14:paraId="5C1DD0B9"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4</w:t>
            </w:r>
          </w:p>
        </w:tc>
        <w:tc>
          <w:tcPr>
            <w:tcW w:w="576" w:type="dxa"/>
            <w:shd w:val="clear" w:color="auto" w:fill="00407B" w:themeFill="accent1" w:themeFillShade="BF"/>
            <w:vAlign w:val="center"/>
          </w:tcPr>
          <w:p w14:paraId="7EDD2058"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5</w:t>
            </w:r>
          </w:p>
        </w:tc>
        <w:tc>
          <w:tcPr>
            <w:tcW w:w="576" w:type="dxa"/>
            <w:shd w:val="clear" w:color="auto" w:fill="00407B" w:themeFill="accent1" w:themeFillShade="BF"/>
            <w:vAlign w:val="center"/>
          </w:tcPr>
          <w:p w14:paraId="042ED9B1"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6</w:t>
            </w:r>
          </w:p>
        </w:tc>
        <w:tc>
          <w:tcPr>
            <w:tcW w:w="720" w:type="dxa"/>
            <w:shd w:val="clear" w:color="auto" w:fill="00407B" w:themeFill="accent1" w:themeFillShade="BF"/>
            <w:vAlign w:val="center"/>
          </w:tcPr>
          <w:p w14:paraId="14620962" w14:textId="77777777"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7</w:t>
            </w:r>
          </w:p>
        </w:tc>
        <w:tc>
          <w:tcPr>
            <w:tcW w:w="1189" w:type="dxa"/>
            <w:shd w:val="clear" w:color="auto" w:fill="00407B" w:themeFill="accent1" w:themeFillShade="BF"/>
            <w:vAlign w:val="center"/>
          </w:tcPr>
          <w:p w14:paraId="100EC348" w14:textId="2881E4FF" w:rsidR="001772FF" w:rsidRPr="001772FF" w:rsidRDefault="001772FF" w:rsidP="009A236D">
            <w:pPr>
              <w:autoSpaceDE w:val="0"/>
              <w:autoSpaceDN w:val="0"/>
              <w:adjustRightInd w:val="0"/>
              <w:spacing w:after="0"/>
              <w:jc w:val="center"/>
              <w:rPr>
                <w:rFonts w:cs="Arial"/>
                <w:b/>
                <w:bCs/>
                <w:color w:val="FFFFFF" w:themeColor="background1"/>
              </w:rPr>
            </w:pPr>
            <w:r w:rsidRPr="001772FF">
              <w:rPr>
                <w:rFonts w:cs="Arial"/>
                <w:b/>
                <w:bCs/>
                <w:color w:val="FFFFFF" w:themeColor="background1"/>
              </w:rPr>
              <w:t>Total</w:t>
            </w:r>
            <w:r w:rsidR="00FC2605">
              <w:rPr>
                <w:rFonts w:cs="Arial"/>
                <w:b/>
                <w:bCs/>
                <w:color w:val="FFFFFF" w:themeColor="background1"/>
              </w:rPr>
              <w:t xml:space="preserve"> Ratings</w:t>
            </w:r>
          </w:p>
        </w:tc>
        <w:tc>
          <w:tcPr>
            <w:tcW w:w="990" w:type="dxa"/>
            <w:shd w:val="clear" w:color="auto" w:fill="00407B" w:themeFill="accent1" w:themeFillShade="BF"/>
            <w:vAlign w:val="center"/>
          </w:tcPr>
          <w:p w14:paraId="216649FF" w14:textId="19BBE60A" w:rsidR="001772FF" w:rsidRPr="00C57313" w:rsidRDefault="001772FF" w:rsidP="009A236D">
            <w:pPr>
              <w:autoSpaceDE w:val="0"/>
              <w:autoSpaceDN w:val="0"/>
              <w:adjustRightInd w:val="0"/>
              <w:spacing w:after="0"/>
              <w:jc w:val="center"/>
              <w:rPr>
                <w:rFonts w:cs="Arial"/>
                <w:b/>
                <w:bCs/>
                <w:color w:val="FFFFFF" w:themeColor="background1"/>
                <w:vertAlign w:val="superscript"/>
              </w:rPr>
            </w:pPr>
            <w:r w:rsidRPr="001772FF">
              <w:rPr>
                <w:rFonts w:cs="Arial"/>
                <w:b/>
                <w:bCs/>
                <w:color w:val="FFFFFF" w:themeColor="background1"/>
              </w:rPr>
              <w:t>Score</w:t>
            </w:r>
          </w:p>
        </w:tc>
      </w:tr>
      <w:tr w:rsidR="001772FF" w:rsidRPr="00325509" w14:paraId="258E6C11" w14:textId="77777777" w:rsidTr="00680D0D">
        <w:trPr>
          <w:trHeight w:val="279"/>
          <w:jc w:val="center"/>
        </w:trPr>
        <w:tc>
          <w:tcPr>
            <w:tcW w:w="3744" w:type="dxa"/>
          </w:tcPr>
          <w:p w14:paraId="3F77DD98" w14:textId="46E582A5" w:rsidR="001772FF" w:rsidRPr="00325509" w:rsidRDefault="001772FF" w:rsidP="00C27D90">
            <w:pPr>
              <w:autoSpaceDE w:val="0"/>
              <w:autoSpaceDN w:val="0"/>
              <w:adjustRightInd w:val="0"/>
              <w:spacing w:after="0"/>
              <w:rPr>
                <w:rFonts w:cs="Arial"/>
                <w:color w:val="000000"/>
              </w:rPr>
            </w:pPr>
            <w:r w:rsidRPr="00325509">
              <w:rPr>
                <w:rFonts w:cs="Arial"/>
                <w:color w:val="000000"/>
              </w:rPr>
              <w:t xml:space="preserve">Improved Employment </w:t>
            </w:r>
            <w:r w:rsidR="00F7702D">
              <w:rPr>
                <w:rFonts w:cs="Arial"/>
                <w:color w:val="000000"/>
              </w:rPr>
              <w:t>Opportunities</w:t>
            </w:r>
          </w:p>
        </w:tc>
        <w:tc>
          <w:tcPr>
            <w:tcW w:w="576" w:type="dxa"/>
            <w:vAlign w:val="center"/>
          </w:tcPr>
          <w:p w14:paraId="747CF60B"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95</w:t>
            </w:r>
          </w:p>
        </w:tc>
        <w:tc>
          <w:tcPr>
            <w:tcW w:w="576" w:type="dxa"/>
            <w:vAlign w:val="center"/>
          </w:tcPr>
          <w:p w14:paraId="78F7FE6D"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18</w:t>
            </w:r>
          </w:p>
        </w:tc>
        <w:tc>
          <w:tcPr>
            <w:tcW w:w="576" w:type="dxa"/>
            <w:vAlign w:val="center"/>
          </w:tcPr>
          <w:p w14:paraId="5CE8944E"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19</w:t>
            </w:r>
          </w:p>
        </w:tc>
        <w:tc>
          <w:tcPr>
            <w:tcW w:w="576" w:type="dxa"/>
            <w:vAlign w:val="center"/>
          </w:tcPr>
          <w:p w14:paraId="618E6626"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31</w:t>
            </w:r>
          </w:p>
        </w:tc>
        <w:tc>
          <w:tcPr>
            <w:tcW w:w="576" w:type="dxa"/>
            <w:vAlign w:val="center"/>
          </w:tcPr>
          <w:p w14:paraId="2EF1BCA3"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76</w:t>
            </w:r>
          </w:p>
        </w:tc>
        <w:tc>
          <w:tcPr>
            <w:tcW w:w="576" w:type="dxa"/>
            <w:vAlign w:val="center"/>
          </w:tcPr>
          <w:p w14:paraId="0ADE8439"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86</w:t>
            </w:r>
          </w:p>
        </w:tc>
        <w:tc>
          <w:tcPr>
            <w:tcW w:w="720" w:type="dxa"/>
            <w:vAlign w:val="center"/>
          </w:tcPr>
          <w:p w14:paraId="15832B5E" w14:textId="77777777" w:rsidR="001772FF" w:rsidRPr="00325509" w:rsidRDefault="001772FF" w:rsidP="009A236D">
            <w:pPr>
              <w:autoSpaceDE w:val="0"/>
              <w:autoSpaceDN w:val="0"/>
              <w:adjustRightInd w:val="0"/>
              <w:spacing w:after="0"/>
              <w:jc w:val="center"/>
              <w:rPr>
                <w:rFonts w:cs="Arial"/>
                <w:color w:val="000000"/>
              </w:rPr>
            </w:pPr>
            <w:r>
              <w:rPr>
                <w:rFonts w:cs="Arial"/>
                <w:color w:val="000000"/>
              </w:rPr>
              <w:t>220</w:t>
            </w:r>
          </w:p>
        </w:tc>
        <w:tc>
          <w:tcPr>
            <w:tcW w:w="1189" w:type="dxa"/>
            <w:vAlign w:val="center"/>
          </w:tcPr>
          <w:p w14:paraId="64237283" w14:textId="77777777" w:rsidR="001772FF" w:rsidRPr="00325509" w:rsidRDefault="001772FF" w:rsidP="009A236D">
            <w:pPr>
              <w:autoSpaceDE w:val="0"/>
              <w:autoSpaceDN w:val="0"/>
              <w:adjustRightInd w:val="0"/>
              <w:spacing w:after="0"/>
              <w:jc w:val="center"/>
              <w:rPr>
                <w:rFonts w:cs="Arial"/>
                <w:color w:val="000000"/>
              </w:rPr>
            </w:pPr>
            <w:r w:rsidRPr="00325509">
              <w:rPr>
                <w:rFonts w:cs="Arial"/>
                <w:color w:val="000000"/>
              </w:rPr>
              <w:t>545</w:t>
            </w:r>
          </w:p>
        </w:tc>
        <w:tc>
          <w:tcPr>
            <w:tcW w:w="990" w:type="dxa"/>
            <w:vAlign w:val="center"/>
          </w:tcPr>
          <w:p w14:paraId="3EED02BA" w14:textId="77777777" w:rsidR="001772FF" w:rsidRPr="00325509" w:rsidRDefault="001772FF" w:rsidP="009A236D">
            <w:pPr>
              <w:autoSpaceDE w:val="0"/>
              <w:autoSpaceDN w:val="0"/>
              <w:adjustRightInd w:val="0"/>
              <w:spacing w:after="0"/>
              <w:jc w:val="center"/>
              <w:rPr>
                <w:rFonts w:cs="Arial"/>
                <w:color w:val="000000"/>
              </w:rPr>
            </w:pPr>
            <w:r>
              <w:rPr>
                <w:rFonts w:cs="Arial"/>
                <w:color w:val="000000"/>
              </w:rPr>
              <w:t>72.0%</w:t>
            </w:r>
          </w:p>
        </w:tc>
      </w:tr>
    </w:tbl>
    <w:p w14:paraId="7978CE50" w14:textId="3D313BFA" w:rsidR="00766902" w:rsidRDefault="00AB58AC" w:rsidP="007B1D01">
      <w:pPr>
        <w:pStyle w:val="SectionSub-Headings"/>
        <w:keepNext/>
      </w:pPr>
      <w:bookmarkStart w:id="24" w:name="_Toc90632185"/>
      <w:r>
        <w:t xml:space="preserve">Survey </w:t>
      </w:r>
      <w:r w:rsidR="00A87EA6">
        <w:t xml:space="preserve">Results by </w:t>
      </w:r>
      <w:r w:rsidR="00946325">
        <w:t xml:space="preserve">Consumer </w:t>
      </w:r>
      <w:r w:rsidR="0039027D">
        <w:t>DOR District</w:t>
      </w:r>
      <w:bookmarkEnd w:id="24"/>
      <w:r w:rsidR="00C07858">
        <w:t xml:space="preserve"> </w:t>
      </w:r>
    </w:p>
    <w:p w14:paraId="730BC7E2" w14:textId="6A9DAC10" w:rsidR="00461BDA" w:rsidRDefault="00692D40" w:rsidP="007B1D01">
      <w:pPr>
        <w:pStyle w:val="SectionSub-HeadingsTopics"/>
        <w:keepNext/>
        <w:numPr>
          <w:ilvl w:val="0"/>
          <w:numId w:val="13"/>
        </w:numPr>
      </w:pPr>
      <w:bookmarkStart w:id="25" w:name="_Toc90632186"/>
      <w:r>
        <w:t xml:space="preserve">Survey </w:t>
      </w:r>
      <w:r w:rsidR="00673000">
        <w:t>Responses by</w:t>
      </w:r>
      <w:r w:rsidR="00304D95">
        <w:t xml:space="preserve"> Consumer</w:t>
      </w:r>
      <w:r w:rsidR="00673000">
        <w:t xml:space="preserve"> </w:t>
      </w:r>
      <w:r w:rsidR="00461BDA">
        <w:t>DOR District</w:t>
      </w:r>
      <w:bookmarkEnd w:id="25"/>
    </w:p>
    <w:p w14:paraId="15593A76" w14:textId="75446F54" w:rsidR="00673000" w:rsidRDefault="006F09E8" w:rsidP="0002453E">
      <w:pPr>
        <w:rPr>
          <w:b/>
          <w:bCs/>
        </w:rPr>
      </w:pPr>
      <w:r>
        <w:t>Invitations for the CSS were sent to DOR consumers based on their DOR district. For each DOR district, the percent of total invitations sent was equivalent (</w:t>
      </w:r>
      <w:r>
        <w:rPr>
          <w:rFonts w:cs="Arial"/>
        </w:rPr>
        <w:t>±</w:t>
      </w:r>
      <w:r>
        <w:t xml:space="preserve">1%) to the percent of DOR’s total population it served </w:t>
      </w:r>
      <w:r w:rsidRPr="00E90DDB">
        <w:t xml:space="preserve">(Figure </w:t>
      </w:r>
      <w:r w:rsidR="00051C02" w:rsidRPr="00E90DDB">
        <w:t>8</w:t>
      </w:r>
      <w:r w:rsidRPr="00E90DDB">
        <w:t xml:space="preserve"> and Table </w:t>
      </w:r>
      <w:r w:rsidR="00051C02" w:rsidRPr="00E90DDB">
        <w:t>11</w:t>
      </w:r>
      <w:r w:rsidRPr="00E90DDB">
        <w:t>).</w:t>
      </w:r>
      <w:r w:rsidR="007A461C" w:rsidRPr="00E90DDB">
        <w:t xml:space="preserve"> </w:t>
      </w:r>
    </w:p>
    <w:p w14:paraId="1B24764B" w14:textId="77777777" w:rsidR="00673000" w:rsidRPr="00051C02" w:rsidRDefault="00673000" w:rsidP="00051C02">
      <w:r w:rsidRPr="00051C02">
        <w:t>There were 849 responses received for the SFY 2020-21 CSS, which is equivalent to 0.8% of the total population served by DOR in SFY 2019-20. While the total number of responses was lower than anticipated, the responses are still reflective of DOR’s total consumer population with a statistical confidence level of 99% (</w:t>
      </w:r>
      <w:r w:rsidRPr="00051C02">
        <w:rPr>
          <w:rFonts w:cs="Arial"/>
        </w:rPr>
        <w:t>±</w:t>
      </w:r>
      <w:r w:rsidRPr="00051C02">
        <w:t xml:space="preserve">4.411%). </w:t>
      </w:r>
    </w:p>
    <w:p w14:paraId="60DAE247" w14:textId="6F7C857A" w:rsidR="00673000" w:rsidRDefault="00673000" w:rsidP="00051C02">
      <w:r w:rsidRPr="00051C02">
        <w:t xml:space="preserve">Responses from DOR </w:t>
      </w:r>
      <w:r w:rsidR="00654090">
        <w:t>d</w:t>
      </w:r>
      <w:r w:rsidRPr="00051C02">
        <w:t xml:space="preserve">istricts Santa Barbara, San Diego, and Blind Field Services were higher than expected (by at least one percent) compared to the proportion of individuals served by DOR. Conversely, </w:t>
      </w:r>
      <w:r w:rsidR="00A96C15">
        <w:t>r</w:t>
      </w:r>
      <w:r w:rsidRPr="00051C02">
        <w:t xml:space="preserve">esponses from DOR </w:t>
      </w:r>
      <w:r w:rsidR="00654090">
        <w:t>d</w:t>
      </w:r>
      <w:r w:rsidRPr="00051C02">
        <w:t>istricts Inland Empire and LA South Bay were lower than expected (by at least one percent) compared to the proportion of individuals sent the survey. For the remaining ten DOR districts, the percent of survey responses received were consistent with the percent of DOR’s total population served (</w:t>
      </w:r>
      <w:r w:rsidRPr="00051C02">
        <w:rPr>
          <w:rFonts w:cs="Arial"/>
        </w:rPr>
        <w:t>±</w:t>
      </w:r>
      <w:r w:rsidRPr="00051C02">
        <w:t>1.0%).</w:t>
      </w:r>
    </w:p>
    <w:p w14:paraId="173C9223" w14:textId="511D3CDF" w:rsidR="00673000" w:rsidRDefault="00673000" w:rsidP="00BD2621">
      <w:pPr>
        <w:pStyle w:val="FigureTitle"/>
        <w:spacing w:before="0"/>
      </w:pPr>
      <w:r>
        <w:lastRenderedPageBreak/>
        <w:t>Comparison of CSS Population Size, Surveys Sent, and Responses Received by DOR District</w:t>
      </w:r>
    </w:p>
    <w:p w14:paraId="588069B1" w14:textId="56DEA378" w:rsidR="00BD2621" w:rsidRDefault="00BD2621" w:rsidP="00BD2621">
      <w:pPr>
        <w:jc w:val="center"/>
      </w:pPr>
      <w:r>
        <w:rPr>
          <w:noProof/>
        </w:rPr>
        <w:drawing>
          <wp:inline distT="0" distB="0" distL="0" distR="0" wp14:anchorId="2767A023" wp14:editId="411C9D51">
            <wp:extent cx="6766560" cy="5752366"/>
            <wp:effectExtent l="19050" t="19050" r="15240" b="20320"/>
            <wp:docPr id="30" name="Picture 30" descr="Figure 8 Description:  The percent of total DOR Population Size (A, light gray), surveys sent (B, dark gray), and CSS responses received (C, blue) for each DOR district are illustrated using bar charts. Figure data are listed in table format below (Tabl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Figure 8 Description:  The percent of total DOR Population Size (A, light gray), surveys sent (B, dark gray), and CSS responses received (C, blue) for each DOR district are illustrated using bar charts. Figure data are listed in table format below (Tabl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6560" cy="5752366"/>
                    </a:xfrm>
                    <a:prstGeom prst="rect">
                      <a:avLst/>
                    </a:prstGeom>
                    <a:noFill/>
                    <a:ln>
                      <a:solidFill>
                        <a:schemeClr val="bg1">
                          <a:lumMod val="75000"/>
                        </a:schemeClr>
                      </a:solidFill>
                    </a:ln>
                  </pic:spPr>
                </pic:pic>
              </a:graphicData>
            </a:graphic>
          </wp:inline>
        </w:drawing>
      </w:r>
    </w:p>
    <w:p w14:paraId="09BF160B" w14:textId="5797FF86" w:rsidR="008E5135" w:rsidRDefault="00673000" w:rsidP="00673000">
      <w:pPr>
        <w:pStyle w:val="FigureFootnotes"/>
        <w:spacing w:before="0"/>
      </w:pPr>
      <w:r>
        <w:t xml:space="preserve">The percent of total DOR Population Size </w:t>
      </w:r>
      <w:r w:rsidRPr="00702695">
        <w:t xml:space="preserve">(A, light gray), surveys sent (B, dark gray), and CSS responses received (C, blue) for each DOR district </w:t>
      </w:r>
      <w:r w:rsidR="007B77CB">
        <w:t>(</w:t>
      </w:r>
      <w:r w:rsidR="00E17359">
        <w:t xml:space="preserve">by name and code) </w:t>
      </w:r>
      <w:r w:rsidRPr="00702695">
        <w:t xml:space="preserve">are illustrated using bar charts. Figure data are listed in table format </w:t>
      </w:r>
      <w:r w:rsidRPr="00E90DDB">
        <w:t xml:space="preserve">below (Table </w:t>
      </w:r>
      <w:r w:rsidR="00E90DDB" w:rsidRPr="00E90DDB">
        <w:t>11</w:t>
      </w:r>
      <w:r w:rsidRPr="00702695">
        <w:t>).</w:t>
      </w:r>
    </w:p>
    <w:p w14:paraId="311874AE" w14:textId="77777777" w:rsidR="008E5135" w:rsidRDefault="008E5135">
      <w:pPr>
        <w:spacing w:after="160" w:line="259" w:lineRule="auto"/>
      </w:pPr>
      <w:r>
        <w:br w:type="page"/>
      </w:r>
    </w:p>
    <w:p w14:paraId="02BD68DC" w14:textId="77777777" w:rsidR="00673000" w:rsidRPr="00B91062" w:rsidRDefault="00673000" w:rsidP="00673000">
      <w:pPr>
        <w:pStyle w:val="TableTitle"/>
      </w:pPr>
      <w:r>
        <w:lastRenderedPageBreak/>
        <w:t>Comparison of Consumer Satisfaction Survey and DOR District Sizes</w:t>
      </w:r>
    </w:p>
    <w:tbl>
      <w:tblPr>
        <w:tblStyle w:val="TableGrid"/>
        <w:tblW w:w="4984" w:type="pct"/>
        <w:tblLook w:val="04A0" w:firstRow="1" w:lastRow="0" w:firstColumn="1" w:lastColumn="0" w:noHBand="0" w:noVBand="1"/>
      </w:tblPr>
      <w:tblGrid>
        <w:gridCol w:w="3511"/>
        <w:gridCol w:w="2385"/>
        <w:gridCol w:w="2407"/>
        <w:gridCol w:w="2452"/>
      </w:tblGrid>
      <w:tr w:rsidR="00673000" w:rsidRPr="00390345" w14:paraId="5FD05CE5" w14:textId="77777777" w:rsidTr="008013D9">
        <w:trPr>
          <w:trHeight w:val="24"/>
        </w:trPr>
        <w:tc>
          <w:tcPr>
            <w:tcW w:w="1632" w:type="pct"/>
            <w:shd w:val="clear" w:color="auto" w:fill="00407B" w:themeFill="accent1" w:themeFillShade="BF"/>
            <w:vAlign w:val="center"/>
            <w:hideMark/>
          </w:tcPr>
          <w:p w14:paraId="423AA9F0" w14:textId="77777777" w:rsidR="007B77CB" w:rsidRDefault="00673000" w:rsidP="008013D9">
            <w:pPr>
              <w:spacing w:after="0"/>
              <w:rPr>
                <w:rFonts w:eastAsia="Times New Roman" w:cs="Arial"/>
                <w:b/>
                <w:bCs/>
                <w:color w:val="FFFFFF" w:themeColor="background1"/>
              </w:rPr>
            </w:pPr>
            <w:r w:rsidRPr="00390345">
              <w:rPr>
                <w:rFonts w:eastAsia="Times New Roman" w:cs="Arial"/>
                <w:b/>
                <w:bCs/>
                <w:color w:val="FFFFFF" w:themeColor="background1"/>
              </w:rPr>
              <w:t>DOR District</w:t>
            </w:r>
            <w:r w:rsidR="00940FB1">
              <w:rPr>
                <w:rFonts w:eastAsia="Times New Roman" w:cs="Arial"/>
                <w:b/>
                <w:bCs/>
                <w:color w:val="FFFFFF" w:themeColor="background1"/>
              </w:rPr>
              <w:t xml:space="preserve"> </w:t>
            </w:r>
          </w:p>
          <w:p w14:paraId="376C70A0" w14:textId="4211DC3B" w:rsidR="00673000" w:rsidRPr="00390345" w:rsidRDefault="007B77CB" w:rsidP="008013D9">
            <w:pPr>
              <w:spacing w:after="0"/>
              <w:rPr>
                <w:rFonts w:eastAsia="Times New Roman" w:cs="Arial"/>
                <w:b/>
                <w:bCs/>
                <w:color w:val="FFFFFF" w:themeColor="background1"/>
              </w:rPr>
            </w:pPr>
            <w:r w:rsidRPr="007B77CB">
              <w:rPr>
                <w:rFonts w:eastAsia="Times New Roman" w:cs="Arial"/>
                <w:color w:val="FFFFFF" w:themeColor="background1"/>
              </w:rPr>
              <w:t>(Name and C</w:t>
            </w:r>
            <w:r w:rsidR="00940FB1" w:rsidRPr="007B77CB">
              <w:rPr>
                <w:rFonts w:eastAsia="Times New Roman" w:cs="Arial"/>
                <w:color w:val="FFFFFF" w:themeColor="background1"/>
              </w:rPr>
              <w:t>ode)</w:t>
            </w:r>
          </w:p>
        </w:tc>
        <w:tc>
          <w:tcPr>
            <w:tcW w:w="1109" w:type="pct"/>
            <w:shd w:val="clear" w:color="auto" w:fill="00407B" w:themeFill="accent1" w:themeFillShade="BF"/>
          </w:tcPr>
          <w:p w14:paraId="56298683" w14:textId="0FE15D72" w:rsidR="00673000" w:rsidRDefault="00673000" w:rsidP="006B7248">
            <w:pPr>
              <w:spacing w:after="0"/>
              <w:jc w:val="center"/>
              <w:rPr>
                <w:rFonts w:eastAsia="Times New Roman" w:cs="Arial"/>
                <w:b/>
                <w:bCs/>
                <w:color w:val="FFFFFF" w:themeColor="background1"/>
              </w:rPr>
            </w:pPr>
            <w:r w:rsidRPr="00390345">
              <w:rPr>
                <w:rFonts w:eastAsia="Times New Roman" w:cs="Arial"/>
                <w:b/>
                <w:bCs/>
                <w:color w:val="FFFFFF" w:themeColor="background1"/>
              </w:rPr>
              <w:t>Population</w:t>
            </w:r>
          </w:p>
          <w:p w14:paraId="121A3F03" w14:textId="77777777" w:rsidR="00673000" w:rsidRPr="00390345" w:rsidRDefault="00673000" w:rsidP="006B7248">
            <w:pPr>
              <w:spacing w:after="0"/>
              <w:jc w:val="center"/>
              <w:rPr>
                <w:rFonts w:eastAsia="Times New Roman" w:cs="Arial"/>
                <w:i/>
                <w:iCs/>
                <w:color w:val="FFFFFF" w:themeColor="background1"/>
              </w:rPr>
            </w:pPr>
            <w:r>
              <w:rPr>
                <w:rFonts w:eastAsia="Times New Roman" w:cs="Arial"/>
                <w:color w:val="FFFFFF" w:themeColor="background1"/>
              </w:rPr>
              <w:t>(Percent of Total)</w:t>
            </w:r>
          </w:p>
        </w:tc>
        <w:tc>
          <w:tcPr>
            <w:tcW w:w="1119" w:type="pct"/>
            <w:shd w:val="clear" w:color="auto" w:fill="00407B" w:themeFill="accent1" w:themeFillShade="BF"/>
          </w:tcPr>
          <w:p w14:paraId="13F00D64" w14:textId="53CA8FDE" w:rsidR="00673000" w:rsidRDefault="00673000" w:rsidP="006B7248">
            <w:pPr>
              <w:spacing w:after="0"/>
              <w:jc w:val="center"/>
              <w:rPr>
                <w:rFonts w:eastAsia="Times New Roman" w:cs="Arial"/>
                <w:b/>
                <w:bCs/>
                <w:color w:val="FFFFFF" w:themeColor="background1"/>
              </w:rPr>
            </w:pPr>
            <w:r>
              <w:rPr>
                <w:rFonts w:eastAsia="Times New Roman" w:cs="Arial"/>
                <w:b/>
                <w:bCs/>
                <w:color w:val="FFFFFF" w:themeColor="background1"/>
              </w:rPr>
              <w:t>Sent</w:t>
            </w:r>
          </w:p>
          <w:p w14:paraId="7B3E6AC0" w14:textId="77777777" w:rsidR="00673000" w:rsidRPr="009D2452" w:rsidRDefault="00673000" w:rsidP="006B7248">
            <w:pPr>
              <w:spacing w:after="0"/>
              <w:jc w:val="center"/>
              <w:rPr>
                <w:rFonts w:eastAsia="Times New Roman" w:cs="Arial"/>
                <w:i/>
                <w:iCs/>
                <w:color w:val="FFFFFF" w:themeColor="background1"/>
                <w:vertAlign w:val="superscript"/>
              </w:rPr>
            </w:pPr>
            <w:r>
              <w:rPr>
                <w:rFonts w:eastAsia="Times New Roman" w:cs="Arial"/>
                <w:color w:val="FFFFFF" w:themeColor="background1"/>
              </w:rPr>
              <w:t>(</w:t>
            </w:r>
            <w:r w:rsidRPr="005C79E8">
              <w:rPr>
                <w:rFonts w:eastAsia="Times New Roman" w:cs="Arial"/>
                <w:color w:val="FFFFFF" w:themeColor="background1"/>
              </w:rPr>
              <w:t xml:space="preserve">Percent of Total) </w:t>
            </w:r>
          </w:p>
        </w:tc>
        <w:tc>
          <w:tcPr>
            <w:tcW w:w="1140" w:type="pct"/>
            <w:shd w:val="clear" w:color="auto" w:fill="00407B" w:themeFill="accent1" w:themeFillShade="BF"/>
          </w:tcPr>
          <w:p w14:paraId="24923526" w14:textId="1CFE0CFF" w:rsidR="00673000" w:rsidRPr="00C65ACD" w:rsidRDefault="00673000" w:rsidP="006B7248">
            <w:pPr>
              <w:spacing w:after="0"/>
              <w:jc w:val="center"/>
              <w:rPr>
                <w:rFonts w:eastAsia="Times New Roman" w:cs="Arial"/>
                <w:b/>
                <w:bCs/>
                <w:color w:val="FFFFFF" w:themeColor="background1"/>
                <w:vertAlign w:val="superscript"/>
              </w:rPr>
            </w:pPr>
            <w:r>
              <w:rPr>
                <w:rFonts w:eastAsia="Times New Roman" w:cs="Arial"/>
                <w:b/>
                <w:bCs/>
                <w:color w:val="FFFFFF" w:themeColor="background1"/>
              </w:rPr>
              <w:t xml:space="preserve"> Responses</w:t>
            </w:r>
          </w:p>
          <w:p w14:paraId="180DADC7" w14:textId="77777777" w:rsidR="00673000" w:rsidRPr="00390345" w:rsidRDefault="00673000" w:rsidP="006B7248">
            <w:pPr>
              <w:spacing w:after="0"/>
              <w:jc w:val="center"/>
              <w:rPr>
                <w:rFonts w:eastAsia="Times New Roman" w:cs="Arial"/>
                <w:b/>
                <w:bCs/>
                <w:color w:val="FFFFFF" w:themeColor="background1"/>
              </w:rPr>
            </w:pPr>
            <w:r w:rsidRPr="00B704C3">
              <w:rPr>
                <w:rFonts w:eastAsia="Times New Roman" w:cs="Arial"/>
                <w:color w:val="FFFFFF" w:themeColor="background1"/>
              </w:rPr>
              <w:t>(Percent of Total</w:t>
            </w:r>
            <w:r>
              <w:rPr>
                <w:rFonts w:eastAsia="Times New Roman" w:cs="Arial"/>
                <w:color w:val="FFFFFF" w:themeColor="background1"/>
              </w:rPr>
              <w:t>)</w:t>
            </w:r>
          </w:p>
        </w:tc>
      </w:tr>
      <w:tr w:rsidR="00673000" w:rsidRPr="001224EC" w14:paraId="73C5D4B8" w14:textId="77777777" w:rsidTr="008013D9">
        <w:trPr>
          <w:trHeight w:val="24"/>
        </w:trPr>
        <w:tc>
          <w:tcPr>
            <w:tcW w:w="1632" w:type="pct"/>
            <w:noWrap/>
            <w:hideMark/>
          </w:tcPr>
          <w:p w14:paraId="5788A078" w14:textId="77777777" w:rsidR="00673000" w:rsidRPr="001224EC" w:rsidRDefault="00673000" w:rsidP="006B7248">
            <w:pPr>
              <w:spacing w:after="0"/>
              <w:rPr>
                <w:rFonts w:eastAsia="Times New Roman" w:cs="Arial"/>
                <w:color w:val="000000"/>
              </w:rPr>
            </w:pPr>
            <w:r w:rsidRPr="001224EC">
              <w:rPr>
                <w:rFonts w:eastAsia="Times New Roman" w:cs="Arial"/>
                <w:color w:val="000000"/>
              </w:rPr>
              <w:t>Van Nuys/Foothill</w:t>
            </w:r>
            <w:r>
              <w:rPr>
                <w:rFonts w:eastAsia="Times New Roman" w:cs="Arial"/>
                <w:color w:val="000000"/>
              </w:rPr>
              <w:t xml:space="preserve"> (410)</w:t>
            </w:r>
            <w:r w:rsidRPr="001224EC">
              <w:rPr>
                <w:rFonts w:eastAsia="Times New Roman" w:cs="Arial"/>
                <w:color w:val="000000"/>
              </w:rPr>
              <w:t xml:space="preserve"> </w:t>
            </w:r>
          </w:p>
        </w:tc>
        <w:tc>
          <w:tcPr>
            <w:tcW w:w="1109" w:type="pct"/>
            <w:noWrap/>
            <w:hideMark/>
          </w:tcPr>
          <w:p w14:paraId="2F810F49"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10.5%</w:t>
            </w:r>
          </w:p>
        </w:tc>
        <w:tc>
          <w:tcPr>
            <w:tcW w:w="1119" w:type="pct"/>
            <w:noWrap/>
            <w:hideMark/>
          </w:tcPr>
          <w:p w14:paraId="05342862"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10.4%</w:t>
            </w:r>
          </w:p>
        </w:tc>
        <w:tc>
          <w:tcPr>
            <w:tcW w:w="1140" w:type="pct"/>
          </w:tcPr>
          <w:p w14:paraId="3CFDE84E" w14:textId="77777777" w:rsidR="00673000" w:rsidRPr="00545C86" w:rsidRDefault="00673000" w:rsidP="001027D2">
            <w:pPr>
              <w:spacing w:after="0"/>
              <w:jc w:val="center"/>
              <w:rPr>
                <w:rFonts w:eastAsia="Times New Roman" w:cs="Arial"/>
                <w:color w:val="000000"/>
              </w:rPr>
            </w:pPr>
            <w:r w:rsidRPr="00545C86">
              <w:rPr>
                <w:rFonts w:cs="Arial"/>
              </w:rPr>
              <w:t>10.5%</w:t>
            </w:r>
          </w:p>
        </w:tc>
      </w:tr>
      <w:tr w:rsidR="00673000" w:rsidRPr="001224EC" w14:paraId="3703778F" w14:textId="77777777" w:rsidTr="008013D9">
        <w:trPr>
          <w:trHeight w:val="24"/>
        </w:trPr>
        <w:tc>
          <w:tcPr>
            <w:tcW w:w="1632" w:type="pct"/>
            <w:noWrap/>
            <w:hideMark/>
          </w:tcPr>
          <w:p w14:paraId="077E95A0"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Inland Empire </w:t>
            </w:r>
            <w:r>
              <w:rPr>
                <w:rFonts w:eastAsia="Times New Roman" w:cs="Arial"/>
                <w:color w:val="000000"/>
              </w:rPr>
              <w:t>(340)</w:t>
            </w:r>
          </w:p>
        </w:tc>
        <w:tc>
          <w:tcPr>
            <w:tcW w:w="1109" w:type="pct"/>
            <w:noWrap/>
            <w:hideMark/>
          </w:tcPr>
          <w:p w14:paraId="1E3EDB7E"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10.5%</w:t>
            </w:r>
          </w:p>
        </w:tc>
        <w:tc>
          <w:tcPr>
            <w:tcW w:w="1119" w:type="pct"/>
            <w:noWrap/>
            <w:hideMark/>
          </w:tcPr>
          <w:p w14:paraId="6C77255F"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10.5%</w:t>
            </w:r>
          </w:p>
        </w:tc>
        <w:tc>
          <w:tcPr>
            <w:tcW w:w="1140" w:type="pct"/>
          </w:tcPr>
          <w:p w14:paraId="31E19AFC" w14:textId="77777777" w:rsidR="00673000" w:rsidRPr="00545C86" w:rsidRDefault="00673000" w:rsidP="001027D2">
            <w:pPr>
              <w:spacing w:after="0"/>
              <w:jc w:val="center"/>
              <w:rPr>
                <w:rFonts w:eastAsia="Times New Roman" w:cs="Arial"/>
                <w:color w:val="000000"/>
              </w:rPr>
            </w:pPr>
            <w:r w:rsidRPr="00545C86">
              <w:rPr>
                <w:rFonts w:cs="Arial"/>
              </w:rPr>
              <w:t>6.9%</w:t>
            </w:r>
          </w:p>
        </w:tc>
      </w:tr>
      <w:tr w:rsidR="00673000" w:rsidRPr="001224EC" w14:paraId="12374B7D" w14:textId="77777777" w:rsidTr="008013D9">
        <w:trPr>
          <w:trHeight w:val="24"/>
        </w:trPr>
        <w:tc>
          <w:tcPr>
            <w:tcW w:w="1632" w:type="pct"/>
            <w:noWrap/>
            <w:hideMark/>
          </w:tcPr>
          <w:p w14:paraId="1B0E83C4" w14:textId="77777777" w:rsidR="00673000" w:rsidRPr="001224EC" w:rsidRDefault="00673000" w:rsidP="006B7248">
            <w:pPr>
              <w:spacing w:after="0"/>
              <w:rPr>
                <w:rFonts w:eastAsia="Times New Roman" w:cs="Arial"/>
                <w:color w:val="000000"/>
              </w:rPr>
            </w:pPr>
            <w:r w:rsidRPr="001224EC">
              <w:rPr>
                <w:rFonts w:eastAsia="Times New Roman" w:cs="Arial"/>
                <w:color w:val="000000"/>
              </w:rPr>
              <w:t>Orange/San Gabriel</w:t>
            </w:r>
            <w:r>
              <w:rPr>
                <w:rFonts w:eastAsia="Times New Roman" w:cs="Arial"/>
                <w:color w:val="000000"/>
              </w:rPr>
              <w:t xml:space="preserve"> (550)</w:t>
            </w:r>
            <w:r w:rsidRPr="001224EC">
              <w:rPr>
                <w:rFonts w:eastAsia="Times New Roman" w:cs="Arial"/>
                <w:color w:val="000000"/>
              </w:rPr>
              <w:t xml:space="preserve"> </w:t>
            </w:r>
          </w:p>
        </w:tc>
        <w:tc>
          <w:tcPr>
            <w:tcW w:w="1109" w:type="pct"/>
            <w:noWrap/>
            <w:hideMark/>
          </w:tcPr>
          <w:p w14:paraId="16E1AF60"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9.3%</w:t>
            </w:r>
          </w:p>
        </w:tc>
        <w:tc>
          <w:tcPr>
            <w:tcW w:w="1119" w:type="pct"/>
            <w:noWrap/>
            <w:hideMark/>
          </w:tcPr>
          <w:p w14:paraId="6B11C00D"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10</w:t>
            </w:r>
            <w:r>
              <w:rPr>
                <w:rFonts w:eastAsia="Times New Roman" w:cs="Arial"/>
                <w:color w:val="000000"/>
              </w:rPr>
              <w:t>.0</w:t>
            </w:r>
            <w:r w:rsidRPr="00390345">
              <w:rPr>
                <w:rFonts w:eastAsia="Times New Roman" w:cs="Arial"/>
                <w:color w:val="000000"/>
              </w:rPr>
              <w:t>%</w:t>
            </w:r>
          </w:p>
        </w:tc>
        <w:tc>
          <w:tcPr>
            <w:tcW w:w="1140" w:type="pct"/>
          </w:tcPr>
          <w:p w14:paraId="2301AC2F" w14:textId="77777777" w:rsidR="00673000" w:rsidRPr="00545C86" w:rsidRDefault="00673000" w:rsidP="001027D2">
            <w:pPr>
              <w:spacing w:after="0"/>
              <w:jc w:val="center"/>
              <w:rPr>
                <w:rFonts w:eastAsia="Times New Roman" w:cs="Arial"/>
                <w:color w:val="000000"/>
              </w:rPr>
            </w:pPr>
            <w:r w:rsidRPr="00545C86">
              <w:rPr>
                <w:rFonts w:cs="Arial"/>
              </w:rPr>
              <w:t>9.1%</w:t>
            </w:r>
          </w:p>
        </w:tc>
      </w:tr>
      <w:tr w:rsidR="00673000" w:rsidRPr="001224EC" w14:paraId="3AE03049" w14:textId="77777777" w:rsidTr="008013D9">
        <w:trPr>
          <w:trHeight w:val="24"/>
        </w:trPr>
        <w:tc>
          <w:tcPr>
            <w:tcW w:w="1632" w:type="pct"/>
            <w:noWrap/>
            <w:hideMark/>
          </w:tcPr>
          <w:p w14:paraId="6E57A7AA"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San Diego </w:t>
            </w:r>
            <w:r>
              <w:rPr>
                <w:rFonts w:eastAsia="Times New Roman" w:cs="Arial"/>
                <w:color w:val="000000"/>
              </w:rPr>
              <w:t>(350)</w:t>
            </w:r>
          </w:p>
        </w:tc>
        <w:tc>
          <w:tcPr>
            <w:tcW w:w="1109" w:type="pct"/>
            <w:noWrap/>
            <w:hideMark/>
          </w:tcPr>
          <w:p w14:paraId="33C819DF"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9.1%</w:t>
            </w:r>
          </w:p>
        </w:tc>
        <w:tc>
          <w:tcPr>
            <w:tcW w:w="1119" w:type="pct"/>
            <w:noWrap/>
            <w:hideMark/>
          </w:tcPr>
          <w:p w14:paraId="1E955642"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9.1%</w:t>
            </w:r>
          </w:p>
        </w:tc>
        <w:tc>
          <w:tcPr>
            <w:tcW w:w="1140" w:type="pct"/>
          </w:tcPr>
          <w:p w14:paraId="621AD813" w14:textId="77777777" w:rsidR="00673000" w:rsidRPr="00545C86" w:rsidRDefault="00673000" w:rsidP="001027D2">
            <w:pPr>
              <w:spacing w:after="0"/>
              <w:jc w:val="center"/>
              <w:rPr>
                <w:rFonts w:eastAsia="Times New Roman" w:cs="Arial"/>
                <w:color w:val="000000"/>
              </w:rPr>
            </w:pPr>
            <w:r>
              <w:rPr>
                <w:rFonts w:cs="Arial"/>
              </w:rPr>
              <w:t>1</w:t>
            </w:r>
            <w:r w:rsidRPr="00545C86">
              <w:rPr>
                <w:rFonts w:cs="Arial"/>
              </w:rPr>
              <w:t>1.7%</w:t>
            </w:r>
          </w:p>
        </w:tc>
      </w:tr>
      <w:tr w:rsidR="00673000" w:rsidRPr="001224EC" w14:paraId="36FA65FB" w14:textId="77777777" w:rsidTr="008013D9">
        <w:trPr>
          <w:trHeight w:val="24"/>
        </w:trPr>
        <w:tc>
          <w:tcPr>
            <w:tcW w:w="1632" w:type="pct"/>
            <w:noWrap/>
            <w:hideMark/>
          </w:tcPr>
          <w:p w14:paraId="45A94320"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San Joaquin Valley </w:t>
            </w:r>
            <w:r>
              <w:rPr>
                <w:rFonts w:eastAsia="Times New Roman" w:cs="Arial"/>
                <w:color w:val="000000"/>
              </w:rPr>
              <w:t>(150)</w:t>
            </w:r>
          </w:p>
        </w:tc>
        <w:tc>
          <w:tcPr>
            <w:tcW w:w="1109" w:type="pct"/>
            <w:noWrap/>
            <w:hideMark/>
          </w:tcPr>
          <w:p w14:paraId="0980FDF7"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8.5%</w:t>
            </w:r>
          </w:p>
        </w:tc>
        <w:tc>
          <w:tcPr>
            <w:tcW w:w="1119" w:type="pct"/>
            <w:noWrap/>
            <w:hideMark/>
          </w:tcPr>
          <w:p w14:paraId="349BB051"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8.6%</w:t>
            </w:r>
          </w:p>
        </w:tc>
        <w:tc>
          <w:tcPr>
            <w:tcW w:w="1140" w:type="pct"/>
          </w:tcPr>
          <w:p w14:paraId="53C7E71F" w14:textId="77777777" w:rsidR="00673000" w:rsidRPr="00545C86" w:rsidRDefault="00673000" w:rsidP="001027D2">
            <w:pPr>
              <w:spacing w:after="0"/>
              <w:jc w:val="center"/>
              <w:rPr>
                <w:rFonts w:eastAsia="Times New Roman" w:cs="Arial"/>
                <w:color w:val="000000"/>
              </w:rPr>
            </w:pPr>
            <w:r w:rsidRPr="00545C86">
              <w:rPr>
                <w:rFonts w:eastAsia="Times New Roman" w:cs="Arial"/>
                <w:color w:val="000000"/>
              </w:rPr>
              <w:t>8.0%</w:t>
            </w:r>
          </w:p>
        </w:tc>
      </w:tr>
      <w:tr w:rsidR="00673000" w:rsidRPr="001224EC" w14:paraId="52CEE739" w14:textId="77777777" w:rsidTr="008013D9">
        <w:trPr>
          <w:trHeight w:val="24"/>
        </w:trPr>
        <w:tc>
          <w:tcPr>
            <w:tcW w:w="1632" w:type="pct"/>
            <w:noWrap/>
            <w:hideMark/>
          </w:tcPr>
          <w:p w14:paraId="3F27203B"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Northern Sierra </w:t>
            </w:r>
            <w:r>
              <w:rPr>
                <w:rFonts w:eastAsia="Times New Roman" w:cs="Arial"/>
                <w:color w:val="000000"/>
              </w:rPr>
              <w:t xml:space="preserve"> (130)</w:t>
            </w:r>
          </w:p>
        </w:tc>
        <w:tc>
          <w:tcPr>
            <w:tcW w:w="1109" w:type="pct"/>
            <w:noWrap/>
            <w:hideMark/>
          </w:tcPr>
          <w:p w14:paraId="5B0C4D4D"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8.3%</w:t>
            </w:r>
          </w:p>
        </w:tc>
        <w:tc>
          <w:tcPr>
            <w:tcW w:w="1119" w:type="pct"/>
            <w:noWrap/>
            <w:hideMark/>
          </w:tcPr>
          <w:p w14:paraId="01FE62F6"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8.1%</w:t>
            </w:r>
          </w:p>
        </w:tc>
        <w:tc>
          <w:tcPr>
            <w:tcW w:w="1140" w:type="pct"/>
          </w:tcPr>
          <w:p w14:paraId="17271EA2" w14:textId="77777777" w:rsidR="00673000" w:rsidRPr="00545C86" w:rsidRDefault="00673000" w:rsidP="001027D2">
            <w:pPr>
              <w:spacing w:after="0"/>
              <w:jc w:val="center"/>
              <w:rPr>
                <w:rFonts w:eastAsia="Times New Roman" w:cs="Arial"/>
                <w:color w:val="000000"/>
              </w:rPr>
            </w:pPr>
            <w:r w:rsidRPr="00545C86">
              <w:rPr>
                <w:rFonts w:eastAsia="Times New Roman" w:cs="Arial"/>
                <w:color w:val="000000"/>
              </w:rPr>
              <w:t>8.1%</w:t>
            </w:r>
          </w:p>
        </w:tc>
      </w:tr>
      <w:tr w:rsidR="00673000" w:rsidRPr="001224EC" w14:paraId="3859A472" w14:textId="77777777" w:rsidTr="008013D9">
        <w:trPr>
          <w:trHeight w:val="24"/>
        </w:trPr>
        <w:tc>
          <w:tcPr>
            <w:tcW w:w="1632" w:type="pct"/>
            <w:noWrap/>
            <w:hideMark/>
          </w:tcPr>
          <w:p w14:paraId="6689534A" w14:textId="77777777" w:rsidR="00673000" w:rsidRPr="001224EC" w:rsidRDefault="00673000" w:rsidP="006B7248">
            <w:pPr>
              <w:spacing w:after="0"/>
              <w:rPr>
                <w:rFonts w:eastAsia="Times New Roman" w:cs="Arial"/>
                <w:color w:val="000000"/>
              </w:rPr>
            </w:pPr>
            <w:r w:rsidRPr="001224EC">
              <w:rPr>
                <w:rFonts w:eastAsia="Times New Roman" w:cs="Arial"/>
                <w:color w:val="000000"/>
              </w:rPr>
              <w:t>Greater East Bay</w:t>
            </w:r>
            <w:r>
              <w:rPr>
                <w:rFonts w:eastAsia="Times New Roman" w:cs="Arial"/>
                <w:color w:val="000000"/>
              </w:rPr>
              <w:t xml:space="preserve"> (210)</w:t>
            </w:r>
            <w:r w:rsidRPr="001224EC">
              <w:rPr>
                <w:rFonts w:eastAsia="Times New Roman" w:cs="Arial"/>
                <w:color w:val="000000"/>
              </w:rPr>
              <w:t xml:space="preserve"> </w:t>
            </w:r>
          </w:p>
        </w:tc>
        <w:tc>
          <w:tcPr>
            <w:tcW w:w="1109" w:type="pct"/>
            <w:noWrap/>
            <w:hideMark/>
          </w:tcPr>
          <w:p w14:paraId="3D4D3911"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7.9%</w:t>
            </w:r>
          </w:p>
        </w:tc>
        <w:tc>
          <w:tcPr>
            <w:tcW w:w="1119" w:type="pct"/>
            <w:noWrap/>
            <w:hideMark/>
          </w:tcPr>
          <w:p w14:paraId="56930C54"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7.7%</w:t>
            </w:r>
          </w:p>
        </w:tc>
        <w:tc>
          <w:tcPr>
            <w:tcW w:w="1140" w:type="pct"/>
          </w:tcPr>
          <w:p w14:paraId="624CD379" w14:textId="77777777" w:rsidR="00673000" w:rsidRPr="00545C86" w:rsidRDefault="00673000" w:rsidP="001027D2">
            <w:pPr>
              <w:spacing w:after="0"/>
              <w:jc w:val="center"/>
              <w:rPr>
                <w:rFonts w:eastAsia="Times New Roman" w:cs="Arial"/>
                <w:color w:val="000000"/>
              </w:rPr>
            </w:pPr>
            <w:r w:rsidRPr="00545C86">
              <w:rPr>
                <w:rFonts w:cs="Arial"/>
              </w:rPr>
              <w:t>7.4%</w:t>
            </w:r>
          </w:p>
        </w:tc>
      </w:tr>
      <w:tr w:rsidR="00673000" w:rsidRPr="001224EC" w14:paraId="07573BE2" w14:textId="77777777" w:rsidTr="008013D9">
        <w:trPr>
          <w:trHeight w:val="24"/>
        </w:trPr>
        <w:tc>
          <w:tcPr>
            <w:tcW w:w="1632" w:type="pct"/>
            <w:noWrap/>
            <w:hideMark/>
          </w:tcPr>
          <w:p w14:paraId="62067AEF"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LA South Bay </w:t>
            </w:r>
            <w:r>
              <w:rPr>
                <w:rFonts w:eastAsia="Times New Roman" w:cs="Arial"/>
                <w:color w:val="000000"/>
              </w:rPr>
              <w:t>(530)</w:t>
            </w:r>
          </w:p>
        </w:tc>
        <w:tc>
          <w:tcPr>
            <w:tcW w:w="1109" w:type="pct"/>
            <w:noWrap/>
            <w:hideMark/>
          </w:tcPr>
          <w:p w14:paraId="2DA714A4"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7.0%</w:t>
            </w:r>
          </w:p>
        </w:tc>
        <w:tc>
          <w:tcPr>
            <w:tcW w:w="1119" w:type="pct"/>
            <w:noWrap/>
            <w:hideMark/>
          </w:tcPr>
          <w:p w14:paraId="7DCFAE0B"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7.0%</w:t>
            </w:r>
          </w:p>
        </w:tc>
        <w:tc>
          <w:tcPr>
            <w:tcW w:w="1140" w:type="pct"/>
          </w:tcPr>
          <w:p w14:paraId="2354CD5D" w14:textId="77777777" w:rsidR="00673000" w:rsidRPr="00545C86" w:rsidRDefault="00673000" w:rsidP="001027D2">
            <w:pPr>
              <w:spacing w:after="0"/>
              <w:jc w:val="center"/>
              <w:rPr>
                <w:rFonts w:eastAsia="Times New Roman" w:cs="Arial"/>
                <w:color w:val="000000"/>
              </w:rPr>
            </w:pPr>
            <w:r w:rsidRPr="00545C86">
              <w:rPr>
                <w:rFonts w:cs="Arial"/>
              </w:rPr>
              <w:t>5.3%</w:t>
            </w:r>
          </w:p>
        </w:tc>
      </w:tr>
      <w:tr w:rsidR="00673000" w:rsidRPr="001224EC" w14:paraId="32DE9D8D" w14:textId="77777777" w:rsidTr="008013D9">
        <w:trPr>
          <w:trHeight w:val="24"/>
        </w:trPr>
        <w:tc>
          <w:tcPr>
            <w:tcW w:w="1632" w:type="pct"/>
            <w:noWrap/>
            <w:hideMark/>
          </w:tcPr>
          <w:p w14:paraId="38A11170"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Greater LA </w:t>
            </w:r>
            <w:r>
              <w:rPr>
                <w:rFonts w:eastAsia="Times New Roman" w:cs="Arial"/>
                <w:color w:val="000000"/>
              </w:rPr>
              <w:t>(440)</w:t>
            </w:r>
          </w:p>
        </w:tc>
        <w:tc>
          <w:tcPr>
            <w:tcW w:w="1109" w:type="pct"/>
            <w:noWrap/>
            <w:hideMark/>
          </w:tcPr>
          <w:p w14:paraId="1626C258"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6.6%</w:t>
            </w:r>
          </w:p>
        </w:tc>
        <w:tc>
          <w:tcPr>
            <w:tcW w:w="1119" w:type="pct"/>
            <w:noWrap/>
            <w:hideMark/>
          </w:tcPr>
          <w:p w14:paraId="67FA5679"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6.7%</w:t>
            </w:r>
          </w:p>
        </w:tc>
        <w:tc>
          <w:tcPr>
            <w:tcW w:w="1140" w:type="pct"/>
          </w:tcPr>
          <w:p w14:paraId="09D45C1E" w14:textId="77777777" w:rsidR="00673000" w:rsidRPr="00545C86" w:rsidRDefault="00673000" w:rsidP="001027D2">
            <w:pPr>
              <w:spacing w:after="0"/>
              <w:jc w:val="center"/>
              <w:rPr>
                <w:rFonts w:eastAsia="Times New Roman" w:cs="Arial"/>
                <w:color w:val="000000"/>
              </w:rPr>
            </w:pPr>
            <w:r w:rsidRPr="00545C86">
              <w:rPr>
                <w:rFonts w:cs="Arial"/>
              </w:rPr>
              <w:t>6.6%</w:t>
            </w:r>
          </w:p>
        </w:tc>
      </w:tr>
      <w:tr w:rsidR="00673000" w:rsidRPr="001224EC" w14:paraId="5AA113C7" w14:textId="77777777" w:rsidTr="008013D9">
        <w:trPr>
          <w:trHeight w:val="24"/>
        </w:trPr>
        <w:tc>
          <w:tcPr>
            <w:tcW w:w="1632" w:type="pct"/>
            <w:noWrap/>
            <w:hideMark/>
          </w:tcPr>
          <w:p w14:paraId="214EFBF9"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Santa Barbara </w:t>
            </w:r>
            <w:r>
              <w:rPr>
                <w:rFonts w:eastAsia="Times New Roman" w:cs="Arial"/>
                <w:color w:val="000000"/>
              </w:rPr>
              <w:t>(320)</w:t>
            </w:r>
          </w:p>
        </w:tc>
        <w:tc>
          <w:tcPr>
            <w:tcW w:w="1109" w:type="pct"/>
            <w:noWrap/>
            <w:hideMark/>
          </w:tcPr>
          <w:p w14:paraId="6E253973"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5.1%</w:t>
            </w:r>
          </w:p>
        </w:tc>
        <w:tc>
          <w:tcPr>
            <w:tcW w:w="1119" w:type="pct"/>
            <w:noWrap/>
            <w:hideMark/>
          </w:tcPr>
          <w:p w14:paraId="2519E13F"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5.1%</w:t>
            </w:r>
          </w:p>
        </w:tc>
        <w:tc>
          <w:tcPr>
            <w:tcW w:w="1140" w:type="pct"/>
          </w:tcPr>
          <w:p w14:paraId="6CE2FA16" w14:textId="77777777" w:rsidR="00673000" w:rsidRPr="00545C86" w:rsidRDefault="00673000" w:rsidP="001027D2">
            <w:pPr>
              <w:spacing w:after="0"/>
              <w:jc w:val="center"/>
              <w:rPr>
                <w:rFonts w:eastAsia="Times New Roman" w:cs="Arial"/>
                <w:color w:val="000000"/>
              </w:rPr>
            </w:pPr>
            <w:r w:rsidRPr="00545C86">
              <w:rPr>
                <w:rFonts w:cs="Arial"/>
              </w:rPr>
              <w:t>6.5%</w:t>
            </w:r>
          </w:p>
        </w:tc>
      </w:tr>
      <w:tr w:rsidR="00673000" w:rsidRPr="001224EC" w14:paraId="5BB4213A" w14:textId="77777777" w:rsidTr="008013D9">
        <w:trPr>
          <w:trHeight w:val="24"/>
        </w:trPr>
        <w:tc>
          <w:tcPr>
            <w:tcW w:w="1632" w:type="pct"/>
            <w:noWrap/>
            <w:hideMark/>
          </w:tcPr>
          <w:p w14:paraId="7080A7CF"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Redwood Empire </w:t>
            </w:r>
            <w:r>
              <w:rPr>
                <w:rFonts w:eastAsia="Times New Roman" w:cs="Arial"/>
                <w:color w:val="000000"/>
              </w:rPr>
              <w:t>(110)</w:t>
            </w:r>
          </w:p>
        </w:tc>
        <w:tc>
          <w:tcPr>
            <w:tcW w:w="1109" w:type="pct"/>
            <w:noWrap/>
            <w:hideMark/>
          </w:tcPr>
          <w:p w14:paraId="12B2AD55"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4.9%</w:t>
            </w:r>
          </w:p>
        </w:tc>
        <w:tc>
          <w:tcPr>
            <w:tcW w:w="1119" w:type="pct"/>
            <w:noWrap/>
            <w:hideMark/>
          </w:tcPr>
          <w:p w14:paraId="6BB0568A"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4.9%</w:t>
            </w:r>
          </w:p>
        </w:tc>
        <w:tc>
          <w:tcPr>
            <w:tcW w:w="1140" w:type="pct"/>
          </w:tcPr>
          <w:p w14:paraId="66F4E2F8" w14:textId="77777777" w:rsidR="00673000" w:rsidRPr="00545C86" w:rsidRDefault="00673000" w:rsidP="001027D2">
            <w:pPr>
              <w:spacing w:after="0"/>
              <w:jc w:val="center"/>
              <w:rPr>
                <w:rFonts w:eastAsia="Times New Roman" w:cs="Arial"/>
                <w:color w:val="000000"/>
              </w:rPr>
            </w:pPr>
            <w:r w:rsidRPr="00545C86">
              <w:rPr>
                <w:rFonts w:eastAsia="Times New Roman" w:cs="Arial"/>
                <w:color w:val="000000"/>
              </w:rPr>
              <w:t>4.9%</w:t>
            </w:r>
          </w:p>
        </w:tc>
      </w:tr>
      <w:tr w:rsidR="00673000" w:rsidRPr="001224EC" w14:paraId="021CAF27" w14:textId="77777777" w:rsidTr="008013D9">
        <w:trPr>
          <w:trHeight w:val="24"/>
        </w:trPr>
        <w:tc>
          <w:tcPr>
            <w:tcW w:w="1632" w:type="pct"/>
            <w:noWrap/>
            <w:hideMark/>
          </w:tcPr>
          <w:p w14:paraId="286BA5CF" w14:textId="77777777" w:rsidR="00673000" w:rsidRPr="001224EC" w:rsidRDefault="00673000" w:rsidP="006B7248">
            <w:pPr>
              <w:spacing w:after="0"/>
              <w:rPr>
                <w:rFonts w:eastAsia="Times New Roman" w:cs="Arial"/>
                <w:color w:val="000000"/>
              </w:rPr>
            </w:pPr>
            <w:r w:rsidRPr="001224EC">
              <w:rPr>
                <w:rFonts w:eastAsia="Times New Roman" w:cs="Arial"/>
                <w:color w:val="000000"/>
              </w:rPr>
              <w:t>Blind Field Services</w:t>
            </w:r>
            <w:r>
              <w:rPr>
                <w:rFonts w:eastAsia="Times New Roman" w:cs="Arial"/>
                <w:color w:val="000000"/>
              </w:rPr>
              <w:t xml:space="preserve"> (560)</w:t>
            </w:r>
          </w:p>
        </w:tc>
        <w:tc>
          <w:tcPr>
            <w:tcW w:w="1109" w:type="pct"/>
            <w:noWrap/>
            <w:hideMark/>
          </w:tcPr>
          <w:p w14:paraId="44C4B3B7"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4.5%</w:t>
            </w:r>
          </w:p>
        </w:tc>
        <w:tc>
          <w:tcPr>
            <w:tcW w:w="1119" w:type="pct"/>
            <w:noWrap/>
            <w:hideMark/>
          </w:tcPr>
          <w:p w14:paraId="492F5231"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4.9%</w:t>
            </w:r>
          </w:p>
        </w:tc>
        <w:tc>
          <w:tcPr>
            <w:tcW w:w="1140" w:type="pct"/>
          </w:tcPr>
          <w:p w14:paraId="3770EC0E" w14:textId="77777777" w:rsidR="00673000" w:rsidRPr="00545C86" w:rsidRDefault="00673000" w:rsidP="001027D2">
            <w:pPr>
              <w:spacing w:after="0"/>
              <w:jc w:val="center"/>
              <w:rPr>
                <w:rFonts w:eastAsia="Times New Roman" w:cs="Arial"/>
                <w:color w:val="000000"/>
              </w:rPr>
            </w:pPr>
            <w:r w:rsidRPr="00545C86">
              <w:rPr>
                <w:rFonts w:cs="Arial"/>
              </w:rPr>
              <w:t>7.1%</w:t>
            </w:r>
          </w:p>
        </w:tc>
      </w:tr>
      <w:tr w:rsidR="00673000" w:rsidRPr="001224EC" w14:paraId="0C19B792" w14:textId="77777777" w:rsidTr="008013D9">
        <w:trPr>
          <w:trHeight w:val="24"/>
        </w:trPr>
        <w:tc>
          <w:tcPr>
            <w:tcW w:w="1632" w:type="pct"/>
            <w:noWrap/>
            <w:hideMark/>
          </w:tcPr>
          <w:p w14:paraId="21782B62"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San Jose </w:t>
            </w:r>
            <w:r>
              <w:rPr>
                <w:rFonts w:eastAsia="Times New Roman" w:cs="Arial"/>
                <w:color w:val="000000"/>
              </w:rPr>
              <w:t>(250)</w:t>
            </w:r>
          </w:p>
        </w:tc>
        <w:tc>
          <w:tcPr>
            <w:tcW w:w="1109" w:type="pct"/>
            <w:noWrap/>
            <w:hideMark/>
          </w:tcPr>
          <w:p w14:paraId="1A251BA2"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3.8%</w:t>
            </w:r>
          </w:p>
        </w:tc>
        <w:tc>
          <w:tcPr>
            <w:tcW w:w="1119" w:type="pct"/>
            <w:noWrap/>
            <w:hideMark/>
          </w:tcPr>
          <w:p w14:paraId="1CA1D5D8"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3.8%</w:t>
            </w:r>
          </w:p>
        </w:tc>
        <w:tc>
          <w:tcPr>
            <w:tcW w:w="1140" w:type="pct"/>
          </w:tcPr>
          <w:p w14:paraId="07957798" w14:textId="77777777" w:rsidR="00673000" w:rsidRPr="00390345" w:rsidRDefault="00673000" w:rsidP="001027D2">
            <w:pPr>
              <w:spacing w:after="0"/>
              <w:jc w:val="center"/>
              <w:rPr>
                <w:rFonts w:eastAsia="Times New Roman" w:cs="Arial"/>
                <w:color w:val="000000"/>
              </w:rPr>
            </w:pPr>
            <w:r w:rsidRPr="00F60B9C">
              <w:rPr>
                <w:rFonts w:cs="Arial"/>
              </w:rPr>
              <w:t>4.5%</w:t>
            </w:r>
          </w:p>
        </w:tc>
      </w:tr>
      <w:tr w:rsidR="00673000" w:rsidRPr="001224EC" w14:paraId="35906B75" w14:textId="77777777" w:rsidTr="008013D9">
        <w:trPr>
          <w:trHeight w:val="24"/>
        </w:trPr>
        <w:tc>
          <w:tcPr>
            <w:tcW w:w="1632" w:type="pct"/>
            <w:noWrap/>
            <w:hideMark/>
          </w:tcPr>
          <w:p w14:paraId="51A41C1A" w14:textId="77777777" w:rsidR="00673000" w:rsidRPr="001224EC" w:rsidRDefault="00673000" w:rsidP="006B7248">
            <w:pPr>
              <w:spacing w:after="0"/>
              <w:rPr>
                <w:rFonts w:eastAsia="Times New Roman" w:cs="Arial"/>
                <w:color w:val="000000"/>
              </w:rPr>
            </w:pPr>
            <w:r w:rsidRPr="001224EC">
              <w:rPr>
                <w:rFonts w:eastAsia="Times New Roman" w:cs="Arial"/>
                <w:color w:val="000000"/>
              </w:rPr>
              <w:t xml:space="preserve">San Francisco </w:t>
            </w:r>
            <w:r>
              <w:rPr>
                <w:rFonts w:eastAsia="Times New Roman" w:cs="Arial"/>
                <w:color w:val="000000"/>
              </w:rPr>
              <w:t>(230)</w:t>
            </w:r>
          </w:p>
        </w:tc>
        <w:tc>
          <w:tcPr>
            <w:tcW w:w="1109" w:type="pct"/>
            <w:noWrap/>
            <w:hideMark/>
          </w:tcPr>
          <w:p w14:paraId="1FD6F6E7"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3.6%</w:t>
            </w:r>
          </w:p>
        </w:tc>
        <w:tc>
          <w:tcPr>
            <w:tcW w:w="1119" w:type="pct"/>
            <w:noWrap/>
            <w:hideMark/>
          </w:tcPr>
          <w:p w14:paraId="14CAAD26"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3.2%</w:t>
            </w:r>
          </w:p>
        </w:tc>
        <w:tc>
          <w:tcPr>
            <w:tcW w:w="1140" w:type="pct"/>
          </w:tcPr>
          <w:p w14:paraId="3E614B3E" w14:textId="77777777" w:rsidR="00673000" w:rsidRPr="00390345" w:rsidRDefault="00673000" w:rsidP="001027D2">
            <w:pPr>
              <w:spacing w:after="0"/>
              <w:jc w:val="center"/>
              <w:rPr>
                <w:rFonts w:eastAsia="Times New Roman" w:cs="Arial"/>
                <w:color w:val="000000"/>
              </w:rPr>
            </w:pPr>
            <w:r w:rsidRPr="00F60B9C">
              <w:rPr>
                <w:rFonts w:cs="Arial"/>
              </w:rPr>
              <w:t>3.4%</w:t>
            </w:r>
          </w:p>
        </w:tc>
      </w:tr>
      <w:tr w:rsidR="00673000" w:rsidRPr="001224EC" w14:paraId="30152415" w14:textId="77777777" w:rsidTr="008013D9">
        <w:trPr>
          <w:trHeight w:val="24"/>
        </w:trPr>
        <w:tc>
          <w:tcPr>
            <w:tcW w:w="1632" w:type="pct"/>
            <w:noWrap/>
            <w:hideMark/>
          </w:tcPr>
          <w:p w14:paraId="00772A7E" w14:textId="77777777" w:rsidR="00673000" w:rsidRPr="001224EC" w:rsidRDefault="00673000" w:rsidP="006B7248">
            <w:pPr>
              <w:spacing w:after="0"/>
              <w:rPr>
                <w:rFonts w:eastAsia="Times New Roman" w:cs="Arial"/>
                <w:color w:val="000000"/>
              </w:rPr>
            </w:pPr>
            <w:r>
              <w:rPr>
                <w:rFonts w:eastAsia="Times New Roman" w:cs="Arial"/>
                <w:color w:val="000000"/>
              </w:rPr>
              <w:t>ACE Team (511)</w:t>
            </w:r>
          </w:p>
        </w:tc>
        <w:tc>
          <w:tcPr>
            <w:tcW w:w="1109" w:type="pct"/>
            <w:noWrap/>
            <w:hideMark/>
          </w:tcPr>
          <w:p w14:paraId="76A5E615"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0.2%</w:t>
            </w:r>
          </w:p>
        </w:tc>
        <w:tc>
          <w:tcPr>
            <w:tcW w:w="1119" w:type="pct"/>
            <w:noWrap/>
            <w:hideMark/>
          </w:tcPr>
          <w:p w14:paraId="5578AA51" w14:textId="77777777" w:rsidR="00673000" w:rsidRPr="00390345" w:rsidRDefault="00673000" w:rsidP="001027D2">
            <w:pPr>
              <w:spacing w:after="0"/>
              <w:jc w:val="center"/>
              <w:rPr>
                <w:rFonts w:eastAsia="Times New Roman" w:cs="Arial"/>
                <w:color w:val="000000"/>
              </w:rPr>
            </w:pPr>
            <w:r w:rsidRPr="00390345">
              <w:rPr>
                <w:rFonts w:eastAsia="Times New Roman" w:cs="Arial"/>
                <w:color w:val="000000"/>
              </w:rPr>
              <w:t>0</w:t>
            </w:r>
            <w:r>
              <w:rPr>
                <w:rFonts w:eastAsia="Times New Roman" w:cs="Arial"/>
                <w:color w:val="000000"/>
              </w:rPr>
              <w:t>.0</w:t>
            </w:r>
            <w:r w:rsidRPr="00390345">
              <w:rPr>
                <w:rFonts w:eastAsia="Times New Roman" w:cs="Arial"/>
                <w:color w:val="000000"/>
              </w:rPr>
              <w:t>%</w:t>
            </w:r>
          </w:p>
        </w:tc>
        <w:tc>
          <w:tcPr>
            <w:tcW w:w="1140" w:type="pct"/>
          </w:tcPr>
          <w:p w14:paraId="112AC004" w14:textId="77777777" w:rsidR="00673000" w:rsidRPr="00390345" w:rsidRDefault="00673000" w:rsidP="001027D2">
            <w:pPr>
              <w:spacing w:after="0"/>
              <w:jc w:val="center"/>
              <w:rPr>
                <w:rFonts w:eastAsia="Times New Roman" w:cs="Arial"/>
                <w:color w:val="000000"/>
              </w:rPr>
            </w:pPr>
            <w:r w:rsidRPr="00F60B9C">
              <w:rPr>
                <w:rFonts w:cs="Arial"/>
              </w:rPr>
              <w:t>0.0%</w:t>
            </w:r>
          </w:p>
        </w:tc>
      </w:tr>
      <w:tr w:rsidR="00673000" w:rsidRPr="00485F3A" w14:paraId="0467654F" w14:textId="77777777" w:rsidTr="008013D9">
        <w:trPr>
          <w:trHeight w:val="24"/>
        </w:trPr>
        <w:tc>
          <w:tcPr>
            <w:tcW w:w="1632" w:type="pct"/>
            <w:noWrap/>
            <w:hideMark/>
          </w:tcPr>
          <w:p w14:paraId="79936851" w14:textId="3C38CBD5" w:rsidR="00673000" w:rsidRPr="008E3946" w:rsidRDefault="00673000" w:rsidP="006B7248">
            <w:pPr>
              <w:spacing w:after="0"/>
              <w:rPr>
                <w:rFonts w:eastAsia="Times New Roman" w:cs="Arial"/>
                <w:color w:val="000000"/>
              </w:rPr>
            </w:pPr>
            <w:r w:rsidRPr="00485F3A">
              <w:rPr>
                <w:rFonts w:eastAsia="Times New Roman" w:cs="Arial"/>
                <w:b/>
                <w:bCs/>
                <w:color w:val="000000"/>
              </w:rPr>
              <w:t>Total</w:t>
            </w:r>
            <w:r w:rsidRPr="008E3946">
              <w:rPr>
                <w:rFonts w:eastAsia="Times New Roman" w:cs="Arial"/>
                <w:b/>
                <w:bCs/>
                <w:color w:val="000000"/>
              </w:rPr>
              <w:t xml:space="preserve"> </w:t>
            </w:r>
            <w:r w:rsidR="008E3946" w:rsidRPr="008E3946">
              <w:rPr>
                <w:rFonts w:eastAsia="Times New Roman" w:cs="Arial"/>
                <w:b/>
                <w:bCs/>
                <w:color w:val="000000"/>
              </w:rPr>
              <w:t>Number</w:t>
            </w:r>
          </w:p>
        </w:tc>
        <w:tc>
          <w:tcPr>
            <w:tcW w:w="1109" w:type="pct"/>
            <w:noWrap/>
          </w:tcPr>
          <w:p w14:paraId="2715D560" w14:textId="77777777" w:rsidR="00673000" w:rsidRPr="00485F3A" w:rsidRDefault="00673000" w:rsidP="001027D2">
            <w:pPr>
              <w:spacing w:after="0"/>
              <w:jc w:val="center"/>
              <w:rPr>
                <w:rFonts w:eastAsia="Times New Roman" w:cs="Arial"/>
                <w:b/>
                <w:bCs/>
                <w:color w:val="000000"/>
              </w:rPr>
            </w:pPr>
            <w:r w:rsidRPr="00485F3A">
              <w:rPr>
                <w:rFonts w:eastAsia="Times New Roman" w:cs="Arial"/>
                <w:b/>
                <w:bCs/>
                <w:color w:val="000000"/>
              </w:rPr>
              <w:t>109,845</w:t>
            </w:r>
          </w:p>
        </w:tc>
        <w:tc>
          <w:tcPr>
            <w:tcW w:w="1119" w:type="pct"/>
            <w:noWrap/>
            <w:hideMark/>
          </w:tcPr>
          <w:p w14:paraId="0BA797B9" w14:textId="77777777" w:rsidR="00673000" w:rsidRPr="00485F3A" w:rsidRDefault="00673000" w:rsidP="001027D2">
            <w:pPr>
              <w:spacing w:after="0"/>
              <w:jc w:val="center"/>
              <w:rPr>
                <w:rFonts w:eastAsia="Times New Roman" w:cs="Arial"/>
                <w:b/>
                <w:bCs/>
                <w:color w:val="000000"/>
              </w:rPr>
            </w:pPr>
            <w:r w:rsidRPr="00485F3A">
              <w:rPr>
                <w:rFonts w:eastAsia="Times New Roman" w:cs="Arial"/>
                <w:b/>
                <w:bCs/>
                <w:color w:val="000000"/>
              </w:rPr>
              <w:t>5,731</w:t>
            </w:r>
          </w:p>
        </w:tc>
        <w:tc>
          <w:tcPr>
            <w:tcW w:w="1140" w:type="pct"/>
          </w:tcPr>
          <w:p w14:paraId="37745180" w14:textId="77777777" w:rsidR="00673000" w:rsidRPr="00485F3A" w:rsidRDefault="00673000" w:rsidP="001027D2">
            <w:pPr>
              <w:spacing w:after="0"/>
              <w:jc w:val="center"/>
              <w:rPr>
                <w:rFonts w:eastAsia="Times New Roman" w:cs="Arial"/>
                <w:b/>
                <w:bCs/>
                <w:color w:val="000000"/>
              </w:rPr>
            </w:pPr>
            <w:r w:rsidRPr="00485F3A">
              <w:rPr>
                <w:rFonts w:eastAsia="Times New Roman" w:cs="Arial"/>
                <w:b/>
                <w:bCs/>
                <w:color w:val="000000"/>
              </w:rPr>
              <w:t>849</w:t>
            </w:r>
          </w:p>
        </w:tc>
      </w:tr>
    </w:tbl>
    <w:p w14:paraId="3547C5F3" w14:textId="5AF6E1DB" w:rsidR="00673000" w:rsidRDefault="00CF524B" w:rsidP="00635226">
      <w:pPr>
        <w:pStyle w:val="SectionSub-HeadingsTopics"/>
      </w:pPr>
      <w:bookmarkStart w:id="26" w:name="_Toc90632187"/>
      <w:r>
        <w:t>Satisfaction by</w:t>
      </w:r>
      <w:r w:rsidR="00304D95">
        <w:t xml:space="preserve"> Consumer</w:t>
      </w:r>
      <w:r>
        <w:t xml:space="preserve"> DOR District</w:t>
      </w:r>
      <w:bookmarkEnd w:id="26"/>
    </w:p>
    <w:p w14:paraId="70D53C96" w14:textId="4D28E8F8" w:rsidR="002C2B0F" w:rsidRDefault="007A461C" w:rsidP="0002453E">
      <w:r>
        <w:t xml:space="preserve">To determine if </w:t>
      </w:r>
      <w:r w:rsidR="008A4EB0">
        <w:t xml:space="preserve">satisfaction was influenced by the </w:t>
      </w:r>
      <w:r w:rsidR="00FC049B">
        <w:t>consumer’s DOR district, satisfaction scores were comp</w:t>
      </w:r>
      <w:r w:rsidR="00FC049B" w:rsidRPr="0002453E">
        <w:t>ared for each DOR district (</w:t>
      </w:r>
      <w:r w:rsidR="00FC049B" w:rsidRPr="00E90DDB">
        <w:t>Table 1</w:t>
      </w:r>
      <w:r w:rsidR="00E90DDB" w:rsidRPr="00E90DDB">
        <w:t>2</w:t>
      </w:r>
      <w:r w:rsidR="00FC049B" w:rsidRPr="0002453E">
        <w:t>).</w:t>
      </w:r>
      <w:r w:rsidR="00DA42DF">
        <w:t xml:space="preserve"> </w:t>
      </w:r>
      <w:r w:rsidR="0002453E" w:rsidRPr="0002453E">
        <w:t>B</w:t>
      </w:r>
      <w:r w:rsidR="0002453E">
        <w:t>ased on their overall satisfaction score</w:t>
      </w:r>
      <w:r w:rsidR="00877F31">
        <w:t>s</w:t>
      </w:r>
      <w:r w:rsidR="008A69E9">
        <w:t xml:space="preserve">, </w:t>
      </w:r>
      <w:r w:rsidR="00877F31">
        <w:t xml:space="preserve">all </w:t>
      </w:r>
      <w:r w:rsidR="008A69E9">
        <w:t xml:space="preserve">participants were </w:t>
      </w:r>
      <w:r w:rsidR="00877F31">
        <w:t>considered satisfied regardless of their DOR district.</w:t>
      </w:r>
      <w:r w:rsidR="00CE172E">
        <w:t xml:space="preserve"> The highest overall satisfaction score was 85.6%</w:t>
      </w:r>
      <w:r w:rsidR="000B66DE">
        <w:t>,</w:t>
      </w:r>
      <w:r w:rsidR="00CE172E">
        <w:t xml:space="preserve"> which was </w:t>
      </w:r>
      <w:r w:rsidR="00F22892">
        <w:t xml:space="preserve">given </w:t>
      </w:r>
      <w:r w:rsidR="00CE172E">
        <w:t xml:space="preserve">by participants from </w:t>
      </w:r>
      <w:r w:rsidR="00EC2893">
        <w:t>the Redwood Empire District. The lowest overall satisfaction score was 73.9%</w:t>
      </w:r>
      <w:r w:rsidR="000B66DE">
        <w:t>,</w:t>
      </w:r>
      <w:r w:rsidR="00EC2893">
        <w:t xml:space="preserve"> which was</w:t>
      </w:r>
      <w:r w:rsidR="00F22892">
        <w:t xml:space="preserve"> given by </w:t>
      </w:r>
      <w:r w:rsidR="00EC2893">
        <w:t xml:space="preserve">participants </w:t>
      </w:r>
      <w:r w:rsidR="00F22892">
        <w:t xml:space="preserve">from the Greater East Bay District. </w:t>
      </w:r>
    </w:p>
    <w:p w14:paraId="1A738073" w14:textId="73BE650C" w:rsidR="000E781E" w:rsidRDefault="000E781E" w:rsidP="000E781E">
      <w:r>
        <w:t xml:space="preserve">General experience at DOR, DOR counselors, and service providers </w:t>
      </w:r>
      <w:r w:rsidR="008401DB">
        <w:t xml:space="preserve">categories </w:t>
      </w:r>
      <w:r>
        <w:t xml:space="preserve">were rated as satisfied by participants from all DOR districts, </w:t>
      </w:r>
      <w:proofErr w:type="gramStart"/>
      <w:r>
        <w:t>with the exception of</w:t>
      </w:r>
      <w:proofErr w:type="gramEnd"/>
      <w:r>
        <w:t xml:space="preserve"> participants from the Redwood Empire </w:t>
      </w:r>
      <w:r w:rsidR="00CD3972">
        <w:t>D</w:t>
      </w:r>
      <w:r>
        <w:t xml:space="preserve">istrict who rated these categories as extremely satisfied. All participants rated their employment services as satisfied. Current employment was rated as somewhat satisfied by employed participants from the San Francisco </w:t>
      </w:r>
      <w:r w:rsidR="00CD3972">
        <w:t>D</w:t>
      </w:r>
      <w:r>
        <w:t xml:space="preserve">istrict, Northern Sierra </w:t>
      </w:r>
      <w:r w:rsidR="00CD3972">
        <w:t>D</w:t>
      </w:r>
      <w:r>
        <w:t xml:space="preserve">istrict, or the Greater East Bay </w:t>
      </w:r>
      <w:r w:rsidR="00CD3972">
        <w:t>D</w:t>
      </w:r>
      <w:r>
        <w:t>istrict, whereas employed participants from the remaining districts were satisfied with their current employment. Unemployed participants were satisfied with the improvements to their employment opportunities if they received services from Redwood Empire, Orange/San Gabriel, San Joaquin Valley, San Francisco, San Diego, or Los Angeles South Bay DOR districts. Whereas participants from the remaining DOR districts rated their satisfaction with improved employment opportunities as only somewhat satisfied.</w:t>
      </w:r>
    </w:p>
    <w:p w14:paraId="5C1383A2" w14:textId="77777777" w:rsidR="000E781E" w:rsidRDefault="000E781E" w:rsidP="000E781E">
      <w:r>
        <w:lastRenderedPageBreak/>
        <w:t>Taken together, these data suggest that while satisfaction levels may vary slightly for different categories, a participant’s DOR district does not influence their overall satisfaction level.</w:t>
      </w:r>
    </w:p>
    <w:p w14:paraId="39B3DA96" w14:textId="77777777" w:rsidR="00273001" w:rsidRDefault="00364FD4" w:rsidP="00273001">
      <w:pPr>
        <w:pStyle w:val="TableTitle"/>
      </w:pPr>
      <w:r>
        <w:t>Satisfaction Scores by Participant DOR District</w:t>
      </w:r>
      <w:r w:rsidR="004036F9">
        <w:t>s</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2142"/>
        <w:gridCol w:w="1029"/>
        <w:gridCol w:w="1187"/>
        <w:gridCol w:w="1379"/>
        <w:gridCol w:w="1372"/>
        <w:gridCol w:w="1284"/>
        <w:gridCol w:w="1286"/>
        <w:gridCol w:w="1111"/>
      </w:tblGrid>
      <w:tr w:rsidR="004A5A11" w:rsidRPr="00A97A3A" w14:paraId="156881C1" w14:textId="63D99D23" w:rsidTr="005677F4">
        <w:trPr>
          <w:trHeight w:val="1152"/>
          <w:jc w:val="center"/>
        </w:trPr>
        <w:tc>
          <w:tcPr>
            <w:tcW w:w="992" w:type="pct"/>
            <w:shd w:val="clear" w:color="auto" w:fill="00407B" w:themeFill="accent1" w:themeFillShade="BF"/>
            <w:vAlign w:val="center"/>
          </w:tcPr>
          <w:p w14:paraId="304917C1" w14:textId="77777777" w:rsidR="002C2B0F" w:rsidRDefault="002C2B0F" w:rsidP="0065506D">
            <w:pPr>
              <w:spacing w:after="0"/>
              <w:rPr>
                <w:b/>
                <w:bCs/>
                <w:color w:val="FFFFFF" w:themeColor="background1"/>
              </w:rPr>
            </w:pPr>
            <w:r w:rsidRPr="004A5A11">
              <w:rPr>
                <w:b/>
                <w:bCs/>
                <w:color w:val="FFFFFF" w:themeColor="background1"/>
              </w:rPr>
              <w:t>DOR District</w:t>
            </w:r>
          </w:p>
          <w:p w14:paraId="73A2C796" w14:textId="16295F69" w:rsidR="007315D9" w:rsidRPr="007315D9" w:rsidRDefault="007315D9" w:rsidP="0065506D">
            <w:pPr>
              <w:spacing w:after="0"/>
              <w:rPr>
                <w:color w:val="FFFFFF" w:themeColor="background1"/>
              </w:rPr>
            </w:pPr>
            <w:r>
              <w:rPr>
                <w:color w:val="FFFFFF" w:themeColor="background1"/>
              </w:rPr>
              <w:t>(Name and Code)</w:t>
            </w:r>
          </w:p>
        </w:tc>
        <w:tc>
          <w:tcPr>
            <w:tcW w:w="477" w:type="pct"/>
            <w:shd w:val="clear" w:color="auto" w:fill="00407B" w:themeFill="accent1" w:themeFillShade="BF"/>
            <w:vAlign w:val="center"/>
          </w:tcPr>
          <w:p w14:paraId="46CFB91B" w14:textId="36C713C6" w:rsidR="002C2B0F" w:rsidRPr="005763C1" w:rsidRDefault="002C2B0F" w:rsidP="00233935">
            <w:pPr>
              <w:spacing w:after="0"/>
              <w:jc w:val="center"/>
              <w:rPr>
                <w:b/>
                <w:bCs/>
                <w:color w:val="FFFFFF" w:themeColor="background1"/>
                <w:vertAlign w:val="superscript"/>
              </w:rPr>
            </w:pPr>
            <w:r>
              <w:rPr>
                <w:b/>
                <w:bCs/>
                <w:color w:val="FFFFFF" w:themeColor="background1"/>
              </w:rPr>
              <w:t>DOR Exp</w:t>
            </w:r>
            <w:r w:rsidR="00382196">
              <w:rPr>
                <w:b/>
                <w:bCs/>
                <w:color w:val="FFFFFF" w:themeColor="background1"/>
              </w:rPr>
              <w:t>.</w:t>
            </w:r>
          </w:p>
          <w:p w14:paraId="29FD2524" w14:textId="54E29FAC" w:rsidR="002C2B0F" w:rsidRPr="00D549A9" w:rsidRDefault="002C2B0F" w:rsidP="00233935">
            <w:pPr>
              <w:spacing w:after="0"/>
              <w:jc w:val="center"/>
              <w:rPr>
                <w:color w:val="FFFFFF" w:themeColor="background1"/>
              </w:rPr>
            </w:pPr>
            <w:r>
              <w:rPr>
                <w:color w:val="FFFFFF" w:themeColor="background1"/>
              </w:rPr>
              <w:t>(Score)</w:t>
            </w:r>
          </w:p>
        </w:tc>
        <w:tc>
          <w:tcPr>
            <w:tcW w:w="550" w:type="pct"/>
            <w:shd w:val="clear" w:color="auto" w:fill="00407B" w:themeFill="accent1" w:themeFillShade="BF"/>
            <w:vAlign w:val="center"/>
          </w:tcPr>
          <w:p w14:paraId="6F8691DE" w14:textId="1724173E" w:rsidR="002C2B0F" w:rsidRPr="002C2B0F" w:rsidRDefault="002C2B0F" w:rsidP="00233935">
            <w:pPr>
              <w:spacing w:after="0"/>
              <w:jc w:val="center"/>
              <w:rPr>
                <w:b/>
                <w:bCs/>
                <w:color w:val="FFFFFF" w:themeColor="background1"/>
              </w:rPr>
            </w:pPr>
            <w:r>
              <w:rPr>
                <w:b/>
                <w:bCs/>
                <w:color w:val="FFFFFF" w:themeColor="background1"/>
              </w:rPr>
              <w:t>DOR Coun</w:t>
            </w:r>
            <w:r w:rsidR="0005448F">
              <w:rPr>
                <w:b/>
                <w:bCs/>
                <w:color w:val="FFFFFF" w:themeColor="background1"/>
              </w:rPr>
              <w:t>s</w:t>
            </w:r>
            <w:r w:rsidR="00382196">
              <w:rPr>
                <w:b/>
                <w:bCs/>
                <w:color w:val="FFFFFF" w:themeColor="background1"/>
              </w:rPr>
              <w:t>.</w:t>
            </w:r>
          </w:p>
          <w:p w14:paraId="1896EFE8" w14:textId="3F684234" w:rsidR="002C2B0F" w:rsidRPr="00D549A9" w:rsidRDefault="002C2B0F" w:rsidP="00233935">
            <w:pPr>
              <w:spacing w:after="0"/>
              <w:jc w:val="center"/>
              <w:rPr>
                <w:color w:val="FFFFFF" w:themeColor="background1"/>
              </w:rPr>
            </w:pPr>
            <w:r>
              <w:rPr>
                <w:color w:val="FFFFFF" w:themeColor="background1"/>
              </w:rPr>
              <w:t>(Score)</w:t>
            </w:r>
          </w:p>
        </w:tc>
        <w:tc>
          <w:tcPr>
            <w:tcW w:w="639" w:type="pct"/>
            <w:shd w:val="clear" w:color="auto" w:fill="00407B" w:themeFill="accent1" w:themeFillShade="BF"/>
            <w:vAlign w:val="center"/>
          </w:tcPr>
          <w:p w14:paraId="25C67684" w14:textId="62C1CB10" w:rsidR="002C2B0F" w:rsidRPr="002C2B0F" w:rsidRDefault="002C2B0F" w:rsidP="00233935">
            <w:pPr>
              <w:spacing w:after="0"/>
              <w:jc w:val="center"/>
              <w:rPr>
                <w:b/>
                <w:bCs/>
                <w:color w:val="FFFFFF" w:themeColor="background1"/>
              </w:rPr>
            </w:pPr>
            <w:r>
              <w:rPr>
                <w:b/>
                <w:bCs/>
                <w:color w:val="FFFFFF" w:themeColor="background1"/>
              </w:rPr>
              <w:t>Service Providers</w:t>
            </w:r>
          </w:p>
          <w:p w14:paraId="08B92363" w14:textId="19CC4D3A" w:rsidR="002C2B0F" w:rsidRDefault="002C2B0F" w:rsidP="00233935">
            <w:pPr>
              <w:spacing w:after="0"/>
              <w:jc w:val="center"/>
              <w:rPr>
                <w:b/>
                <w:bCs/>
                <w:color w:val="FFFFFF" w:themeColor="background1"/>
              </w:rPr>
            </w:pPr>
            <w:r>
              <w:rPr>
                <w:color w:val="FFFFFF" w:themeColor="background1"/>
              </w:rPr>
              <w:t>(Score)</w:t>
            </w:r>
          </w:p>
        </w:tc>
        <w:tc>
          <w:tcPr>
            <w:tcW w:w="636" w:type="pct"/>
            <w:shd w:val="clear" w:color="auto" w:fill="00407B" w:themeFill="accent1" w:themeFillShade="BF"/>
            <w:vAlign w:val="center"/>
          </w:tcPr>
          <w:p w14:paraId="008F9D77" w14:textId="30E15345" w:rsidR="002C2B0F" w:rsidRPr="002C2B0F" w:rsidRDefault="00875A0D" w:rsidP="00233935">
            <w:pPr>
              <w:spacing w:after="0"/>
              <w:jc w:val="center"/>
              <w:rPr>
                <w:b/>
                <w:bCs/>
                <w:color w:val="FFFFFF" w:themeColor="background1"/>
              </w:rPr>
            </w:pPr>
            <w:r>
              <w:rPr>
                <w:b/>
                <w:bCs/>
                <w:color w:val="FFFFFF" w:themeColor="background1"/>
              </w:rPr>
              <w:t>Employ. Services</w:t>
            </w:r>
          </w:p>
          <w:p w14:paraId="61562D22" w14:textId="6F534943" w:rsidR="002C2B0F" w:rsidRDefault="002C2B0F" w:rsidP="00233935">
            <w:pPr>
              <w:spacing w:after="0"/>
              <w:jc w:val="center"/>
              <w:rPr>
                <w:b/>
                <w:bCs/>
                <w:color w:val="FFFFFF" w:themeColor="background1"/>
              </w:rPr>
            </w:pPr>
            <w:r>
              <w:rPr>
                <w:color w:val="FFFFFF" w:themeColor="background1"/>
              </w:rPr>
              <w:t>(Score)</w:t>
            </w:r>
          </w:p>
        </w:tc>
        <w:tc>
          <w:tcPr>
            <w:tcW w:w="595" w:type="pct"/>
            <w:shd w:val="clear" w:color="auto" w:fill="00407B" w:themeFill="accent1" w:themeFillShade="BF"/>
            <w:vAlign w:val="center"/>
          </w:tcPr>
          <w:p w14:paraId="40C745C4" w14:textId="12801F2D" w:rsidR="002C2B0F" w:rsidRPr="002C2B0F" w:rsidRDefault="00875A0D" w:rsidP="00233935">
            <w:pPr>
              <w:spacing w:after="0"/>
              <w:jc w:val="center"/>
              <w:rPr>
                <w:b/>
                <w:bCs/>
                <w:color w:val="FFFFFF" w:themeColor="background1"/>
              </w:rPr>
            </w:pPr>
            <w:r>
              <w:rPr>
                <w:b/>
                <w:bCs/>
                <w:color w:val="FFFFFF" w:themeColor="background1"/>
              </w:rPr>
              <w:t>Current Employ.</w:t>
            </w:r>
          </w:p>
          <w:p w14:paraId="717E4D4D" w14:textId="23C952AD" w:rsidR="002C2B0F" w:rsidRPr="00F75AA0" w:rsidRDefault="002C2B0F" w:rsidP="00233935">
            <w:pPr>
              <w:spacing w:after="0"/>
              <w:jc w:val="center"/>
              <w:rPr>
                <w:b/>
                <w:bCs/>
                <w:color w:val="FFFFFF" w:themeColor="background1"/>
              </w:rPr>
            </w:pPr>
            <w:r>
              <w:rPr>
                <w:color w:val="FFFFFF" w:themeColor="background1"/>
              </w:rPr>
              <w:t>(Score)</w:t>
            </w:r>
          </w:p>
        </w:tc>
        <w:tc>
          <w:tcPr>
            <w:tcW w:w="596" w:type="pct"/>
            <w:shd w:val="clear" w:color="auto" w:fill="00407B" w:themeFill="accent1" w:themeFillShade="BF"/>
            <w:vAlign w:val="center"/>
          </w:tcPr>
          <w:p w14:paraId="3096A859" w14:textId="45F57F9B" w:rsidR="002C2B0F" w:rsidRPr="002C2B0F" w:rsidRDefault="00875A0D" w:rsidP="00233935">
            <w:pPr>
              <w:spacing w:after="0"/>
              <w:jc w:val="center"/>
              <w:rPr>
                <w:b/>
                <w:bCs/>
                <w:color w:val="FFFFFF" w:themeColor="background1"/>
              </w:rPr>
            </w:pPr>
            <w:r>
              <w:rPr>
                <w:b/>
                <w:bCs/>
                <w:color w:val="FFFFFF" w:themeColor="background1"/>
              </w:rPr>
              <w:t xml:space="preserve">Employ. </w:t>
            </w:r>
            <w:proofErr w:type="spellStart"/>
            <w:r>
              <w:rPr>
                <w:b/>
                <w:bCs/>
                <w:color w:val="FFFFFF" w:themeColor="background1"/>
              </w:rPr>
              <w:t>Opp</w:t>
            </w:r>
            <w:r w:rsidR="000F7CC7">
              <w:rPr>
                <w:b/>
                <w:bCs/>
                <w:color w:val="FFFFFF" w:themeColor="background1"/>
              </w:rPr>
              <w:t>ort</w:t>
            </w:r>
            <w:proofErr w:type="spellEnd"/>
            <w:r w:rsidR="000F7CC7">
              <w:rPr>
                <w:b/>
                <w:bCs/>
                <w:color w:val="FFFFFF" w:themeColor="background1"/>
              </w:rPr>
              <w:t>.</w:t>
            </w:r>
          </w:p>
          <w:p w14:paraId="3D22389B" w14:textId="6F0FBE0E" w:rsidR="002C2B0F" w:rsidRDefault="002C2B0F" w:rsidP="00233935">
            <w:pPr>
              <w:spacing w:after="0"/>
              <w:jc w:val="center"/>
              <w:rPr>
                <w:b/>
                <w:bCs/>
                <w:color w:val="FFFFFF" w:themeColor="background1"/>
              </w:rPr>
            </w:pPr>
            <w:r>
              <w:rPr>
                <w:color w:val="FFFFFF" w:themeColor="background1"/>
              </w:rPr>
              <w:t>(Score)</w:t>
            </w:r>
          </w:p>
        </w:tc>
        <w:tc>
          <w:tcPr>
            <w:tcW w:w="516" w:type="pct"/>
            <w:shd w:val="clear" w:color="auto" w:fill="00407B" w:themeFill="accent1" w:themeFillShade="BF"/>
            <w:vAlign w:val="center"/>
          </w:tcPr>
          <w:p w14:paraId="0BA4A8B7" w14:textId="54B5B96E" w:rsidR="002C2B0F" w:rsidRPr="002C2B0F" w:rsidRDefault="00835AC3" w:rsidP="00233935">
            <w:pPr>
              <w:spacing w:after="0"/>
              <w:jc w:val="center"/>
              <w:rPr>
                <w:b/>
                <w:bCs/>
                <w:color w:val="FFFFFF" w:themeColor="background1"/>
              </w:rPr>
            </w:pPr>
            <w:r>
              <w:rPr>
                <w:b/>
                <w:bCs/>
                <w:color w:val="FFFFFF" w:themeColor="background1"/>
              </w:rPr>
              <w:t>Overall</w:t>
            </w:r>
          </w:p>
          <w:p w14:paraId="2E6E3AA8" w14:textId="7A6AD239" w:rsidR="002C2B0F" w:rsidRDefault="00835AC3" w:rsidP="00233935">
            <w:pPr>
              <w:spacing w:after="0"/>
              <w:jc w:val="center"/>
              <w:rPr>
                <w:b/>
                <w:bCs/>
                <w:color w:val="FFFFFF" w:themeColor="background1"/>
              </w:rPr>
            </w:pPr>
            <w:r>
              <w:rPr>
                <w:color w:val="FFFFFF" w:themeColor="background1"/>
              </w:rPr>
              <w:t>(</w:t>
            </w:r>
            <w:r w:rsidR="002C2B0F">
              <w:rPr>
                <w:color w:val="FFFFFF" w:themeColor="background1"/>
              </w:rPr>
              <w:t>Score)</w:t>
            </w:r>
          </w:p>
        </w:tc>
      </w:tr>
      <w:tr w:rsidR="004A5A11" w14:paraId="25717A72" w14:textId="6971C74C" w:rsidTr="005677F4">
        <w:trPr>
          <w:jc w:val="center"/>
        </w:trPr>
        <w:tc>
          <w:tcPr>
            <w:tcW w:w="992" w:type="pct"/>
            <w:shd w:val="clear" w:color="auto" w:fill="auto"/>
            <w:vAlign w:val="center"/>
          </w:tcPr>
          <w:p w14:paraId="6546897A" w14:textId="0A0B7E21" w:rsidR="00550446" w:rsidRPr="00DF72DF" w:rsidRDefault="00550446" w:rsidP="0065506D">
            <w:pPr>
              <w:spacing w:after="0"/>
            </w:pPr>
            <w:r w:rsidRPr="00DF72DF">
              <w:t>Redwood Empire (110)</w:t>
            </w:r>
          </w:p>
        </w:tc>
        <w:tc>
          <w:tcPr>
            <w:tcW w:w="477" w:type="pct"/>
            <w:shd w:val="clear" w:color="auto" w:fill="auto"/>
            <w:vAlign w:val="center"/>
          </w:tcPr>
          <w:p w14:paraId="5E14E848" w14:textId="6D9D85DB" w:rsidR="00550446" w:rsidRPr="00994737" w:rsidRDefault="00550446" w:rsidP="0065506D">
            <w:pPr>
              <w:spacing w:after="0"/>
              <w:jc w:val="center"/>
            </w:pPr>
            <w:r w:rsidRPr="00994737">
              <w:rPr>
                <w:rFonts w:cs="Arial"/>
                <w:color w:val="000000"/>
              </w:rPr>
              <w:t>87.5%</w:t>
            </w:r>
          </w:p>
        </w:tc>
        <w:tc>
          <w:tcPr>
            <w:tcW w:w="550" w:type="pct"/>
            <w:shd w:val="clear" w:color="auto" w:fill="auto"/>
            <w:vAlign w:val="center"/>
          </w:tcPr>
          <w:p w14:paraId="631FFFA0" w14:textId="4F251F2A" w:rsidR="00550446" w:rsidRPr="00994737" w:rsidRDefault="00550446" w:rsidP="0065506D">
            <w:pPr>
              <w:spacing w:after="0"/>
              <w:jc w:val="center"/>
            </w:pPr>
            <w:r w:rsidRPr="00994737">
              <w:rPr>
                <w:rFonts w:cs="Arial"/>
                <w:color w:val="000000"/>
              </w:rPr>
              <w:t>86.9%</w:t>
            </w:r>
          </w:p>
        </w:tc>
        <w:tc>
          <w:tcPr>
            <w:tcW w:w="639" w:type="pct"/>
            <w:shd w:val="clear" w:color="auto" w:fill="auto"/>
            <w:vAlign w:val="center"/>
          </w:tcPr>
          <w:p w14:paraId="7E7ACDF4" w14:textId="5E296ACB" w:rsidR="00550446" w:rsidRPr="00994737" w:rsidRDefault="00550446" w:rsidP="0065506D">
            <w:pPr>
              <w:spacing w:after="0"/>
              <w:jc w:val="center"/>
            </w:pPr>
            <w:r w:rsidRPr="00994737">
              <w:rPr>
                <w:rFonts w:cs="Arial"/>
                <w:color w:val="000000"/>
              </w:rPr>
              <w:t>87.9%</w:t>
            </w:r>
          </w:p>
        </w:tc>
        <w:tc>
          <w:tcPr>
            <w:tcW w:w="636" w:type="pct"/>
            <w:shd w:val="clear" w:color="auto" w:fill="auto"/>
            <w:vAlign w:val="center"/>
          </w:tcPr>
          <w:p w14:paraId="64BF3FAF" w14:textId="75F2D418" w:rsidR="00550446" w:rsidRPr="00994737" w:rsidRDefault="00550446" w:rsidP="0065506D">
            <w:pPr>
              <w:spacing w:after="0"/>
              <w:jc w:val="center"/>
            </w:pPr>
            <w:r w:rsidRPr="00994737">
              <w:rPr>
                <w:rFonts w:cs="Arial"/>
                <w:color w:val="000000"/>
              </w:rPr>
              <w:t>85.4%</w:t>
            </w:r>
          </w:p>
        </w:tc>
        <w:tc>
          <w:tcPr>
            <w:tcW w:w="595" w:type="pct"/>
            <w:shd w:val="clear" w:color="auto" w:fill="auto"/>
            <w:vAlign w:val="center"/>
          </w:tcPr>
          <w:p w14:paraId="5D9E856C" w14:textId="7FBFA190" w:rsidR="00550446" w:rsidRPr="00994737" w:rsidRDefault="00550446" w:rsidP="0065506D">
            <w:pPr>
              <w:spacing w:after="0"/>
              <w:jc w:val="center"/>
            </w:pPr>
            <w:r w:rsidRPr="00994737">
              <w:rPr>
                <w:rFonts w:cs="Arial"/>
                <w:color w:val="000000"/>
              </w:rPr>
              <w:t>81.5%</w:t>
            </w:r>
          </w:p>
        </w:tc>
        <w:tc>
          <w:tcPr>
            <w:tcW w:w="596" w:type="pct"/>
            <w:shd w:val="clear" w:color="auto" w:fill="auto"/>
            <w:vAlign w:val="center"/>
          </w:tcPr>
          <w:p w14:paraId="423B7B54" w14:textId="75A61376" w:rsidR="00550446" w:rsidRPr="00994737" w:rsidRDefault="00550446" w:rsidP="0065506D">
            <w:pPr>
              <w:spacing w:after="0"/>
              <w:jc w:val="center"/>
            </w:pPr>
            <w:r w:rsidRPr="00994737">
              <w:rPr>
                <w:rFonts w:cs="Arial"/>
                <w:color w:val="000000"/>
              </w:rPr>
              <w:t>76.0%</w:t>
            </w:r>
          </w:p>
        </w:tc>
        <w:tc>
          <w:tcPr>
            <w:tcW w:w="516" w:type="pct"/>
            <w:shd w:val="clear" w:color="auto" w:fill="FFFFFF" w:themeFill="background1"/>
            <w:vAlign w:val="center"/>
          </w:tcPr>
          <w:p w14:paraId="4CF7AA3E" w14:textId="7F458355" w:rsidR="00550446" w:rsidRPr="0077300A" w:rsidRDefault="00550446" w:rsidP="0065506D">
            <w:pPr>
              <w:spacing w:after="0"/>
              <w:jc w:val="center"/>
              <w:rPr>
                <w:b/>
                <w:bCs/>
              </w:rPr>
            </w:pPr>
            <w:r w:rsidRPr="0077300A">
              <w:rPr>
                <w:rFonts w:cs="Arial"/>
                <w:b/>
                <w:bCs/>
                <w:color w:val="000000"/>
              </w:rPr>
              <w:t>85.6%</w:t>
            </w:r>
          </w:p>
        </w:tc>
      </w:tr>
      <w:tr w:rsidR="0005448F" w14:paraId="7DED342C" w14:textId="63D7094B" w:rsidTr="005677F4">
        <w:trPr>
          <w:jc w:val="center"/>
        </w:trPr>
        <w:tc>
          <w:tcPr>
            <w:tcW w:w="992" w:type="pct"/>
            <w:shd w:val="clear" w:color="auto" w:fill="auto"/>
            <w:vAlign w:val="center"/>
          </w:tcPr>
          <w:p w14:paraId="03A1BE77" w14:textId="77777777" w:rsidR="00E17DBA" w:rsidRDefault="00550446" w:rsidP="0065506D">
            <w:pPr>
              <w:spacing w:after="0"/>
            </w:pPr>
            <w:r w:rsidRPr="00DF72DF">
              <w:t xml:space="preserve">San Jose </w:t>
            </w:r>
          </w:p>
          <w:p w14:paraId="0D7324B5" w14:textId="578AD1DC" w:rsidR="00550446" w:rsidRPr="00DF72DF" w:rsidRDefault="00550446" w:rsidP="0065506D">
            <w:pPr>
              <w:spacing w:after="0"/>
            </w:pPr>
            <w:r w:rsidRPr="00DF72DF">
              <w:t>(250)</w:t>
            </w:r>
          </w:p>
        </w:tc>
        <w:tc>
          <w:tcPr>
            <w:tcW w:w="477" w:type="pct"/>
            <w:shd w:val="clear" w:color="auto" w:fill="auto"/>
            <w:vAlign w:val="center"/>
          </w:tcPr>
          <w:p w14:paraId="1553FD90" w14:textId="28CC629E" w:rsidR="00550446" w:rsidRPr="00994737" w:rsidRDefault="00550446" w:rsidP="0065506D">
            <w:pPr>
              <w:spacing w:after="0"/>
              <w:jc w:val="center"/>
            </w:pPr>
            <w:r w:rsidRPr="00994737">
              <w:rPr>
                <w:rFonts w:cs="Arial"/>
                <w:color w:val="000000"/>
              </w:rPr>
              <w:t>84.1%</w:t>
            </w:r>
          </w:p>
        </w:tc>
        <w:tc>
          <w:tcPr>
            <w:tcW w:w="550" w:type="pct"/>
            <w:shd w:val="clear" w:color="auto" w:fill="auto"/>
            <w:vAlign w:val="center"/>
          </w:tcPr>
          <w:p w14:paraId="52332D91" w14:textId="43F02249" w:rsidR="00550446" w:rsidRPr="00994737" w:rsidRDefault="00550446" w:rsidP="0065506D">
            <w:pPr>
              <w:spacing w:after="0"/>
              <w:jc w:val="center"/>
            </w:pPr>
            <w:r w:rsidRPr="00994737">
              <w:rPr>
                <w:rFonts w:cs="Arial"/>
                <w:color w:val="000000"/>
              </w:rPr>
              <w:t>84.2%</w:t>
            </w:r>
          </w:p>
        </w:tc>
        <w:tc>
          <w:tcPr>
            <w:tcW w:w="639" w:type="pct"/>
            <w:shd w:val="clear" w:color="auto" w:fill="auto"/>
            <w:vAlign w:val="center"/>
          </w:tcPr>
          <w:p w14:paraId="3D797E57" w14:textId="6E603105" w:rsidR="00550446" w:rsidRPr="00994737" w:rsidRDefault="00550446" w:rsidP="0065506D">
            <w:pPr>
              <w:spacing w:after="0"/>
              <w:jc w:val="center"/>
            </w:pPr>
            <w:r w:rsidRPr="00994737">
              <w:rPr>
                <w:rFonts w:cs="Arial"/>
                <w:color w:val="000000"/>
              </w:rPr>
              <w:t>80.8%</w:t>
            </w:r>
          </w:p>
        </w:tc>
        <w:tc>
          <w:tcPr>
            <w:tcW w:w="636" w:type="pct"/>
            <w:shd w:val="clear" w:color="auto" w:fill="auto"/>
            <w:vAlign w:val="center"/>
          </w:tcPr>
          <w:p w14:paraId="24636D97" w14:textId="7B45793C" w:rsidR="00550446" w:rsidRPr="00994737" w:rsidRDefault="00550446" w:rsidP="0065506D">
            <w:pPr>
              <w:spacing w:after="0"/>
              <w:jc w:val="center"/>
            </w:pPr>
            <w:r w:rsidRPr="00994737">
              <w:rPr>
                <w:rFonts w:cs="Arial"/>
                <w:color w:val="000000"/>
              </w:rPr>
              <w:t>81.7%</w:t>
            </w:r>
          </w:p>
        </w:tc>
        <w:tc>
          <w:tcPr>
            <w:tcW w:w="595" w:type="pct"/>
            <w:shd w:val="clear" w:color="auto" w:fill="auto"/>
            <w:vAlign w:val="center"/>
          </w:tcPr>
          <w:p w14:paraId="1067EC9E" w14:textId="3348ECB5" w:rsidR="00550446" w:rsidRPr="00994737" w:rsidRDefault="00550446" w:rsidP="0065506D">
            <w:pPr>
              <w:spacing w:after="0"/>
              <w:jc w:val="center"/>
            </w:pPr>
            <w:r w:rsidRPr="00994737">
              <w:rPr>
                <w:rFonts w:cs="Arial"/>
                <w:color w:val="000000"/>
              </w:rPr>
              <w:t>82.8%</w:t>
            </w:r>
          </w:p>
        </w:tc>
        <w:tc>
          <w:tcPr>
            <w:tcW w:w="596" w:type="pct"/>
            <w:shd w:val="clear" w:color="auto" w:fill="auto"/>
            <w:vAlign w:val="center"/>
          </w:tcPr>
          <w:p w14:paraId="4FBEADE6" w14:textId="0FADA39D" w:rsidR="00550446" w:rsidRPr="00994737" w:rsidRDefault="00550446" w:rsidP="0065506D">
            <w:pPr>
              <w:spacing w:after="0"/>
              <w:jc w:val="center"/>
            </w:pPr>
            <w:r w:rsidRPr="00994737">
              <w:rPr>
                <w:rFonts w:cs="Arial"/>
                <w:color w:val="000000"/>
              </w:rPr>
              <w:t>87.6%</w:t>
            </w:r>
          </w:p>
        </w:tc>
        <w:tc>
          <w:tcPr>
            <w:tcW w:w="516" w:type="pct"/>
            <w:shd w:val="clear" w:color="auto" w:fill="FFFFFF" w:themeFill="background1"/>
            <w:vAlign w:val="center"/>
          </w:tcPr>
          <w:p w14:paraId="4B8C6500" w14:textId="136A78EF" w:rsidR="00550446" w:rsidRPr="0077300A" w:rsidRDefault="00550446" w:rsidP="0065506D">
            <w:pPr>
              <w:spacing w:after="0"/>
              <w:jc w:val="center"/>
              <w:rPr>
                <w:b/>
                <w:bCs/>
              </w:rPr>
            </w:pPr>
            <w:r w:rsidRPr="0077300A">
              <w:rPr>
                <w:rFonts w:cs="Arial"/>
                <w:b/>
                <w:bCs/>
                <w:color w:val="000000"/>
              </w:rPr>
              <w:t>82.8%</w:t>
            </w:r>
          </w:p>
        </w:tc>
      </w:tr>
      <w:tr w:rsidR="004A5A11" w14:paraId="0ADBC87D" w14:textId="6E778028" w:rsidTr="005677F4">
        <w:trPr>
          <w:jc w:val="center"/>
        </w:trPr>
        <w:tc>
          <w:tcPr>
            <w:tcW w:w="992" w:type="pct"/>
            <w:shd w:val="clear" w:color="auto" w:fill="auto"/>
            <w:vAlign w:val="center"/>
          </w:tcPr>
          <w:p w14:paraId="0FF786D4" w14:textId="030CA36C" w:rsidR="00550446" w:rsidRPr="00DF72DF" w:rsidRDefault="00550446" w:rsidP="0065506D">
            <w:pPr>
              <w:spacing w:after="0"/>
            </w:pPr>
            <w:r w:rsidRPr="00DF72DF">
              <w:t>Orange/</w:t>
            </w:r>
            <w:r w:rsidR="00E17DBA">
              <w:t xml:space="preserve"> </w:t>
            </w:r>
            <w:r w:rsidRPr="00DF72DF">
              <w:t>San Gabriel (550)</w:t>
            </w:r>
          </w:p>
        </w:tc>
        <w:tc>
          <w:tcPr>
            <w:tcW w:w="477" w:type="pct"/>
            <w:shd w:val="clear" w:color="auto" w:fill="auto"/>
            <w:vAlign w:val="center"/>
          </w:tcPr>
          <w:p w14:paraId="25FC3CD2" w14:textId="76AE1375" w:rsidR="00550446" w:rsidRPr="00994737" w:rsidRDefault="00550446" w:rsidP="0065506D">
            <w:pPr>
              <w:spacing w:after="0"/>
              <w:jc w:val="center"/>
            </w:pPr>
            <w:r w:rsidRPr="00994737">
              <w:rPr>
                <w:rFonts w:cs="Arial"/>
                <w:color w:val="000000"/>
              </w:rPr>
              <w:t>82.4%</w:t>
            </w:r>
          </w:p>
        </w:tc>
        <w:tc>
          <w:tcPr>
            <w:tcW w:w="550" w:type="pct"/>
            <w:shd w:val="clear" w:color="auto" w:fill="auto"/>
            <w:vAlign w:val="center"/>
          </w:tcPr>
          <w:p w14:paraId="58B61AE8" w14:textId="0F2D56E9" w:rsidR="00550446" w:rsidRPr="00994737" w:rsidRDefault="00550446" w:rsidP="0065506D">
            <w:pPr>
              <w:spacing w:after="0"/>
              <w:jc w:val="center"/>
            </w:pPr>
            <w:r w:rsidRPr="00994737">
              <w:rPr>
                <w:rFonts w:cs="Arial"/>
                <w:color w:val="000000"/>
              </w:rPr>
              <w:t>82.5%</w:t>
            </w:r>
          </w:p>
        </w:tc>
        <w:tc>
          <w:tcPr>
            <w:tcW w:w="639" w:type="pct"/>
            <w:shd w:val="clear" w:color="auto" w:fill="auto"/>
            <w:vAlign w:val="center"/>
          </w:tcPr>
          <w:p w14:paraId="49F87B87" w14:textId="596BCF3B" w:rsidR="00550446" w:rsidRPr="00994737" w:rsidRDefault="00550446" w:rsidP="0065506D">
            <w:pPr>
              <w:spacing w:after="0"/>
              <w:jc w:val="center"/>
            </w:pPr>
            <w:r w:rsidRPr="00994737">
              <w:rPr>
                <w:rFonts w:cs="Arial"/>
                <w:color w:val="000000"/>
              </w:rPr>
              <w:t>82.2%</w:t>
            </w:r>
          </w:p>
        </w:tc>
        <w:tc>
          <w:tcPr>
            <w:tcW w:w="636" w:type="pct"/>
            <w:shd w:val="clear" w:color="auto" w:fill="auto"/>
            <w:vAlign w:val="center"/>
          </w:tcPr>
          <w:p w14:paraId="674DFF08" w14:textId="17F9F92E" w:rsidR="00550446" w:rsidRPr="00994737" w:rsidRDefault="00550446" w:rsidP="0065506D">
            <w:pPr>
              <w:spacing w:after="0"/>
              <w:jc w:val="center"/>
            </w:pPr>
            <w:r w:rsidRPr="00994737">
              <w:rPr>
                <w:rFonts w:cs="Arial"/>
                <w:color w:val="000000"/>
              </w:rPr>
              <w:t>78.9%</w:t>
            </w:r>
          </w:p>
        </w:tc>
        <w:tc>
          <w:tcPr>
            <w:tcW w:w="595" w:type="pct"/>
            <w:shd w:val="clear" w:color="auto" w:fill="auto"/>
            <w:vAlign w:val="center"/>
          </w:tcPr>
          <w:p w14:paraId="5D330F38" w14:textId="6BD91F04" w:rsidR="00550446" w:rsidRPr="00994737" w:rsidRDefault="00550446" w:rsidP="0065506D">
            <w:pPr>
              <w:spacing w:after="0"/>
              <w:jc w:val="center"/>
            </w:pPr>
            <w:r w:rsidRPr="00994737">
              <w:rPr>
                <w:rFonts w:cs="Arial"/>
                <w:color w:val="000000"/>
              </w:rPr>
              <w:t>81.2%</w:t>
            </w:r>
          </w:p>
        </w:tc>
        <w:tc>
          <w:tcPr>
            <w:tcW w:w="596" w:type="pct"/>
            <w:shd w:val="clear" w:color="auto" w:fill="auto"/>
            <w:vAlign w:val="center"/>
          </w:tcPr>
          <w:p w14:paraId="6C0994CE" w14:textId="0387DD55" w:rsidR="00550446" w:rsidRPr="00994737" w:rsidRDefault="00550446" w:rsidP="0065506D">
            <w:pPr>
              <w:spacing w:after="0"/>
              <w:jc w:val="center"/>
            </w:pPr>
            <w:r w:rsidRPr="00994737">
              <w:rPr>
                <w:rFonts w:cs="Arial"/>
                <w:color w:val="000000"/>
              </w:rPr>
              <w:t>79.1%</w:t>
            </w:r>
          </w:p>
        </w:tc>
        <w:tc>
          <w:tcPr>
            <w:tcW w:w="516" w:type="pct"/>
            <w:shd w:val="clear" w:color="auto" w:fill="FFFFFF" w:themeFill="background1"/>
            <w:vAlign w:val="center"/>
          </w:tcPr>
          <w:p w14:paraId="797C7391" w14:textId="0E42C98B" w:rsidR="00550446" w:rsidRPr="0077300A" w:rsidRDefault="00550446" w:rsidP="0065506D">
            <w:pPr>
              <w:spacing w:after="0"/>
              <w:jc w:val="center"/>
              <w:rPr>
                <w:b/>
                <w:bCs/>
              </w:rPr>
            </w:pPr>
            <w:r w:rsidRPr="0077300A">
              <w:rPr>
                <w:rFonts w:cs="Arial"/>
                <w:b/>
                <w:bCs/>
                <w:color w:val="000000"/>
              </w:rPr>
              <w:t>81.3%</w:t>
            </w:r>
          </w:p>
        </w:tc>
      </w:tr>
      <w:tr w:rsidR="0005448F" w14:paraId="120AC993" w14:textId="2EB79AB7" w:rsidTr="005677F4">
        <w:trPr>
          <w:jc w:val="center"/>
        </w:trPr>
        <w:tc>
          <w:tcPr>
            <w:tcW w:w="992" w:type="pct"/>
            <w:shd w:val="clear" w:color="auto" w:fill="auto"/>
            <w:vAlign w:val="center"/>
          </w:tcPr>
          <w:p w14:paraId="2CA72187" w14:textId="37D05A34" w:rsidR="00550446" w:rsidRPr="00DF72DF" w:rsidRDefault="00550446" w:rsidP="0065506D">
            <w:pPr>
              <w:spacing w:after="0"/>
            </w:pPr>
            <w:r w:rsidRPr="00DF72DF">
              <w:t>San Joaquin Valley (150)</w:t>
            </w:r>
          </w:p>
        </w:tc>
        <w:tc>
          <w:tcPr>
            <w:tcW w:w="477" w:type="pct"/>
            <w:shd w:val="clear" w:color="auto" w:fill="auto"/>
            <w:vAlign w:val="center"/>
          </w:tcPr>
          <w:p w14:paraId="22BE01C6" w14:textId="333A8DCC" w:rsidR="00550446" w:rsidRPr="00994737" w:rsidRDefault="00550446" w:rsidP="0065506D">
            <w:pPr>
              <w:spacing w:after="0"/>
              <w:jc w:val="center"/>
            </w:pPr>
            <w:r w:rsidRPr="00994737">
              <w:rPr>
                <w:rFonts w:cs="Arial"/>
                <w:color w:val="000000"/>
              </w:rPr>
              <w:t>83.5%</w:t>
            </w:r>
          </w:p>
        </w:tc>
        <w:tc>
          <w:tcPr>
            <w:tcW w:w="550" w:type="pct"/>
            <w:shd w:val="clear" w:color="auto" w:fill="auto"/>
            <w:vAlign w:val="center"/>
          </w:tcPr>
          <w:p w14:paraId="6E56D893" w14:textId="685E9CB4" w:rsidR="00550446" w:rsidRPr="00994737" w:rsidRDefault="00550446" w:rsidP="0065506D">
            <w:pPr>
              <w:spacing w:after="0"/>
              <w:jc w:val="center"/>
            </w:pPr>
            <w:r w:rsidRPr="00994737">
              <w:rPr>
                <w:rFonts w:cs="Arial"/>
                <w:color w:val="000000"/>
              </w:rPr>
              <w:t>80.5%</w:t>
            </w:r>
          </w:p>
        </w:tc>
        <w:tc>
          <w:tcPr>
            <w:tcW w:w="639" w:type="pct"/>
            <w:shd w:val="clear" w:color="auto" w:fill="auto"/>
            <w:vAlign w:val="center"/>
          </w:tcPr>
          <w:p w14:paraId="23739549" w14:textId="10AE9E2E" w:rsidR="00550446" w:rsidRPr="00994737" w:rsidRDefault="00550446" w:rsidP="0065506D">
            <w:pPr>
              <w:spacing w:after="0"/>
              <w:jc w:val="center"/>
            </w:pPr>
            <w:r w:rsidRPr="00994737">
              <w:rPr>
                <w:rFonts w:cs="Arial"/>
                <w:color w:val="000000"/>
              </w:rPr>
              <w:t>83.0%</w:t>
            </w:r>
          </w:p>
        </w:tc>
        <w:tc>
          <w:tcPr>
            <w:tcW w:w="636" w:type="pct"/>
            <w:shd w:val="clear" w:color="auto" w:fill="auto"/>
            <w:vAlign w:val="center"/>
          </w:tcPr>
          <w:p w14:paraId="070102ED" w14:textId="15F6F6B2" w:rsidR="00550446" w:rsidRPr="00994737" w:rsidRDefault="00550446" w:rsidP="0065506D">
            <w:pPr>
              <w:spacing w:after="0"/>
              <w:jc w:val="center"/>
            </w:pPr>
            <w:r w:rsidRPr="00994737">
              <w:rPr>
                <w:rFonts w:cs="Arial"/>
                <w:color w:val="000000"/>
              </w:rPr>
              <w:t>79.6%</w:t>
            </w:r>
          </w:p>
        </w:tc>
        <w:tc>
          <w:tcPr>
            <w:tcW w:w="595" w:type="pct"/>
            <w:shd w:val="clear" w:color="auto" w:fill="auto"/>
            <w:vAlign w:val="center"/>
          </w:tcPr>
          <w:p w14:paraId="14BF82D4" w14:textId="3E62D60B" w:rsidR="00550446" w:rsidRPr="00994737" w:rsidRDefault="00550446" w:rsidP="0065506D">
            <w:pPr>
              <w:spacing w:after="0"/>
              <w:jc w:val="center"/>
            </w:pPr>
            <w:r w:rsidRPr="00994737">
              <w:rPr>
                <w:rFonts w:cs="Arial"/>
                <w:color w:val="000000"/>
              </w:rPr>
              <w:t>76.3%</w:t>
            </w:r>
          </w:p>
        </w:tc>
        <w:tc>
          <w:tcPr>
            <w:tcW w:w="596" w:type="pct"/>
            <w:shd w:val="clear" w:color="auto" w:fill="auto"/>
            <w:vAlign w:val="center"/>
          </w:tcPr>
          <w:p w14:paraId="04A508EC" w14:textId="70BA337E" w:rsidR="00550446" w:rsidRPr="00994737" w:rsidRDefault="00550446" w:rsidP="0065506D">
            <w:pPr>
              <w:spacing w:after="0"/>
              <w:jc w:val="center"/>
            </w:pPr>
            <w:r w:rsidRPr="00994737">
              <w:rPr>
                <w:rFonts w:cs="Arial"/>
                <w:color w:val="000000"/>
              </w:rPr>
              <w:t>78.9%</w:t>
            </w:r>
          </w:p>
        </w:tc>
        <w:tc>
          <w:tcPr>
            <w:tcW w:w="516" w:type="pct"/>
            <w:shd w:val="clear" w:color="auto" w:fill="FFFFFF" w:themeFill="background1"/>
            <w:vAlign w:val="center"/>
          </w:tcPr>
          <w:p w14:paraId="54B71A7F" w14:textId="32565E43" w:rsidR="00550446" w:rsidRPr="0077300A" w:rsidRDefault="00550446" w:rsidP="0065506D">
            <w:pPr>
              <w:spacing w:after="0"/>
              <w:jc w:val="center"/>
              <w:rPr>
                <w:b/>
                <w:bCs/>
              </w:rPr>
            </w:pPr>
            <w:r w:rsidRPr="0077300A">
              <w:rPr>
                <w:rFonts w:cs="Arial"/>
                <w:b/>
                <w:bCs/>
                <w:color w:val="000000"/>
              </w:rPr>
              <w:t>80.5%</w:t>
            </w:r>
          </w:p>
        </w:tc>
      </w:tr>
      <w:tr w:rsidR="004A5A11" w14:paraId="57043AD6" w14:textId="44B2B480" w:rsidTr="005677F4">
        <w:trPr>
          <w:jc w:val="center"/>
        </w:trPr>
        <w:tc>
          <w:tcPr>
            <w:tcW w:w="992" w:type="pct"/>
            <w:shd w:val="clear" w:color="auto" w:fill="auto"/>
            <w:vAlign w:val="center"/>
          </w:tcPr>
          <w:p w14:paraId="42E3B59D" w14:textId="6EED7088" w:rsidR="00550446" w:rsidRPr="00DF72DF" w:rsidRDefault="00550446" w:rsidP="0065506D">
            <w:pPr>
              <w:spacing w:after="0"/>
            </w:pPr>
            <w:r w:rsidRPr="00DF72DF">
              <w:t>Santa Barbara (320)</w:t>
            </w:r>
          </w:p>
        </w:tc>
        <w:tc>
          <w:tcPr>
            <w:tcW w:w="477" w:type="pct"/>
            <w:shd w:val="clear" w:color="auto" w:fill="auto"/>
            <w:vAlign w:val="center"/>
          </w:tcPr>
          <w:p w14:paraId="34BB1E21" w14:textId="366B02FD" w:rsidR="00550446" w:rsidRPr="00994737" w:rsidRDefault="00550446" w:rsidP="0065506D">
            <w:pPr>
              <w:spacing w:after="0"/>
              <w:jc w:val="center"/>
            </w:pPr>
            <w:r w:rsidRPr="00994737">
              <w:rPr>
                <w:rFonts w:cs="Arial"/>
                <w:color w:val="000000"/>
              </w:rPr>
              <w:t>79.4%</w:t>
            </w:r>
          </w:p>
        </w:tc>
        <w:tc>
          <w:tcPr>
            <w:tcW w:w="550" w:type="pct"/>
            <w:shd w:val="clear" w:color="auto" w:fill="auto"/>
            <w:vAlign w:val="center"/>
          </w:tcPr>
          <w:p w14:paraId="097FA684" w14:textId="425E64CC" w:rsidR="00550446" w:rsidRPr="00994737" w:rsidRDefault="00550446" w:rsidP="0065506D">
            <w:pPr>
              <w:spacing w:after="0"/>
              <w:jc w:val="center"/>
            </w:pPr>
            <w:r w:rsidRPr="00994737">
              <w:rPr>
                <w:rFonts w:cs="Arial"/>
                <w:color w:val="000000"/>
              </w:rPr>
              <w:t>83.0%</w:t>
            </w:r>
          </w:p>
        </w:tc>
        <w:tc>
          <w:tcPr>
            <w:tcW w:w="639" w:type="pct"/>
            <w:shd w:val="clear" w:color="auto" w:fill="auto"/>
            <w:vAlign w:val="center"/>
          </w:tcPr>
          <w:p w14:paraId="493590A3" w14:textId="3A4DCB7D" w:rsidR="00550446" w:rsidRPr="00994737" w:rsidRDefault="00550446" w:rsidP="0065506D">
            <w:pPr>
              <w:spacing w:after="0"/>
              <w:jc w:val="center"/>
            </w:pPr>
            <w:r w:rsidRPr="00994737">
              <w:rPr>
                <w:rFonts w:cs="Arial"/>
                <w:color w:val="000000"/>
              </w:rPr>
              <w:t>82.3%</w:t>
            </w:r>
          </w:p>
        </w:tc>
        <w:tc>
          <w:tcPr>
            <w:tcW w:w="636" w:type="pct"/>
            <w:shd w:val="clear" w:color="auto" w:fill="auto"/>
            <w:vAlign w:val="center"/>
          </w:tcPr>
          <w:p w14:paraId="6481E7D7" w14:textId="55844B08" w:rsidR="00550446" w:rsidRPr="00994737" w:rsidRDefault="00550446" w:rsidP="0065506D">
            <w:pPr>
              <w:spacing w:after="0"/>
              <w:jc w:val="center"/>
            </w:pPr>
            <w:r w:rsidRPr="00994737">
              <w:rPr>
                <w:rFonts w:cs="Arial"/>
                <w:color w:val="000000"/>
              </w:rPr>
              <w:t>77.1%</w:t>
            </w:r>
          </w:p>
        </w:tc>
        <w:tc>
          <w:tcPr>
            <w:tcW w:w="595" w:type="pct"/>
            <w:shd w:val="clear" w:color="auto" w:fill="auto"/>
            <w:vAlign w:val="center"/>
          </w:tcPr>
          <w:p w14:paraId="0123D738" w14:textId="4F3F5CD4" w:rsidR="00550446" w:rsidRPr="00994737" w:rsidRDefault="00550446" w:rsidP="0065506D">
            <w:pPr>
              <w:spacing w:after="0"/>
              <w:jc w:val="center"/>
            </w:pPr>
            <w:r w:rsidRPr="00994737">
              <w:rPr>
                <w:rFonts w:cs="Arial"/>
                <w:color w:val="000000"/>
              </w:rPr>
              <w:t>79.0%</w:t>
            </w:r>
          </w:p>
        </w:tc>
        <w:tc>
          <w:tcPr>
            <w:tcW w:w="596" w:type="pct"/>
            <w:shd w:val="clear" w:color="auto" w:fill="auto"/>
            <w:vAlign w:val="center"/>
          </w:tcPr>
          <w:p w14:paraId="228C969E" w14:textId="4CD91292" w:rsidR="00550446" w:rsidRPr="00994737" w:rsidRDefault="00550446" w:rsidP="0065506D">
            <w:pPr>
              <w:spacing w:after="0"/>
              <w:jc w:val="center"/>
            </w:pPr>
            <w:r w:rsidRPr="00994737">
              <w:rPr>
                <w:rFonts w:cs="Arial"/>
                <w:color w:val="000000"/>
              </w:rPr>
              <w:t>70.1%</w:t>
            </w:r>
          </w:p>
        </w:tc>
        <w:tc>
          <w:tcPr>
            <w:tcW w:w="516" w:type="pct"/>
            <w:shd w:val="clear" w:color="auto" w:fill="FFFFFF" w:themeFill="background1"/>
            <w:vAlign w:val="center"/>
          </w:tcPr>
          <w:p w14:paraId="16C372C9" w14:textId="3EAA57E9" w:rsidR="00550446" w:rsidRPr="0077300A" w:rsidRDefault="00550446" w:rsidP="0065506D">
            <w:pPr>
              <w:spacing w:after="0"/>
              <w:jc w:val="center"/>
              <w:rPr>
                <w:b/>
                <w:bCs/>
              </w:rPr>
            </w:pPr>
            <w:r w:rsidRPr="0077300A">
              <w:rPr>
                <w:rFonts w:cs="Arial"/>
                <w:b/>
                <w:bCs/>
                <w:color w:val="000000"/>
              </w:rPr>
              <w:t>80.2%</w:t>
            </w:r>
          </w:p>
        </w:tc>
      </w:tr>
      <w:tr w:rsidR="0005448F" w14:paraId="19A71F82" w14:textId="6FFA42BC" w:rsidTr="005677F4">
        <w:trPr>
          <w:jc w:val="center"/>
        </w:trPr>
        <w:tc>
          <w:tcPr>
            <w:tcW w:w="992" w:type="pct"/>
            <w:shd w:val="clear" w:color="auto" w:fill="auto"/>
            <w:vAlign w:val="center"/>
          </w:tcPr>
          <w:p w14:paraId="5852061F" w14:textId="5F311ED2" w:rsidR="00550446" w:rsidRPr="00DF72DF" w:rsidRDefault="00550446" w:rsidP="0065506D">
            <w:pPr>
              <w:spacing w:after="0"/>
            </w:pPr>
            <w:r w:rsidRPr="00DF72DF">
              <w:t>Blind Field Services (560)</w:t>
            </w:r>
          </w:p>
        </w:tc>
        <w:tc>
          <w:tcPr>
            <w:tcW w:w="477" w:type="pct"/>
            <w:shd w:val="clear" w:color="auto" w:fill="auto"/>
            <w:vAlign w:val="center"/>
          </w:tcPr>
          <w:p w14:paraId="5DC1CB85" w14:textId="27FB5C90" w:rsidR="00550446" w:rsidRPr="00994737" w:rsidRDefault="00550446" w:rsidP="0065506D">
            <w:pPr>
              <w:spacing w:after="0"/>
              <w:jc w:val="center"/>
            </w:pPr>
            <w:r w:rsidRPr="00994737">
              <w:rPr>
                <w:rFonts w:cs="Arial"/>
                <w:color w:val="000000"/>
              </w:rPr>
              <w:t>79.8%</w:t>
            </w:r>
          </w:p>
        </w:tc>
        <w:tc>
          <w:tcPr>
            <w:tcW w:w="550" w:type="pct"/>
            <w:shd w:val="clear" w:color="auto" w:fill="auto"/>
            <w:vAlign w:val="center"/>
          </w:tcPr>
          <w:p w14:paraId="6EA99B9C" w14:textId="711ACEC2" w:rsidR="00550446" w:rsidRPr="00994737" w:rsidRDefault="00550446" w:rsidP="0065506D">
            <w:pPr>
              <w:spacing w:after="0"/>
              <w:jc w:val="center"/>
            </w:pPr>
            <w:r w:rsidRPr="00994737">
              <w:rPr>
                <w:rFonts w:cs="Arial"/>
                <w:color w:val="000000"/>
              </w:rPr>
              <w:t>79.6%</w:t>
            </w:r>
          </w:p>
        </w:tc>
        <w:tc>
          <w:tcPr>
            <w:tcW w:w="639" w:type="pct"/>
            <w:shd w:val="clear" w:color="auto" w:fill="auto"/>
            <w:vAlign w:val="center"/>
          </w:tcPr>
          <w:p w14:paraId="309E89DD" w14:textId="2C7AEF80" w:rsidR="00550446" w:rsidRPr="00994737" w:rsidRDefault="00550446" w:rsidP="0065506D">
            <w:pPr>
              <w:spacing w:after="0"/>
              <w:jc w:val="center"/>
            </w:pPr>
            <w:r w:rsidRPr="00994737">
              <w:rPr>
                <w:rFonts w:cs="Arial"/>
                <w:color w:val="000000"/>
              </w:rPr>
              <w:t>81.3%</w:t>
            </w:r>
          </w:p>
        </w:tc>
        <w:tc>
          <w:tcPr>
            <w:tcW w:w="636" w:type="pct"/>
            <w:shd w:val="clear" w:color="auto" w:fill="auto"/>
            <w:vAlign w:val="center"/>
          </w:tcPr>
          <w:p w14:paraId="23E5DFFB" w14:textId="0342C145" w:rsidR="00550446" w:rsidRPr="00994737" w:rsidRDefault="00550446" w:rsidP="0065506D">
            <w:pPr>
              <w:spacing w:after="0"/>
              <w:jc w:val="center"/>
            </w:pPr>
            <w:r w:rsidRPr="00994737">
              <w:rPr>
                <w:rFonts w:cs="Arial"/>
                <w:color w:val="000000"/>
              </w:rPr>
              <w:t>76.6%</w:t>
            </w:r>
          </w:p>
        </w:tc>
        <w:tc>
          <w:tcPr>
            <w:tcW w:w="595" w:type="pct"/>
            <w:shd w:val="clear" w:color="auto" w:fill="auto"/>
            <w:vAlign w:val="center"/>
          </w:tcPr>
          <w:p w14:paraId="7BC397E5" w14:textId="32FD1749" w:rsidR="00550446" w:rsidRPr="00994737" w:rsidRDefault="00550446" w:rsidP="0065506D">
            <w:pPr>
              <w:spacing w:after="0"/>
              <w:jc w:val="center"/>
            </w:pPr>
            <w:r w:rsidRPr="00994737">
              <w:rPr>
                <w:rFonts w:cs="Arial"/>
                <w:color w:val="000000"/>
              </w:rPr>
              <w:t>83.1%</w:t>
            </w:r>
          </w:p>
        </w:tc>
        <w:tc>
          <w:tcPr>
            <w:tcW w:w="596" w:type="pct"/>
            <w:shd w:val="clear" w:color="auto" w:fill="auto"/>
            <w:vAlign w:val="center"/>
          </w:tcPr>
          <w:p w14:paraId="37D026FD" w14:textId="32730D3C" w:rsidR="00550446" w:rsidRPr="00994737" w:rsidRDefault="00550446" w:rsidP="0065506D">
            <w:pPr>
              <w:spacing w:after="0"/>
              <w:jc w:val="center"/>
            </w:pPr>
            <w:r w:rsidRPr="00994737">
              <w:rPr>
                <w:rFonts w:cs="Arial"/>
                <w:color w:val="000000"/>
              </w:rPr>
              <w:t>66.5%</w:t>
            </w:r>
          </w:p>
        </w:tc>
        <w:tc>
          <w:tcPr>
            <w:tcW w:w="516" w:type="pct"/>
            <w:shd w:val="clear" w:color="auto" w:fill="FFFFFF" w:themeFill="background1"/>
            <w:vAlign w:val="center"/>
          </w:tcPr>
          <w:p w14:paraId="6EDF1C75" w14:textId="02CF8CBE" w:rsidR="00550446" w:rsidRPr="0077300A" w:rsidRDefault="00550446" w:rsidP="0065506D">
            <w:pPr>
              <w:spacing w:after="0"/>
              <w:jc w:val="center"/>
              <w:rPr>
                <w:b/>
                <w:bCs/>
              </w:rPr>
            </w:pPr>
            <w:r w:rsidRPr="0077300A">
              <w:rPr>
                <w:rFonts w:cs="Arial"/>
                <w:b/>
                <w:bCs/>
                <w:color w:val="000000"/>
              </w:rPr>
              <w:t>79.4%</w:t>
            </w:r>
          </w:p>
        </w:tc>
      </w:tr>
      <w:tr w:rsidR="0005448F" w14:paraId="0AF722C1" w14:textId="77777777" w:rsidTr="005677F4">
        <w:trPr>
          <w:jc w:val="center"/>
        </w:trPr>
        <w:tc>
          <w:tcPr>
            <w:tcW w:w="992" w:type="pct"/>
            <w:shd w:val="clear" w:color="auto" w:fill="auto"/>
            <w:vAlign w:val="center"/>
          </w:tcPr>
          <w:p w14:paraId="56E14A8A" w14:textId="72E1D204" w:rsidR="00550446" w:rsidRPr="00DF72DF" w:rsidRDefault="00550446" w:rsidP="0065506D">
            <w:pPr>
              <w:spacing w:after="0"/>
            </w:pPr>
            <w:r w:rsidRPr="00DF72DF">
              <w:t>San Francisco (230)</w:t>
            </w:r>
          </w:p>
        </w:tc>
        <w:tc>
          <w:tcPr>
            <w:tcW w:w="477" w:type="pct"/>
            <w:shd w:val="clear" w:color="auto" w:fill="auto"/>
            <w:vAlign w:val="center"/>
          </w:tcPr>
          <w:p w14:paraId="1BF56242" w14:textId="6F57159C" w:rsidR="00550446" w:rsidRPr="00994737" w:rsidRDefault="00550446" w:rsidP="0065506D">
            <w:pPr>
              <w:spacing w:after="0"/>
              <w:jc w:val="center"/>
            </w:pPr>
            <w:r w:rsidRPr="00994737">
              <w:rPr>
                <w:rFonts w:cs="Arial"/>
                <w:color w:val="000000"/>
              </w:rPr>
              <w:t>80.3%</w:t>
            </w:r>
          </w:p>
        </w:tc>
        <w:tc>
          <w:tcPr>
            <w:tcW w:w="550" w:type="pct"/>
            <w:shd w:val="clear" w:color="auto" w:fill="auto"/>
            <w:vAlign w:val="center"/>
          </w:tcPr>
          <w:p w14:paraId="2FC73473" w14:textId="7AE4F18A" w:rsidR="00550446" w:rsidRPr="00994737" w:rsidRDefault="00550446" w:rsidP="0065506D">
            <w:pPr>
              <w:spacing w:after="0"/>
              <w:jc w:val="center"/>
            </w:pPr>
            <w:r w:rsidRPr="00994737">
              <w:rPr>
                <w:rFonts w:cs="Arial"/>
                <w:color w:val="000000"/>
              </w:rPr>
              <w:t>85.1%</w:t>
            </w:r>
          </w:p>
        </w:tc>
        <w:tc>
          <w:tcPr>
            <w:tcW w:w="639" w:type="pct"/>
            <w:shd w:val="clear" w:color="auto" w:fill="auto"/>
            <w:vAlign w:val="center"/>
          </w:tcPr>
          <w:p w14:paraId="0833FBA5" w14:textId="3C13333E" w:rsidR="00550446" w:rsidRPr="00994737" w:rsidRDefault="00550446" w:rsidP="0065506D">
            <w:pPr>
              <w:spacing w:after="0"/>
              <w:jc w:val="center"/>
            </w:pPr>
            <w:r w:rsidRPr="00994737">
              <w:rPr>
                <w:rFonts w:cs="Arial"/>
                <w:color w:val="000000"/>
              </w:rPr>
              <w:t>78.9%</w:t>
            </w:r>
          </w:p>
        </w:tc>
        <w:tc>
          <w:tcPr>
            <w:tcW w:w="636" w:type="pct"/>
            <w:shd w:val="clear" w:color="auto" w:fill="auto"/>
            <w:vAlign w:val="center"/>
          </w:tcPr>
          <w:p w14:paraId="4D499094" w14:textId="47A1B1F5" w:rsidR="00550446" w:rsidRPr="00994737" w:rsidRDefault="00550446" w:rsidP="0065506D">
            <w:pPr>
              <w:spacing w:after="0"/>
              <w:jc w:val="center"/>
            </w:pPr>
            <w:r w:rsidRPr="00994737">
              <w:rPr>
                <w:rFonts w:cs="Arial"/>
                <w:color w:val="000000"/>
              </w:rPr>
              <w:t>76.5%</w:t>
            </w:r>
          </w:p>
        </w:tc>
        <w:tc>
          <w:tcPr>
            <w:tcW w:w="595" w:type="pct"/>
            <w:shd w:val="clear" w:color="auto" w:fill="auto"/>
            <w:vAlign w:val="center"/>
          </w:tcPr>
          <w:p w14:paraId="1A3C5AFB" w14:textId="2134D514" w:rsidR="00550446" w:rsidRPr="00994737" w:rsidRDefault="00550446" w:rsidP="0065506D">
            <w:pPr>
              <w:spacing w:after="0"/>
              <w:jc w:val="center"/>
            </w:pPr>
            <w:r w:rsidRPr="00994737">
              <w:rPr>
                <w:rFonts w:cs="Arial"/>
                <w:color w:val="000000"/>
              </w:rPr>
              <w:t>68.9%</w:t>
            </w:r>
          </w:p>
        </w:tc>
        <w:tc>
          <w:tcPr>
            <w:tcW w:w="596" w:type="pct"/>
            <w:shd w:val="clear" w:color="auto" w:fill="auto"/>
            <w:vAlign w:val="center"/>
          </w:tcPr>
          <w:p w14:paraId="187B012A" w14:textId="02DF2847" w:rsidR="00550446" w:rsidRPr="00994737" w:rsidRDefault="00550446" w:rsidP="0065506D">
            <w:pPr>
              <w:spacing w:after="0"/>
              <w:jc w:val="center"/>
            </w:pPr>
            <w:r w:rsidRPr="00994737">
              <w:rPr>
                <w:rFonts w:cs="Arial"/>
                <w:color w:val="000000"/>
              </w:rPr>
              <w:t>73.7%</w:t>
            </w:r>
          </w:p>
        </w:tc>
        <w:tc>
          <w:tcPr>
            <w:tcW w:w="516" w:type="pct"/>
            <w:shd w:val="clear" w:color="auto" w:fill="FFFFFF" w:themeFill="background1"/>
            <w:vAlign w:val="center"/>
          </w:tcPr>
          <w:p w14:paraId="41E861A7" w14:textId="4618CE43" w:rsidR="00550446" w:rsidRPr="0077300A" w:rsidRDefault="00550446" w:rsidP="0065506D">
            <w:pPr>
              <w:spacing w:after="0"/>
              <w:jc w:val="center"/>
              <w:rPr>
                <w:b/>
                <w:bCs/>
              </w:rPr>
            </w:pPr>
            <w:r w:rsidRPr="0077300A">
              <w:rPr>
                <w:rFonts w:cs="Arial"/>
                <w:b/>
                <w:bCs/>
                <w:color w:val="000000"/>
              </w:rPr>
              <w:t>78.9%</w:t>
            </w:r>
          </w:p>
        </w:tc>
      </w:tr>
      <w:tr w:rsidR="004A5A11" w14:paraId="42640F9F" w14:textId="77777777" w:rsidTr="005677F4">
        <w:trPr>
          <w:jc w:val="center"/>
        </w:trPr>
        <w:tc>
          <w:tcPr>
            <w:tcW w:w="992" w:type="pct"/>
            <w:shd w:val="clear" w:color="auto" w:fill="auto"/>
            <w:vAlign w:val="center"/>
          </w:tcPr>
          <w:p w14:paraId="16ED1E47" w14:textId="6F149107" w:rsidR="00550446" w:rsidRPr="00DF72DF" w:rsidRDefault="00550446" w:rsidP="0065506D">
            <w:pPr>
              <w:spacing w:after="0"/>
            </w:pPr>
            <w:r w:rsidRPr="00DF72DF">
              <w:t>Van Nuys/</w:t>
            </w:r>
            <w:r w:rsidR="00E17DBA">
              <w:t xml:space="preserve"> </w:t>
            </w:r>
            <w:r w:rsidRPr="00DF72DF">
              <w:t>Foothill (410)</w:t>
            </w:r>
          </w:p>
        </w:tc>
        <w:tc>
          <w:tcPr>
            <w:tcW w:w="477" w:type="pct"/>
            <w:shd w:val="clear" w:color="auto" w:fill="auto"/>
            <w:vAlign w:val="center"/>
          </w:tcPr>
          <w:p w14:paraId="21AF5805" w14:textId="40ADA919" w:rsidR="00550446" w:rsidRPr="00994737" w:rsidRDefault="00550446" w:rsidP="0065506D">
            <w:pPr>
              <w:spacing w:after="0"/>
              <w:jc w:val="center"/>
            </w:pPr>
            <w:r w:rsidRPr="00994737">
              <w:rPr>
                <w:rFonts w:cs="Arial"/>
                <w:color w:val="000000"/>
              </w:rPr>
              <w:t>78.4%</w:t>
            </w:r>
          </w:p>
        </w:tc>
        <w:tc>
          <w:tcPr>
            <w:tcW w:w="550" w:type="pct"/>
            <w:shd w:val="clear" w:color="auto" w:fill="auto"/>
            <w:vAlign w:val="center"/>
          </w:tcPr>
          <w:p w14:paraId="5ED08391" w14:textId="613CFCDF" w:rsidR="00550446" w:rsidRPr="00994737" w:rsidRDefault="00550446" w:rsidP="0065506D">
            <w:pPr>
              <w:spacing w:after="0"/>
              <w:jc w:val="center"/>
            </w:pPr>
            <w:r w:rsidRPr="00994737">
              <w:rPr>
                <w:rFonts w:cs="Arial"/>
                <w:color w:val="000000"/>
              </w:rPr>
              <w:t>79.8%</w:t>
            </w:r>
          </w:p>
        </w:tc>
        <w:tc>
          <w:tcPr>
            <w:tcW w:w="639" w:type="pct"/>
            <w:shd w:val="clear" w:color="auto" w:fill="auto"/>
            <w:vAlign w:val="center"/>
          </w:tcPr>
          <w:p w14:paraId="00544405" w14:textId="7BBDDA37" w:rsidR="00550446" w:rsidRPr="00994737" w:rsidRDefault="00550446" w:rsidP="0065506D">
            <w:pPr>
              <w:spacing w:after="0"/>
              <w:jc w:val="center"/>
            </w:pPr>
            <w:r w:rsidRPr="00994737">
              <w:rPr>
                <w:rFonts w:cs="Arial"/>
                <w:color w:val="000000"/>
              </w:rPr>
              <w:t>79.4%</w:t>
            </w:r>
          </w:p>
        </w:tc>
        <w:tc>
          <w:tcPr>
            <w:tcW w:w="636" w:type="pct"/>
            <w:shd w:val="clear" w:color="auto" w:fill="auto"/>
            <w:vAlign w:val="center"/>
          </w:tcPr>
          <w:p w14:paraId="3BC22E56" w14:textId="3D695CB4" w:rsidR="00550446" w:rsidRPr="00994737" w:rsidRDefault="00550446" w:rsidP="0065506D">
            <w:pPr>
              <w:spacing w:after="0"/>
              <w:jc w:val="center"/>
            </w:pPr>
            <w:r w:rsidRPr="00994737">
              <w:rPr>
                <w:rFonts w:cs="Arial"/>
                <w:color w:val="000000"/>
              </w:rPr>
              <w:t>78.7%</w:t>
            </w:r>
          </w:p>
        </w:tc>
        <w:tc>
          <w:tcPr>
            <w:tcW w:w="595" w:type="pct"/>
            <w:shd w:val="clear" w:color="auto" w:fill="auto"/>
            <w:vAlign w:val="center"/>
          </w:tcPr>
          <w:p w14:paraId="23786DC4" w14:textId="0E162E73" w:rsidR="00550446" w:rsidRPr="00994737" w:rsidRDefault="00550446" w:rsidP="0065506D">
            <w:pPr>
              <w:spacing w:after="0"/>
              <w:jc w:val="center"/>
            </w:pPr>
            <w:r w:rsidRPr="00994737">
              <w:rPr>
                <w:rFonts w:cs="Arial"/>
                <w:color w:val="000000"/>
              </w:rPr>
              <w:t>78.0%</w:t>
            </w:r>
          </w:p>
        </w:tc>
        <w:tc>
          <w:tcPr>
            <w:tcW w:w="596" w:type="pct"/>
            <w:shd w:val="clear" w:color="auto" w:fill="auto"/>
            <w:vAlign w:val="center"/>
          </w:tcPr>
          <w:p w14:paraId="5E17B5DE" w14:textId="0400A914" w:rsidR="00550446" w:rsidRPr="00994737" w:rsidRDefault="00550446" w:rsidP="0065506D">
            <w:pPr>
              <w:spacing w:after="0"/>
              <w:jc w:val="center"/>
            </w:pPr>
            <w:r w:rsidRPr="00994737">
              <w:rPr>
                <w:rFonts w:cs="Arial"/>
                <w:color w:val="000000"/>
              </w:rPr>
              <w:t>71.0%</w:t>
            </w:r>
          </w:p>
        </w:tc>
        <w:tc>
          <w:tcPr>
            <w:tcW w:w="516" w:type="pct"/>
            <w:shd w:val="clear" w:color="auto" w:fill="FFFFFF" w:themeFill="background1"/>
            <w:vAlign w:val="center"/>
          </w:tcPr>
          <w:p w14:paraId="4EA8F24B" w14:textId="286319B1" w:rsidR="00550446" w:rsidRPr="0077300A" w:rsidRDefault="00550446" w:rsidP="0065506D">
            <w:pPr>
              <w:spacing w:after="0"/>
              <w:jc w:val="center"/>
              <w:rPr>
                <w:b/>
                <w:bCs/>
              </w:rPr>
            </w:pPr>
            <w:r w:rsidRPr="0077300A">
              <w:rPr>
                <w:rFonts w:cs="Arial"/>
                <w:b/>
                <w:bCs/>
                <w:color w:val="000000"/>
              </w:rPr>
              <w:t>78.7%</w:t>
            </w:r>
          </w:p>
        </w:tc>
      </w:tr>
      <w:tr w:rsidR="0005448F" w14:paraId="4569585A" w14:textId="77777777" w:rsidTr="005677F4">
        <w:trPr>
          <w:jc w:val="center"/>
        </w:trPr>
        <w:tc>
          <w:tcPr>
            <w:tcW w:w="992" w:type="pct"/>
            <w:shd w:val="clear" w:color="auto" w:fill="auto"/>
            <w:vAlign w:val="center"/>
          </w:tcPr>
          <w:p w14:paraId="2B437FCE" w14:textId="77777777" w:rsidR="00E17DBA" w:rsidRDefault="00550446" w:rsidP="0065506D">
            <w:pPr>
              <w:spacing w:after="0"/>
            </w:pPr>
            <w:r w:rsidRPr="00DF72DF">
              <w:t xml:space="preserve">San Diego </w:t>
            </w:r>
          </w:p>
          <w:p w14:paraId="20AA4A1B" w14:textId="1F0F5BDA" w:rsidR="00550446" w:rsidRPr="00DF72DF" w:rsidRDefault="00550446" w:rsidP="0065506D">
            <w:pPr>
              <w:spacing w:after="0"/>
            </w:pPr>
            <w:r w:rsidRPr="00DF72DF">
              <w:t>(350)</w:t>
            </w:r>
          </w:p>
        </w:tc>
        <w:tc>
          <w:tcPr>
            <w:tcW w:w="477" w:type="pct"/>
            <w:shd w:val="clear" w:color="auto" w:fill="auto"/>
            <w:vAlign w:val="center"/>
          </w:tcPr>
          <w:p w14:paraId="3FE9A123" w14:textId="7CDD6254" w:rsidR="00550446" w:rsidRPr="00994737" w:rsidRDefault="00550446" w:rsidP="0065506D">
            <w:pPr>
              <w:spacing w:after="0"/>
              <w:jc w:val="center"/>
            </w:pPr>
            <w:r w:rsidRPr="00994737">
              <w:rPr>
                <w:rFonts w:cs="Arial"/>
                <w:color w:val="000000"/>
              </w:rPr>
              <w:t>80.3%</w:t>
            </w:r>
          </w:p>
        </w:tc>
        <w:tc>
          <w:tcPr>
            <w:tcW w:w="550" w:type="pct"/>
            <w:shd w:val="clear" w:color="auto" w:fill="auto"/>
            <w:vAlign w:val="center"/>
          </w:tcPr>
          <w:p w14:paraId="00D77F74" w14:textId="54123836" w:rsidR="00550446" w:rsidRPr="00994737" w:rsidRDefault="00550446" w:rsidP="0065506D">
            <w:pPr>
              <w:spacing w:after="0"/>
              <w:jc w:val="center"/>
            </w:pPr>
            <w:r w:rsidRPr="00994737">
              <w:rPr>
                <w:rFonts w:cs="Arial"/>
                <w:color w:val="000000"/>
              </w:rPr>
              <w:t>79.5%</w:t>
            </w:r>
          </w:p>
        </w:tc>
        <w:tc>
          <w:tcPr>
            <w:tcW w:w="639" w:type="pct"/>
            <w:shd w:val="clear" w:color="auto" w:fill="auto"/>
            <w:vAlign w:val="center"/>
          </w:tcPr>
          <w:p w14:paraId="66414068" w14:textId="5A0347A8" w:rsidR="00550446" w:rsidRPr="00994737" w:rsidRDefault="00550446" w:rsidP="0065506D">
            <w:pPr>
              <w:spacing w:after="0"/>
              <w:jc w:val="center"/>
            </w:pPr>
            <w:r w:rsidRPr="00994737">
              <w:rPr>
                <w:rFonts w:cs="Arial"/>
                <w:color w:val="000000"/>
              </w:rPr>
              <w:t>81.1%</w:t>
            </w:r>
          </w:p>
        </w:tc>
        <w:tc>
          <w:tcPr>
            <w:tcW w:w="636" w:type="pct"/>
            <w:shd w:val="clear" w:color="auto" w:fill="auto"/>
            <w:vAlign w:val="center"/>
          </w:tcPr>
          <w:p w14:paraId="7050C99E" w14:textId="4AE0E247" w:rsidR="00550446" w:rsidRPr="00994737" w:rsidRDefault="00550446" w:rsidP="0065506D">
            <w:pPr>
              <w:spacing w:after="0"/>
              <w:jc w:val="center"/>
            </w:pPr>
            <w:r w:rsidRPr="00994737">
              <w:rPr>
                <w:rFonts w:cs="Arial"/>
                <w:color w:val="000000"/>
              </w:rPr>
              <w:t>77.9%</w:t>
            </w:r>
          </w:p>
        </w:tc>
        <w:tc>
          <w:tcPr>
            <w:tcW w:w="595" w:type="pct"/>
            <w:shd w:val="clear" w:color="auto" w:fill="auto"/>
            <w:vAlign w:val="center"/>
          </w:tcPr>
          <w:p w14:paraId="6653B705" w14:textId="3055AD5D" w:rsidR="00550446" w:rsidRPr="00994737" w:rsidRDefault="00550446" w:rsidP="0065506D">
            <w:pPr>
              <w:spacing w:after="0"/>
              <w:jc w:val="center"/>
            </w:pPr>
            <w:r w:rsidRPr="00994737">
              <w:rPr>
                <w:rFonts w:cs="Arial"/>
                <w:color w:val="000000"/>
              </w:rPr>
              <w:t>73.7%</w:t>
            </w:r>
          </w:p>
        </w:tc>
        <w:tc>
          <w:tcPr>
            <w:tcW w:w="596" w:type="pct"/>
            <w:shd w:val="clear" w:color="auto" w:fill="auto"/>
            <w:vAlign w:val="center"/>
          </w:tcPr>
          <w:p w14:paraId="34A12823" w14:textId="61E88E04" w:rsidR="00550446" w:rsidRPr="00994737" w:rsidRDefault="00550446" w:rsidP="0065506D">
            <w:pPr>
              <w:spacing w:after="0"/>
              <w:jc w:val="center"/>
            </w:pPr>
            <w:r w:rsidRPr="00994737">
              <w:rPr>
                <w:rFonts w:cs="Arial"/>
                <w:color w:val="000000"/>
              </w:rPr>
              <w:t>73.1%</w:t>
            </w:r>
          </w:p>
        </w:tc>
        <w:tc>
          <w:tcPr>
            <w:tcW w:w="516" w:type="pct"/>
            <w:shd w:val="clear" w:color="auto" w:fill="FFFFFF" w:themeFill="background1"/>
            <w:vAlign w:val="center"/>
          </w:tcPr>
          <w:p w14:paraId="258DA115" w14:textId="319D295D" w:rsidR="00550446" w:rsidRPr="0077300A" w:rsidRDefault="00550446" w:rsidP="0065506D">
            <w:pPr>
              <w:spacing w:after="0"/>
              <w:jc w:val="center"/>
              <w:rPr>
                <w:b/>
                <w:bCs/>
              </w:rPr>
            </w:pPr>
            <w:r w:rsidRPr="0077300A">
              <w:rPr>
                <w:rFonts w:cs="Arial"/>
                <w:b/>
                <w:bCs/>
                <w:color w:val="000000"/>
              </w:rPr>
              <w:t>78.6%</w:t>
            </w:r>
          </w:p>
        </w:tc>
      </w:tr>
      <w:tr w:rsidR="004A5A11" w14:paraId="4900DA6F" w14:textId="77777777" w:rsidTr="005677F4">
        <w:trPr>
          <w:jc w:val="center"/>
        </w:trPr>
        <w:tc>
          <w:tcPr>
            <w:tcW w:w="992" w:type="pct"/>
            <w:shd w:val="clear" w:color="auto" w:fill="auto"/>
            <w:vAlign w:val="center"/>
          </w:tcPr>
          <w:p w14:paraId="44353E89" w14:textId="58AD81BD" w:rsidR="00550446" w:rsidRPr="00DF72DF" w:rsidRDefault="00550446" w:rsidP="0065506D">
            <w:pPr>
              <w:spacing w:after="0"/>
            </w:pPr>
            <w:r w:rsidRPr="00DF72DF">
              <w:t>Los Angeles South Bay (530)</w:t>
            </w:r>
          </w:p>
        </w:tc>
        <w:tc>
          <w:tcPr>
            <w:tcW w:w="477" w:type="pct"/>
            <w:shd w:val="clear" w:color="auto" w:fill="auto"/>
            <w:vAlign w:val="center"/>
          </w:tcPr>
          <w:p w14:paraId="49ACE955" w14:textId="75489C90" w:rsidR="00550446" w:rsidRPr="00994737" w:rsidRDefault="00550446" w:rsidP="0065506D">
            <w:pPr>
              <w:spacing w:after="0"/>
              <w:jc w:val="center"/>
            </w:pPr>
            <w:r w:rsidRPr="00994737">
              <w:rPr>
                <w:rFonts w:cs="Arial"/>
                <w:color w:val="000000"/>
              </w:rPr>
              <w:t>80.4%</w:t>
            </w:r>
          </w:p>
        </w:tc>
        <w:tc>
          <w:tcPr>
            <w:tcW w:w="550" w:type="pct"/>
            <w:shd w:val="clear" w:color="auto" w:fill="auto"/>
            <w:vAlign w:val="center"/>
          </w:tcPr>
          <w:p w14:paraId="09803A5F" w14:textId="7DAB40F6" w:rsidR="00550446" w:rsidRPr="00994737" w:rsidRDefault="00550446" w:rsidP="0065506D">
            <w:pPr>
              <w:spacing w:after="0"/>
              <w:jc w:val="center"/>
            </w:pPr>
            <w:r w:rsidRPr="00994737">
              <w:rPr>
                <w:rFonts w:cs="Arial"/>
                <w:color w:val="000000"/>
              </w:rPr>
              <w:t>79.0%</w:t>
            </w:r>
          </w:p>
        </w:tc>
        <w:tc>
          <w:tcPr>
            <w:tcW w:w="639" w:type="pct"/>
            <w:shd w:val="clear" w:color="auto" w:fill="auto"/>
            <w:vAlign w:val="center"/>
          </w:tcPr>
          <w:p w14:paraId="174C15D9" w14:textId="2DE818ED" w:rsidR="00550446" w:rsidRPr="00994737" w:rsidRDefault="00550446" w:rsidP="0065506D">
            <w:pPr>
              <w:spacing w:after="0"/>
              <w:jc w:val="center"/>
            </w:pPr>
            <w:r w:rsidRPr="00994737">
              <w:rPr>
                <w:rFonts w:cs="Arial"/>
                <w:color w:val="000000"/>
              </w:rPr>
              <w:t>82.4%</w:t>
            </w:r>
          </w:p>
        </w:tc>
        <w:tc>
          <w:tcPr>
            <w:tcW w:w="636" w:type="pct"/>
            <w:shd w:val="clear" w:color="auto" w:fill="auto"/>
            <w:vAlign w:val="center"/>
          </w:tcPr>
          <w:p w14:paraId="5CEED64F" w14:textId="3C1103CE" w:rsidR="00550446" w:rsidRPr="00994737" w:rsidRDefault="00550446" w:rsidP="0065506D">
            <w:pPr>
              <w:spacing w:after="0"/>
              <w:jc w:val="center"/>
            </w:pPr>
            <w:r w:rsidRPr="00994737">
              <w:rPr>
                <w:rFonts w:cs="Arial"/>
                <w:color w:val="000000"/>
              </w:rPr>
              <w:t>77.0%</w:t>
            </w:r>
          </w:p>
        </w:tc>
        <w:tc>
          <w:tcPr>
            <w:tcW w:w="595" w:type="pct"/>
            <w:shd w:val="clear" w:color="auto" w:fill="auto"/>
            <w:vAlign w:val="center"/>
          </w:tcPr>
          <w:p w14:paraId="51A0828B" w14:textId="73CBC927" w:rsidR="00550446" w:rsidRPr="00994737" w:rsidRDefault="00550446" w:rsidP="0065506D">
            <w:pPr>
              <w:spacing w:after="0"/>
              <w:jc w:val="center"/>
            </w:pPr>
            <w:r w:rsidRPr="00994737">
              <w:rPr>
                <w:rFonts w:cs="Arial"/>
                <w:color w:val="000000"/>
              </w:rPr>
              <w:t>74.3%</w:t>
            </w:r>
          </w:p>
        </w:tc>
        <w:tc>
          <w:tcPr>
            <w:tcW w:w="596" w:type="pct"/>
            <w:shd w:val="clear" w:color="auto" w:fill="auto"/>
            <w:vAlign w:val="center"/>
          </w:tcPr>
          <w:p w14:paraId="15BCF347" w14:textId="6BF0DCC5" w:rsidR="00550446" w:rsidRPr="00994737" w:rsidRDefault="00550446" w:rsidP="0065506D">
            <w:pPr>
              <w:spacing w:after="0"/>
              <w:jc w:val="center"/>
            </w:pPr>
            <w:r w:rsidRPr="00994737">
              <w:rPr>
                <w:rFonts w:cs="Arial"/>
                <w:color w:val="000000"/>
              </w:rPr>
              <w:t>71.9%</w:t>
            </w:r>
          </w:p>
        </w:tc>
        <w:tc>
          <w:tcPr>
            <w:tcW w:w="516" w:type="pct"/>
            <w:shd w:val="clear" w:color="auto" w:fill="FFFFFF" w:themeFill="background1"/>
            <w:vAlign w:val="center"/>
          </w:tcPr>
          <w:p w14:paraId="0CCDAA09" w14:textId="1252584C" w:rsidR="00550446" w:rsidRPr="0077300A" w:rsidRDefault="00550446" w:rsidP="0065506D">
            <w:pPr>
              <w:spacing w:after="0"/>
              <w:jc w:val="center"/>
              <w:rPr>
                <w:b/>
                <w:bCs/>
              </w:rPr>
            </w:pPr>
            <w:r w:rsidRPr="0077300A">
              <w:rPr>
                <w:rFonts w:cs="Arial"/>
                <w:b/>
                <w:bCs/>
                <w:color w:val="000000"/>
              </w:rPr>
              <w:t>78.4%</w:t>
            </w:r>
          </w:p>
        </w:tc>
      </w:tr>
      <w:tr w:rsidR="0005448F" w14:paraId="35824C75" w14:textId="77777777" w:rsidTr="005677F4">
        <w:trPr>
          <w:jc w:val="center"/>
        </w:trPr>
        <w:tc>
          <w:tcPr>
            <w:tcW w:w="992" w:type="pct"/>
            <w:shd w:val="clear" w:color="auto" w:fill="auto"/>
            <w:vAlign w:val="center"/>
          </w:tcPr>
          <w:p w14:paraId="0ACAA12C" w14:textId="4C6024D3" w:rsidR="00550446" w:rsidRPr="00DF72DF" w:rsidRDefault="00550446" w:rsidP="0065506D">
            <w:pPr>
              <w:spacing w:after="0"/>
            </w:pPr>
            <w:r w:rsidRPr="00DF72DF">
              <w:t>Inland Empire (340)</w:t>
            </w:r>
          </w:p>
        </w:tc>
        <w:tc>
          <w:tcPr>
            <w:tcW w:w="477" w:type="pct"/>
            <w:shd w:val="clear" w:color="auto" w:fill="auto"/>
            <w:vAlign w:val="center"/>
          </w:tcPr>
          <w:p w14:paraId="1A95C16B" w14:textId="7C121048" w:rsidR="00550446" w:rsidRPr="00994737" w:rsidRDefault="00550446" w:rsidP="0065506D">
            <w:pPr>
              <w:spacing w:after="0"/>
              <w:jc w:val="center"/>
            </w:pPr>
            <w:r w:rsidRPr="00994737">
              <w:rPr>
                <w:rFonts w:cs="Arial"/>
                <w:color w:val="000000"/>
              </w:rPr>
              <w:t>77.1%</w:t>
            </w:r>
          </w:p>
        </w:tc>
        <w:tc>
          <w:tcPr>
            <w:tcW w:w="550" w:type="pct"/>
            <w:shd w:val="clear" w:color="auto" w:fill="auto"/>
            <w:vAlign w:val="center"/>
          </w:tcPr>
          <w:p w14:paraId="7E29F4B1" w14:textId="5C078E98" w:rsidR="00550446" w:rsidRPr="00994737" w:rsidRDefault="00550446" w:rsidP="0065506D">
            <w:pPr>
              <w:spacing w:after="0"/>
              <w:jc w:val="center"/>
            </w:pPr>
            <w:r w:rsidRPr="00994737">
              <w:rPr>
                <w:rFonts w:cs="Arial"/>
                <w:color w:val="000000"/>
              </w:rPr>
              <w:t>79.6%</w:t>
            </w:r>
          </w:p>
        </w:tc>
        <w:tc>
          <w:tcPr>
            <w:tcW w:w="639" w:type="pct"/>
            <w:shd w:val="clear" w:color="auto" w:fill="auto"/>
            <w:vAlign w:val="center"/>
          </w:tcPr>
          <w:p w14:paraId="2A9D2DCD" w14:textId="28F6418D" w:rsidR="00550446" w:rsidRPr="00994737" w:rsidRDefault="00550446" w:rsidP="0065506D">
            <w:pPr>
              <w:spacing w:after="0"/>
              <w:jc w:val="center"/>
            </w:pPr>
            <w:r w:rsidRPr="00994737">
              <w:rPr>
                <w:rFonts w:cs="Arial"/>
                <w:color w:val="000000"/>
              </w:rPr>
              <w:t>76.8%</w:t>
            </w:r>
          </w:p>
        </w:tc>
        <w:tc>
          <w:tcPr>
            <w:tcW w:w="636" w:type="pct"/>
            <w:shd w:val="clear" w:color="auto" w:fill="auto"/>
            <w:vAlign w:val="center"/>
          </w:tcPr>
          <w:p w14:paraId="6AF2E2EB" w14:textId="0A3D7A05" w:rsidR="00550446" w:rsidRPr="00994737" w:rsidRDefault="00550446" w:rsidP="0065506D">
            <w:pPr>
              <w:spacing w:after="0"/>
              <w:jc w:val="center"/>
            </w:pPr>
            <w:r w:rsidRPr="00994737">
              <w:rPr>
                <w:rFonts w:cs="Arial"/>
                <w:color w:val="000000"/>
              </w:rPr>
              <w:t>78.1%</w:t>
            </w:r>
          </w:p>
        </w:tc>
        <w:tc>
          <w:tcPr>
            <w:tcW w:w="595" w:type="pct"/>
            <w:shd w:val="clear" w:color="auto" w:fill="auto"/>
            <w:vAlign w:val="center"/>
          </w:tcPr>
          <w:p w14:paraId="02F83C39" w14:textId="737EC357" w:rsidR="00550446" w:rsidRPr="00994737" w:rsidRDefault="00550446" w:rsidP="0065506D">
            <w:pPr>
              <w:spacing w:after="0"/>
              <w:jc w:val="center"/>
            </w:pPr>
            <w:r w:rsidRPr="00994737">
              <w:rPr>
                <w:rFonts w:cs="Arial"/>
                <w:color w:val="000000"/>
              </w:rPr>
              <w:t>72.9%</w:t>
            </w:r>
          </w:p>
        </w:tc>
        <w:tc>
          <w:tcPr>
            <w:tcW w:w="596" w:type="pct"/>
            <w:shd w:val="clear" w:color="auto" w:fill="auto"/>
            <w:vAlign w:val="center"/>
          </w:tcPr>
          <w:p w14:paraId="082B0B16" w14:textId="6118E347" w:rsidR="00550446" w:rsidRPr="00994737" w:rsidRDefault="00550446" w:rsidP="0065506D">
            <w:pPr>
              <w:spacing w:after="0"/>
              <w:jc w:val="center"/>
            </w:pPr>
            <w:r w:rsidRPr="00994737">
              <w:rPr>
                <w:rFonts w:cs="Arial"/>
                <w:color w:val="000000"/>
              </w:rPr>
              <w:t>64.3%</w:t>
            </w:r>
          </w:p>
        </w:tc>
        <w:tc>
          <w:tcPr>
            <w:tcW w:w="516" w:type="pct"/>
            <w:shd w:val="clear" w:color="auto" w:fill="FFFFFF" w:themeFill="background1"/>
            <w:vAlign w:val="center"/>
          </w:tcPr>
          <w:p w14:paraId="7654FD32" w14:textId="12D4129B" w:rsidR="00550446" w:rsidRPr="0077300A" w:rsidRDefault="00550446" w:rsidP="0065506D">
            <w:pPr>
              <w:spacing w:after="0"/>
              <w:jc w:val="center"/>
              <w:rPr>
                <w:b/>
                <w:bCs/>
              </w:rPr>
            </w:pPr>
            <w:r w:rsidRPr="0077300A">
              <w:rPr>
                <w:rFonts w:cs="Arial"/>
                <w:b/>
                <w:bCs/>
                <w:color w:val="000000"/>
              </w:rPr>
              <w:t>76.8%</w:t>
            </w:r>
          </w:p>
        </w:tc>
      </w:tr>
      <w:tr w:rsidR="004A5A11" w14:paraId="7BFB6765" w14:textId="77777777" w:rsidTr="005677F4">
        <w:trPr>
          <w:jc w:val="center"/>
        </w:trPr>
        <w:tc>
          <w:tcPr>
            <w:tcW w:w="992" w:type="pct"/>
            <w:shd w:val="clear" w:color="auto" w:fill="auto"/>
            <w:vAlign w:val="center"/>
          </w:tcPr>
          <w:p w14:paraId="75988638" w14:textId="6E32EFBB" w:rsidR="00550446" w:rsidRPr="00DF72DF" w:rsidRDefault="00550446" w:rsidP="0065506D">
            <w:pPr>
              <w:spacing w:after="0"/>
            </w:pPr>
            <w:r w:rsidRPr="00DF72DF">
              <w:t>Greater Los Angeles (440)</w:t>
            </w:r>
          </w:p>
        </w:tc>
        <w:tc>
          <w:tcPr>
            <w:tcW w:w="477" w:type="pct"/>
            <w:shd w:val="clear" w:color="auto" w:fill="auto"/>
            <w:vAlign w:val="center"/>
          </w:tcPr>
          <w:p w14:paraId="77620342" w14:textId="6CDA88CA" w:rsidR="00550446" w:rsidRPr="00994737" w:rsidRDefault="00550446" w:rsidP="0065506D">
            <w:pPr>
              <w:spacing w:after="0"/>
              <w:jc w:val="center"/>
            </w:pPr>
            <w:r w:rsidRPr="00994737">
              <w:rPr>
                <w:rFonts w:cs="Arial"/>
                <w:color w:val="000000"/>
              </w:rPr>
              <w:t>72.0%</w:t>
            </w:r>
          </w:p>
        </w:tc>
        <w:tc>
          <w:tcPr>
            <w:tcW w:w="550" w:type="pct"/>
            <w:shd w:val="clear" w:color="auto" w:fill="auto"/>
            <w:vAlign w:val="center"/>
          </w:tcPr>
          <w:p w14:paraId="0623F0FE" w14:textId="16BEAE56" w:rsidR="00550446" w:rsidRPr="00994737" w:rsidRDefault="00550446" w:rsidP="0065506D">
            <w:pPr>
              <w:spacing w:after="0"/>
              <w:jc w:val="center"/>
            </w:pPr>
            <w:r w:rsidRPr="00994737">
              <w:rPr>
                <w:rFonts w:cs="Arial"/>
                <w:color w:val="000000"/>
              </w:rPr>
              <w:t>76.6%</w:t>
            </w:r>
          </w:p>
        </w:tc>
        <w:tc>
          <w:tcPr>
            <w:tcW w:w="639" w:type="pct"/>
            <w:shd w:val="clear" w:color="auto" w:fill="auto"/>
            <w:vAlign w:val="center"/>
          </w:tcPr>
          <w:p w14:paraId="2BE0F70C" w14:textId="2C32E3F2" w:rsidR="00550446" w:rsidRPr="00994737" w:rsidRDefault="00550446" w:rsidP="0065506D">
            <w:pPr>
              <w:spacing w:after="0"/>
              <w:jc w:val="center"/>
            </w:pPr>
            <w:r w:rsidRPr="00994737">
              <w:rPr>
                <w:rFonts w:cs="Arial"/>
                <w:color w:val="000000"/>
              </w:rPr>
              <w:t>77.0%</w:t>
            </w:r>
          </w:p>
        </w:tc>
        <w:tc>
          <w:tcPr>
            <w:tcW w:w="636" w:type="pct"/>
            <w:shd w:val="clear" w:color="auto" w:fill="auto"/>
            <w:vAlign w:val="center"/>
          </w:tcPr>
          <w:p w14:paraId="707258BB" w14:textId="375F986D" w:rsidR="00550446" w:rsidRPr="00994737" w:rsidRDefault="00550446" w:rsidP="0065506D">
            <w:pPr>
              <w:spacing w:after="0"/>
              <w:jc w:val="center"/>
            </w:pPr>
            <w:r w:rsidRPr="00994737">
              <w:rPr>
                <w:rFonts w:cs="Arial"/>
                <w:color w:val="000000"/>
              </w:rPr>
              <w:t>73.0%</w:t>
            </w:r>
          </w:p>
        </w:tc>
        <w:tc>
          <w:tcPr>
            <w:tcW w:w="595" w:type="pct"/>
            <w:shd w:val="clear" w:color="auto" w:fill="auto"/>
            <w:vAlign w:val="center"/>
          </w:tcPr>
          <w:p w14:paraId="6DC2E1CF" w14:textId="69675B72" w:rsidR="00550446" w:rsidRPr="00994737" w:rsidRDefault="00550446" w:rsidP="0065506D">
            <w:pPr>
              <w:spacing w:after="0"/>
              <w:jc w:val="center"/>
            </w:pPr>
            <w:r w:rsidRPr="00994737">
              <w:rPr>
                <w:rFonts w:cs="Arial"/>
                <w:color w:val="000000"/>
              </w:rPr>
              <w:t>72.5%</w:t>
            </w:r>
          </w:p>
        </w:tc>
        <w:tc>
          <w:tcPr>
            <w:tcW w:w="596" w:type="pct"/>
            <w:shd w:val="clear" w:color="auto" w:fill="auto"/>
            <w:vAlign w:val="center"/>
          </w:tcPr>
          <w:p w14:paraId="685DC758" w14:textId="3D2C1A0D" w:rsidR="00550446" w:rsidRPr="00994737" w:rsidRDefault="00550446" w:rsidP="0065506D">
            <w:pPr>
              <w:spacing w:after="0"/>
              <w:jc w:val="center"/>
            </w:pPr>
            <w:r w:rsidRPr="00994737">
              <w:rPr>
                <w:rFonts w:cs="Arial"/>
                <w:color w:val="000000"/>
              </w:rPr>
              <w:t>66.4%</w:t>
            </w:r>
          </w:p>
        </w:tc>
        <w:tc>
          <w:tcPr>
            <w:tcW w:w="516" w:type="pct"/>
            <w:shd w:val="clear" w:color="auto" w:fill="FFFFFF" w:themeFill="background1"/>
            <w:vAlign w:val="center"/>
          </w:tcPr>
          <w:p w14:paraId="70B572A0" w14:textId="5FF0454E" w:rsidR="00550446" w:rsidRPr="0077300A" w:rsidRDefault="00550446" w:rsidP="0065506D">
            <w:pPr>
              <w:spacing w:after="0"/>
              <w:jc w:val="center"/>
              <w:rPr>
                <w:b/>
                <w:bCs/>
              </w:rPr>
            </w:pPr>
            <w:r w:rsidRPr="0077300A">
              <w:rPr>
                <w:rFonts w:cs="Arial"/>
                <w:b/>
                <w:bCs/>
                <w:color w:val="000000"/>
              </w:rPr>
              <w:t>74.6%</w:t>
            </w:r>
          </w:p>
        </w:tc>
      </w:tr>
      <w:tr w:rsidR="0005448F" w14:paraId="7E93607D" w14:textId="77777777" w:rsidTr="005677F4">
        <w:trPr>
          <w:jc w:val="center"/>
        </w:trPr>
        <w:tc>
          <w:tcPr>
            <w:tcW w:w="992" w:type="pct"/>
            <w:shd w:val="clear" w:color="auto" w:fill="auto"/>
            <w:vAlign w:val="center"/>
          </w:tcPr>
          <w:p w14:paraId="022FAF3B" w14:textId="1B1C37DA" w:rsidR="00550446" w:rsidRPr="00DF72DF" w:rsidRDefault="00550446" w:rsidP="0065506D">
            <w:pPr>
              <w:spacing w:after="0"/>
            </w:pPr>
            <w:r w:rsidRPr="00DF72DF">
              <w:t>Northern Sierra (130)</w:t>
            </w:r>
          </w:p>
        </w:tc>
        <w:tc>
          <w:tcPr>
            <w:tcW w:w="477" w:type="pct"/>
            <w:shd w:val="clear" w:color="auto" w:fill="auto"/>
            <w:vAlign w:val="center"/>
          </w:tcPr>
          <w:p w14:paraId="7A622313" w14:textId="1F9FA059" w:rsidR="00550446" w:rsidRPr="00994737" w:rsidRDefault="00550446" w:rsidP="0065506D">
            <w:pPr>
              <w:spacing w:after="0"/>
              <w:jc w:val="center"/>
            </w:pPr>
            <w:r w:rsidRPr="00994737">
              <w:rPr>
                <w:rFonts w:cs="Arial"/>
                <w:color w:val="000000"/>
              </w:rPr>
              <w:t>73.7%</w:t>
            </w:r>
          </w:p>
        </w:tc>
        <w:tc>
          <w:tcPr>
            <w:tcW w:w="550" w:type="pct"/>
            <w:shd w:val="clear" w:color="auto" w:fill="auto"/>
            <w:vAlign w:val="center"/>
          </w:tcPr>
          <w:p w14:paraId="21E89C66" w14:textId="49D73619" w:rsidR="00550446" w:rsidRPr="00994737" w:rsidRDefault="00550446" w:rsidP="0065506D">
            <w:pPr>
              <w:spacing w:after="0"/>
              <w:jc w:val="center"/>
            </w:pPr>
            <w:r w:rsidRPr="00994737">
              <w:rPr>
                <w:rFonts w:cs="Arial"/>
                <w:color w:val="000000"/>
              </w:rPr>
              <w:t>75.8%</w:t>
            </w:r>
          </w:p>
        </w:tc>
        <w:tc>
          <w:tcPr>
            <w:tcW w:w="639" w:type="pct"/>
            <w:shd w:val="clear" w:color="auto" w:fill="auto"/>
            <w:vAlign w:val="center"/>
          </w:tcPr>
          <w:p w14:paraId="73C4AF45" w14:textId="604326A9" w:rsidR="00550446" w:rsidRPr="00994737" w:rsidRDefault="00550446" w:rsidP="0065506D">
            <w:pPr>
              <w:spacing w:after="0"/>
              <w:jc w:val="center"/>
            </w:pPr>
            <w:r w:rsidRPr="00994737">
              <w:rPr>
                <w:rFonts w:cs="Arial"/>
                <w:color w:val="000000"/>
              </w:rPr>
              <w:t>78.2%</w:t>
            </w:r>
          </w:p>
        </w:tc>
        <w:tc>
          <w:tcPr>
            <w:tcW w:w="636" w:type="pct"/>
            <w:shd w:val="clear" w:color="auto" w:fill="auto"/>
            <w:vAlign w:val="center"/>
          </w:tcPr>
          <w:p w14:paraId="5B84EF70" w14:textId="0B2F0979" w:rsidR="00550446" w:rsidRPr="00994737" w:rsidRDefault="00550446" w:rsidP="0065506D">
            <w:pPr>
              <w:spacing w:after="0"/>
              <w:jc w:val="center"/>
            </w:pPr>
            <w:r w:rsidRPr="00994737">
              <w:rPr>
                <w:rFonts w:cs="Arial"/>
                <w:color w:val="000000"/>
              </w:rPr>
              <w:t>73.3%</w:t>
            </w:r>
          </w:p>
        </w:tc>
        <w:tc>
          <w:tcPr>
            <w:tcW w:w="595" w:type="pct"/>
            <w:shd w:val="clear" w:color="auto" w:fill="auto"/>
            <w:vAlign w:val="center"/>
          </w:tcPr>
          <w:p w14:paraId="15E281D1" w14:textId="268B25E6" w:rsidR="00550446" w:rsidRPr="00994737" w:rsidRDefault="00550446" w:rsidP="0065506D">
            <w:pPr>
              <w:spacing w:after="0"/>
              <w:jc w:val="center"/>
            </w:pPr>
            <w:r w:rsidRPr="00994737">
              <w:rPr>
                <w:rFonts w:cs="Arial"/>
                <w:color w:val="000000"/>
              </w:rPr>
              <w:t>65.0%</w:t>
            </w:r>
          </w:p>
        </w:tc>
        <w:tc>
          <w:tcPr>
            <w:tcW w:w="596" w:type="pct"/>
            <w:shd w:val="clear" w:color="auto" w:fill="auto"/>
            <w:vAlign w:val="center"/>
          </w:tcPr>
          <w:p w14:paraId="2D9AF882" w14:textId="4339B236" w:rsidR="00550446" w:rsidRPr="00994737" w:rsidRDefault="00550446" w:rsidP="0065506D">
            <w:pPr>
              <w:spacing w:after="0"/>
              <w:jc w:val="center"/>
            </w:pPr>
            <w:r w:rsidRPr="00994737">
              <w:rPr>
                <w:rFonts w:cs="Arial"/>
                <w:color w:val="000000"/>
              </w:rPr>
              <w:t>67.3%</w:t>
            </w:r>
          </w:p>
        </w:tc>
        <w:tc>
          <w:tcPr>
            <w:tcW w:w="516" w:type="pct"/>
            <w:shd w:val="clear" w:color="auto" w:fill="FFFFFF" w:themeFill="background1"/>
            <w:vAlign w:val="center"/>
          </w:tcPr>
          <w:p w14:paraId="2D3C54F1" w14:textId="17768A4D" w:rsidR="00550446" w:rsidRPr="0077300A" w:rsidRDefault="00550446" w:rsidP="0065506D">
            <w:pPr>
              <w:spacing w:after="0"/>
              <w:jc w:val="center"/>
              <w:rPr>
                <w:b/>
                <w:bCs/>
              </w:rPr>
            </w:pPr>
            <w:r w:rsidRPr="0077300A">
              <w:rPr>
                <w:rFonts w:cs="Arial"/>
                <w:b/>
                <w:bCs/>
                <w:color w:val="000000"/>
              </w:rPr>
              <w:t>74.0%</w:t>
            </w:r>
          </w:p>
        </w:tc>
      </w:tr>
      <w:tr w:rsidR="004A5A11" w14:paraId="65AB832E" w14:textId="77777777" w:rsidTr="005677F4">
        <w:trPr>
          <w:jc w:val="center"/>
        </w:trPr>
        <w:tc>
          <w:tcPr>
            <w:tcW w:w="992" w:type="pct"/>
            <w:shd w:val="clear" w:color="auto" w:fill="auto"/>
            <w:vAlign w:val="center"/>
          </w:tcPr>
          <w:p w14:paraId="72C930D6" w14:textId="25AED08A" w:rsidR="00550446" w:rsidRPr="00DF72DF" w:rsidRDefault="00550446" w:rsidP="0065506D">
            <w:pPr>
              <w:spacing w:after="0"/>
            </w:pPr>
            <w:r w:rsidRPr="00DF72DF">
              <w:t>Greater East Bay (210)</w:t>
            </w:r>
          </w:p>
        </w:tc>
        <w:tc>
          <w:tcPr>
            <w:tcW w:w="477" w:type="pct"/>
            <w:shd w:val="clear" w:color="auto" w:fill="auto"/>
            <w:vAlign w:val="center"/>
          </w:tcPr>
          <w:p w14:paraId="2B638132" w14:textId="39A466CB" w:rsidR="00550446" w:rsidRPr="00994737" w:rsidRDefault="00550446" w:rsidP="0065506D">
            <w:pPr>
              <w:spacing w:after="0"/>
              <w:jc w:val="center"/>
            </w:pPr>
            <w:r w:rsidRPr="00994737">
              <w:rPr>
                <w:rFonts w:cs="Arial"/>
                <w:color w:val="000000"/>
              </w:rPr>
              <w:t>76.7%</w:t>
            </w:r>
          </w:p>
        </w:tc>
        <w:tc>
          <w:tcPr>
            <w:tcW w:w="550" w:type="pct"/>
            <w:shd w:val="clear" w:color="auto" w:fill="auto"/>
            <w:vAlign w:val="center"/>
          </w:tcPr>
          <w:p w14:paraId="236033F5" w14:textId="730843C6" w:rsidR="00550446" w:rsidRPr="00994737" w:rsidRDefault="00550446" w:rsidP="0065506D">
            <w:pPr>
              <w:spacing w:after="0"/>
              <w:jc w:val="center"/>
            </w:pPr>
            <w:r w:rsidRPr="00994737">
              <w:rPr>
                <w:rFonts w:cs="Arial"/>
                <w:color w:val="000000"/>
              </w:rPr>
              <w:t>74.9%</w:t>
            </w:r>
          </w:p>
        </w:tc>
        <w:tc>
          <w:tcPr>
            <w:tcW w:w="639" w:type="pct"/>
            <w:shd w:val="clear" w:color="auto" w:fill="auto"/>
            <w:vAlign w:val="center"/>
          </w:tcPr>
          <w:p w14:paraId="3CB5FAD9" w14:textId="1F1CEE74" w:rsidR="00550446" w:rsidRPr="00994737" w:rsidRDefault="00550446" w:rsidP="0065506D">
            <w:pPr>
              <w:spacing w:after="0"/>
              <w:jc w:val="center"/>
            </w:pPr>
            <w:r w:rsidRPr="00994737">
              <w:rPr>
                <w:rFonts w:cs="Arial"/>
                <w:color w:val="000000"/>
              </w:rPr>
              <w:t>75.1%</w:t>
            </w:r>
          </w:p>
        </w:tc>
        <w:tc>
          <w:tcPr>
            <w:tcW w:w="636" w:type="pct"/>
            <w:shd w:val="clear" w:color="auto" w:fill="auto"/>
            <w:vAlign w:val="center"/>
          </w:tcPr>
          <w:p w14:paraId="2C651D31" w14:textId="33F4A4CB" w:rsidR="00550446" w:rsidRPr="00994737" w:rsidRDefault="00550446" w:rsidP="0065506D">
            <w:pPr>
              <w:spacing w:after="0"/>
              <w:jc w:val="center"/>
            </w:pPr>
            <w:r w:rsidRPr="00994737">
              <w:rPr>
                <w:rFonts w:cs="Arial"/>
                <w:color w:val="000000"/>
              </w:rPr>
              <w:t>73.3%</w:t>
            </w:r>
          </w:p>
        </w:tc>
        <w:tc>
          <w:tcPr>
            <w:tcW w:w="595" w:type="pct"/>
            <w:shd w:val="clear" w:color="auto" w:fill="auto"/>
            <w:vAlign w:val="center"/>
          </w:tcPr>
          <w:p w14:paraId="3E1DA9C8" w14:textId="4B62D29E" w:rsidR="00550446" w:rsidRPr="00994737" w:rsidRDefault="00550446" w:rsidP="0065506D">
            <w:pPr>
              <w:spacing w:after="0"/>
              <w:jc w:val="center"/>
            </w:pPr>
            <w:r w:rsidRPr="00994737">
              <w:rPr>
                <w:rFonts w:cs="Arial"/>
                <w:color w:val="000000"/>
              </w:rPr>
              <w:t>69.9%</w:t>
            </w:r>
          </w:p>
        </w:tc>
        <w:tc>
          <w:tcPr>
            <w:tcW w:w="596" w:type="pct"/>
            <w:shd w:val="clear" w:color="auto" w:fill="auto"/>
            <w:vAlign w:val="center"/>
          </w:tcPr>
          <w:p w14:paraId="1307345A" w14:textId="2936CD31" w:rsidR="00550446" w:rsidRPr="00994737" w:rsidRDefault="00550446" w:rsidP="0065506D">
            <w:pPr>
              <w:spacing w:after="0"/>
              <w:jc w:val="center"/>
            </w:pPr>
            <w:r w:rsidRPr="00994737">
              <w:rPr>
                <w:rFonts w:cs="Arial"/>
                <w:color w:val="000000"/>
              </w:rPr>
              <w:t>69.8%</w:t>
            </w:r>
          </w:p>
        </w:tc>
        <w:tc>
          <w:tcPr>
            <w:tcW w:w="516" w:type="pct"/>
            <w:shd w:val="clear" w:color="auto" w:fill="FFFFFF" w:themeFill="background1"/>
            <w:vAlign w:val="center"/>
          </w:tcPr>
          <w:p w14:paraId="16701A3E" w14:textId="366AA9D1" w:rsidR="00550446" w:rsidRPr="0077300A" w:rsidRDefault="00550446" w:rsidP="0065506D">
            <w:pPr>
              <w:spacing w:after="0"/>
              <w:jc w:val="center"/>
              <w:rPr>
                <w:b/>
                <w:bCs/>
              </w:rPr>
            </w:pPr>
            <w:r w:rsidRPr="0077300A">
              <w:rPr>
                <w:rFonts w:cs="Arial"/>
                <w:b/>
                <w:bCs/>
                <w:color w:val="000000"/>
              </w:rPr>
              <w:t>73.9%</w:t>
            </w:r>
          </w:p>
        </w:tc>
      </w:tr>
    </w:tbl>
    <w:p w14:paraId="1CE91DFB" w14:textId="1FA59DF1" w:rsidR="00A87EA6" w:rsidRDefault="00AB58AC" w:rsidP="005A5060">
      <w:pPr>
        <w:pStyle w:val="SectionSub-Headings"/>
        <w:keepNext/>
      </w:pPr>
      <w:bookmarkStart w:id="27" w:name="_Toc90632188"/>
      <w:r>
        <w:lastRenderedPageBreak/>
        <w:t xml:space="preserve">Survey </w:t>
      </w:r>
      <w:r w:rsidR="003905BA">
        <w:t xml:space="preserve">Results by </w:t>
      </w:r>
      <w:r w:rsidR="00946325">
        <w:t xml:space="preserve">Consumer </w:t>
      </w:r>
      <w:r w:rsidR="003905BA">
        <w:t>Disability Type</w:t>
      </w:r>
      <w:bookmarkEnd w:id="27"/>
    </w:p>
    <w:p w14:paraId="6767F4FA" w14:textId="784CDB01" w:rsidR="00B20714" w:rsidRDefault="007D7FC8" w:rsidP="005A5060">
      <w:pPr>
        <w:pStyle w:val="SectionSub-HeadingsTopics"/>
        <w:keepNext/>
        <w:numPr>
          <w:ilvl w:val="0"/>
          <w:numId w:val="15"/>
        </w:numPr>
      </w:pPr>
      <w:bookmarkStart w:id="28" w:name="_Toc90632189"/>
      <w:r>
        <w:t xml:space="preserve">Survey </w:t>
      </w:r>
      <w:r w:rsidR="00993A75">
        <w:t xml:space="preserve">Responses </w:t>
      </w:r>
      <w:r w:rsidR="00782C29">
        <w:t xml:space="preserve">by </w:t>
      </w:r>
      <w:r w:rsidR="00304D95">
        <w:t xml:space="preserve">Consumer </w:t>
      </w:r>
      <w:r w:rsidR="00B20714">
        <w:t>Disability Type</w:t>
      </w:r>
      <w:bookmarkEnd w:id="28"/>
    </w:p>
    <w:p w14:paraId="578E0CAF" w14:textId="1A18F71D" w:rsidR="00963B94" w:rsidRDefault="00963B94" w:rsidP="00963B94">
      <w:r>
        <w:t xml:space="preserve">Survey participants reported their disability type(s) by either selecting option(s) from a given list or other (please specify) which was then reviewed and categorized. For the SFY 2020-21 CSS, 97.8% of survey participants responded and reported a total of 1,195 disability </w:t>
      </w:r>
      <w:r w:rsidRPr="00702695">
        <w:t xml:space="preserve">types (Figure </w:t>
      </w:r>
      <w:r w:rsidR="00FD2DD9" w:rsidRPr="00702695">
        <w:t>9</w:t>
      </w:r>
      <w:r w:rsidRPr="00702695">
        <w:t xml:space="preserve">, Table </w:t>
      </w:r>
      <w:r w:rsidR="00FD2DD9" w:rsidRPr="00702695">
        <w:t>13</w:t>
      </w:r>
      <w:r w:rsidRPr="00702695">
        <w:t>).</w:t>
      </w:r>
      <w:r>
        <w:t xml:space="preserve"> The total number of disability types exceeds the total number of survey participants because individuals were able to report more than one disability type when applicable.</w:t>
      </w:r>
      <w:r w:rsidRPr="005F27AF">
        <w:t xml:space="preserve"> </w:t>
      </w:r>
      <w:r>
        <w:t xml:space="preserve">The most </w:t>
      </w:r>
      <w:r w:rsidR="00702695">
        <w:t>frequently</w:t>
      </w:r>
      <w:r>
        <w:t xml:space="preserve"> reported disability types by CSS participants were Physical (22.0%), Psychiatric (21.8%), and Learning (19.9%) Disabilities. </w:t>
      </w:r>
      <w:r w:rsidR="00A46C19">
        <w:t>T</w:t>
      </w:r>
      <w:r>
        <w:t xml:space="preserve">he distribution of disability types reported </w:t>
      </w:r>
      <w:r w:rsidR="00A46C19">
        <w:t xml:space="preserve">by survey participants </w:t>
      </w:r>
      <w:r>
        <w:t>do</w:t>
      </w:r>
      <w:r w:rsidR="00A46C19">
        <w:t>es</w:t>
      </w:r>
      <w:r>
        <w:t xml:space="preserve"> not </w:t>
      </w:r>
      <w:r w:rsidR="00480253">
        <w:t xml:space="preserve">exactly </w:t>
      </w:r>
      <w:r>
        <w:t>align with that of DOR’s total population, which is due to how individuals were selected for the CSS and how CSS demographic information was collected.</w:t>
      </w:r>
      <w:r w:rsidR="00BD2621">
        <w:t xml:space="preserve"> For example, 24.5% of DOR’s total consumer population did not report a disability</w:t>
      </w:r>
      <w:r w:rsidR="001D605B">
        <w:t xml:space="preserve"> but the CSS only had 1.6% of participants who did not report a disability type. Please note that </w:t>
      </w:r>
      <w:r w:rsidR="007A7ABB">
        <w:t>potentially eli</w:t>
      </w:r>
      <w:r w:rsidR="00261470">
        <w:t>g</w:t>
      </w:r>
      <w:r w:rsidR="007A7ABB">
        <w:t>ible</w:t>
      </w:r>
      <w:r w:rsidR="00FD3277">
        <w:t xml:space="preserve"> consumers</w:t>
      </w:r>
      <w:r w:rsidR="001D605B">
        <w:t>, or PE</w:t>
      </w:r>
      <w:r w:rsidR="00FD3277">
        <w:t xml:space="preserve"> case type</w:t>
      </w:r>
      <w:r w:rsidR="001D605B">
        <w:t xml:space="preserve">, </w:t>
      </w:r>
      <w:r w:rsidR="00FD3277">
        <w:t>d</w:t>
      </w:r>
      <w:r w:rsidR="001D605B">
        <w:t xml:space="preserve">o not report a disability type in their DOR case file which is why there is a high percent of the population without disability type. </w:t>
      </w:r>
    </w:p>
    <w:p w14:paraId="7F89873D" w14:textId="77777777" w:rsidR="00963B94" w:rsidRDefault="00963B94" w:rsidP="00BE1781">
      <w:pPr>
        <w:pStyle w:val="FigureTitle"/>
        <w:spacing w:after="0"/>
      </w:pPr>
      <w:r>
        <w:t xml:space="preserve">Comparison of Consumer Satisfaction Survey Population Size and </w:t>
      </w:r>
      <w:r w:rsidRPr="00C03CB0">
        <w:t>Responses</w:t>
      </w:r>
      <w:r>
        <w:t xml:space="preserve"> by Disability Type</w:t>
      </w:r>
    </w:p>
    <w:p w14:paraId="5A161E0E" w14:textId="77777777" w:rsidR="00963B94" w:rsidRDefault="00963B94" w:rsidP="00963B94">
      <w:pPr>
        <w:jc w:val="center"/>
      </w:pPr>
      <w:r>
        <w:rPr>
          <w:noProof/>
        </w:rPr>
        <w:drawing>
          <wp:inline distT="0" distB="0" distL="0" distR="0" wp14:anchorId="3B1AE51F" wp14:editId="262DD5A3">
            <wp:extent cx="6857008" cy="2958066"/>
            <wp:effectExtent l="19050" t="19050" r="20320" b="13970"/>
            <wp:docPr id="6" name="Picture 6" descr="Figure 9 Description:  Comparison of the percent of the total DOR population size (A, gray) and CSS responses (B, blue) by Disability Type are illustrated using bar charts. The total DOR population size for SFY 2019-20 was 109,845 and the total disabilities reported for the SFY 2020-21 CSS was 1,195. Figure data are listed in table format below (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9 Description:  Comparison of the percent of the total DOR population size (A, gray) and CSS responses (B, blue) by Disability Type are illustrated using bar charts. The total DOR population size for SFY 2019-20 was 109,845 and the total disabilities reported for the SFY 2020-21 CSS was 1,195. Figure data are listed in table format below (Tabl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4644" cy="2961360"/>
                    </a:xfrm>
                    <a:prstGeom prst="rect">
                      <a:avLst/>
                    </a:prstGeom>
                    <a:noFill/>
                    <a:ln>
                      <a:solidFill>
                        <a:schemeClr val="bg1">
                          <a:lumMod val="75000"/>
                        </a:schemeClr>
                      </a:solidFill>
                    </a:ln>
                  </pic:spPr>
                </pic:pic>
              </a:graphicData>
            </a:graphic>
          </wp:inline>
        </w:drawing>
      </w:r>
    </w:p>
    <w:p w14:paraId="466C01D4" w14:textId="715AA598" w:rsidR="00D808AC" w:rsidRPr="00680D0D" w:rsidRDefault="00963B94" w:rsidP="00C00EF4">
      <w:pPr>
        <w:pStyle w:val="FigureFootnotes"/>
        <w:spacing w:after="160" w:line="259" w:lineRule="auto"/>
        <w:rPr>
          <w:b/>
          <w:bCs/>
        </w:rPr>
      </w:pPr>
      <w:r>
        <w:t>Comparison of the percent of the total DOR population size (</w:t>
      </w:r>
      <w:r w:rsidRPr="00702695">
        <w:t>A</w:t>
      </w:r>
      <w:r>
        <w:t xml:space="preserve">, gray) and CSS responses </w:t>
      </w:r>
      <w:r w:rsidRPr="00702695">
        <w:t>(B</w:t>
      </w:r>
      <w:r>
        <w:t xml:space="preserve">, blue) by Disability Type are illustrated using bar charts. The total DOR population size for SFY 2019-20 was 109,845 and the total disabilities reported for the SFY 2020-21 CSS was 1,195. Figure data are listed in table format below </w:t>
      </w:r>
      <w:r w:rsidRPr="00702695">
        <w:t>(Table 5).</w:t>
      </w:r>
    </w:p>
    <w:p w14:paraId="1810D927" w14:textId="171CC987" w:rsidR="00963B94" w:rsidRDefault="00963B94" w:rsidP="00963B94">
      <w:pPr>
        <w:pStyle w:val="TableTitle"/>
      </w:pPr>
      <w:r>
        <w:lastRenderedPageBreak/>
        <w:t>Comparison of Consumer Satisfaction Survey Population Size and Responses by Disability Type</w:t>
      </w:r>
    </w:p>
    <w:tbl>
      <w:tblPr>
        <w:tblStyle w:val="TableGrid"/>
        <w:tblW w:w="4634"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4932"/>
        <w:gridCol w:w="2534"/>
        <w:gridCol w:w="2534"/>
      </w:tblGrid>
      <w:tr w:rsidR="00963B94" w:rsidRPr="00BF044C" w14:paraId="7ABD1480" w14:textId="77777777" w:rsidTr="005677F4">
        <w:trPr>
          <w:trHeight w:val="432"/>
          <w:jc w:val="center"/>
        </w:trPr>
        <w:tc>
          <w:tcPr>
            <w:tcW w:w="2466" w:type="pct"/>
            <w:shd w:val="clear" w:color="auto" w:fill="00407B" w:themeFill="accent1" w:themeFillShade="BF"/>
            <w:vAlign w:val="center"/>
          </w:tcPr>
          <w:p w14:paraId="59677194" w14:textId="77777777" w:rsidR="00963B94" w:rsidRPr="00BF044C" w:rsidRDefault="00963B94" w:rsidP="006B7248">
            <w:pPr>
              <w:spacing w:after="0"/>
              <w:rPr>
                <w:b/>
                <w:bCs/>
                <w:color w:val="FFFFFF" w:themeColor="background1"/>
              </w:rPr>
            </w:pPr>
            <w:r w:rsidRPr="00BF044C">
              <w:rPr>
                <w:b/>
                <w:bCs/>
                <w:color w:val="FFFFFF" w:themeColor="background1"/>
              </w:rPr>
              <w:t>Disability Types</w:t>
            </w:r>
          </w:p>
        </w:tc>
        <w:tc>
          <w:tcPr>
            <w:tcW w:w="1267" w:type="pct"/>
            <w:shd w:val="clear" w:color="auto" w:fill="00407B" w:themeFill="accent1" w:themeFillShade="BF"/>
            <w:vAlign w:val="center"/>
          </w:tcPr>
          <w:p w14:paraId="707D0E62" w14:textId="77777777" w:rsidR="00963B94" w:rsidRDefault="00963B94" w:rsidP="006B7248">
            <w:pPr>
              <w:spacing w:after="0"/>
              <w:jc w:val="center"/>
              <w:rPr>
                <w:b/>
                <w:bCs/>
                <w:color w:val="FFFFFF" w:themeColor="background1"/>
              </w:rPr>
            </w:pPr>
            <w:r>
              <w:rPr>
                <w:b/>
                <w:bCs/>
                <w:color w:val="FFFFFF" w:themeColor="background1"/>
              </w:rPr>
              <w:t>Population</w:t>
            </w:r>
            <w:r>
              <w:rPr>
                <w:b/>
                <w:bCs/>
                <w:color w:val="FFFFFF" w:themeColor="background1"/>
                <w:vertAlign w:val="superscript"/>
              </w:rPr>
              <w:t>1</w:t>
            </w:r>
          </w:p>
          <w:p w14:paraId="089DBAB8" w14:textId="77777777" w:rsidR="00963B94" w:rsidRPr="005A22F7" w:rsidRDefault="00963B94" w:rsidP="006B7248">
            <w:pPr>
              <w:spacing w:after="0"/>
              <w:jc w:val="center"/>
              <w:rPr>
                <w:color w:val="FFFFFF" w:themeColor="background1"/>
              </w:rPr>
            </w:pPr>
            <w:r>
              <w:rPr>
                <w:color w:val="FFFFFF" w:themeColor="background1"/>
              </w:rPr>
              <w:t>(Percent of Total)</w:t>
            </w:r>
          </w:p>
        </w:tc>
        <w:tc>
          <w:tcPr>
            <w:tcW w:w="1268" w:type="pct"/>
            <w:shd w:val="clear" w:color="auto" w:fill="00407B" w:themeFill="accent1" w:themeFillShade="BF"/>
            <w:vAlign w:val="center"/>
          </w:tcPr>
          <w:p w14:paraId="2610D4BA" w14:textId="77777777" w:rsidR="00963B94" w:rsidRDefault="00963B94" w:rsidP="006B7248">
            <w:pPr>
              <w:spacing w:after="0"/>
              <w:jc w:val="center"/>
              <w:rPr>
                <w:b/>
                <w:bCs/>
                <w:color w:val="FFFFFF" w:themeColor="background1"/>
              </w:rPr>
            </w:pPr>
            <w:r w:rsidRPr="00BF044C">
              <w:rPr>
                <w:b/>
                <w:bCs/>
                <w:color w:val="FFFFFF" w:themeColor="background1"/>
              </w:rPr>
              <w:t>R</w:t>
            </w:r>
            <w:r>
              <w:rPr>
                <w:b/>
                <w:bCs/>
                <w:color w:val="FFFFFF" w:themeColor="background1"/>
              </w:rPr>
              <w:t>esponses</w:t>
            </w:r>
            <w:r>
              <w:rPr>
                <w:b/>
                <w:bCs/>
                <w:color w:val="FFFFFF" w:themeColor="background1"/>
                <w:vertAlign w:val="superscript"/>
              </w:rPr>
              <w:t>2</w:t>
            </w:r>
          </w:p>
          <w:p w14:paraId="6EBD99AB" w14:textId="77777777" w:rsidR="00963B94" w:rsidRPr="005A22F7" w:rsidRDefault="00963B94" w:rsidP="006B7248">
            <w:pPr>
              <w:spacing w:after="0"/>
              <w:jc w:val="center"/>
              <w:rPr>
                <w:color w:val="FFFFFF" w:themeColor="background1"/>
              </w:rPr>
            </w:pPr>
            <w:r>
              <w:rPr>
                <w:color w:val="FFFFFF" w:themeColor="background1"/>
              </w:rPr>
              <w:t>(Percent of Total)</w:t>
            </w:r>
          </w:p>
        </w:tc>
      </w:tr>
      <w:tr w:rsidR="00963B94" w:rsidRPr="00E63E8B" w14:paraId="2B837AEF" w14:textId="77777777" w:rsidTr="005677F4">
        <w:trPr>
          <w:trHeight w:val="273"/>
          <w:jc w:val="center"/>
        </w:trPr>
        <w:tc>
          <w:tcPr>
            <w:tcW w:w="2466" w:type="pct"/>
            <w:shd w:val="clear" w:color="auto" w:fill="FFFFFF" w:themeFill="background1"/>
            <w:vAlign w:val="center"/>
          </w:tcPr>
          <w:p w14:paraId="42C87B8B" w14:textId="77777777" w:rsidR="00963B94" w:rsidRPr="00E63E8B" w:rsidRDefault="00963B94" w:rsidP="006B7248">
            <w:pPr>
              <w:spacing w:after="0"/>
              <w:contextualSpacing/>
            </w:pPr>
            <w:r w:rsidRPr="00E63E8B">
              <w:t>Psychiatric Disability</w:t>
            </w:r>
          </w:p>
        </w:tc>
        <w:tc>
          <w:tcPr>
            <w:tcW w:w="1267" w:type="pct"/>
            <w:shd w:val="clear" w:color="auto" w:fill="FFFFFF" w:themeFill="background1"/>
            <w:vAlign w:val="center"/>
          </w:tcPr>
          <w:p w14:paraId="203865E1" w14:textId="77777777" w:rsidR="00963B94" w:rsidRPr="00BF044C" w:rsidRDefault="00963B94" w:rsidP="001027D2">
            <w:pPr>
              <w:spacing w:after="0"/>
              <w:contextualSpacing/>
              <w:jc w:val="center"/>
            </w:pPr>
            <w:r w:rsidRPr="00BF044C">
              <w:rPr>
                <w:rFonts w:cs="Arial"/>
              </w:rPr>
              <w:t>22.9%</w:t>
            </w:r>
          </w:p>
        </w:tc>
        <w:tc>
          <w:tcPr>
            <w:tcW w:w="1268" w:type="pct"/>
            <w:shd w:val="clear" w:color="auto" w:fill="FFFFFF" w:themeFill="background1"/>
            <w:vAlign w:val="center"/>
          </w:tcPr>
          <w:p w14:paraId="2EA92F2C" w14:textId="77777777" w:rsidR="00963B94" w:rsidRPr="00BF044C" w:rsidRDefault="00963B94" w:rsidP="001027D2">
            <w:pPr>
              <w:spacing w:after="0"/>
              <w:contextualSpacing/>
              <w:jc w:val="center"/>
            </w:pPr>
            <w:r w:rsidRPr="00BF044C">
              <w:rPr>
                <w:rFonts w:cs="Arial"/>
              </w:rPr>
              <w:t>21.8%</w:t>
            </w:r>
          </w:p>
        </w:tc>
      </w:tr>
      <w:tr w:rsidR="00963B94" w:rsidRPr="00E63E8B" w14:paraId="72187732" w14:textId="77777777" w:rsidTr="005677F4">
        <w:trPr>
          <w:trHeight w:val="273"/>
          <w:jc w:val="center"/>
        </w:trPr>
        <w:tc>
          <w:tcPr>
            <w:tcW w:w="2466" w:type="pct"/>
            <w:shd w:val="clear" w:color="auto" w:fill="FFFFFF" w:themeFill="background1"/>
            <w:vAlign w:val="center"/>
          </w:tcPr>
          <w:p w14:paraId="6E0FF565" w14:textId="77777777" w:rsidR="00963B94" w:rsidRPr="00E63E8B" w:rsidRDefault="00963B94" w:rsidP="006B7248">
            <w:pPr>
              <w:spacing w:after="0"/>
              <w:contextualSpacing/>
            </w:pPr>
            <w:r w:rsidRPr="00E63E8B">
              <w:t>Physical Disability</w:t>
            </w:r>
          </w:p>
        </w:tc>
        <w:tc>
          <w:tcPr>
            <w:tcW w:w="1267" w:type="pct"/>
            <w:shd w:val="clear" w:color="auto" w:fill="FFFFFF" w:themeFill="background1"/>
            <w:vAlign w:val="center"/>
          </w:tcPr>
          <w:p w14:paraId="754603F9" w14:textId="77777777" w:rsidR="00963B94" w:rsidRPr="00BF044C" w:rsidRDefault="00963B94" w:rsidP="001027D2">
            <w:pPr>
              <w:spacing w:after="0"/>
              <w:contextualSpacing/>
              <w:jc w:val="center"/>
            </w:pPr>
            <w:r w:rsidRPr="00BF044C">
              <w:rPr>
                <w:rFonts w:cs="Arial"/>
              </w:rPr>
              <w:t>13.9%</w:t>
            </w:r>
          </w:p>
        </w:tc>
        <w:tc>
          <w:tcPr>
            <w:tcW w:w="1268" w:type="pct"/>
            <w:shd w:val="clear" w:color="auto" w:fill="FFFFFF" w:themeFill="background1"/>
            <w:vAlign w:val="center"/>
          </w:tcPr>
          <w:p w14:paraId="1A135109" w14:textId="77777777" w:rsidR="00963B94" w:rsidRPr="00BF044C" w:rsidRDefault="00963B94" w:rsidP="001027D2">
            <w:pPr>
              <w:spacing w:after="0"/>
              <w:contextualSpacing/>
              <w:jc w:val="center"/>
            </w:pPr>
            <w:r w:rsidRPr="00BF044C">
              <w:rPr>
                <w:rFonts w:cs="Arial"/>
              </w:rPr>
              <w:t>22.0%</w:t>
            </w:r>
          </w:p>
        </w:tc>
      </w:tr>
      <w:tr w:rsidR="00963B94" w:rsidRPr="00E63E8B" w14:paraId="3D4EF216" w14:textId="77777777" w:rsidTr="005677F4">
        <w:trPr>
          <w:trHeight w:val="273"/>
          <w:jc w:val="center"/>
        </w:trPr>
        <w:tc>
          <w:tcPr>
            <w:tcW w:w="2466" w:type="pct"/>
            <w:shd w:val="clear" w:color="auto" w:fill="FFFFFF" w:themeFill="background1"/>
            <w:vAlign w:val="center"/>
          </w:tcPr>
          <w:p w14:paraId="2FA1AA75" w14:textId="77777777" w:rsidR="00963B94" w:rsidRPr="00E63E8B" w:rsidRDefault="00963B94" w:rsidP="006B7248">
            <w:pPr>
              <w:spacing w:after="0"/>
              <w:contextualSpacing/>
            </w:pPr>
            <w:r w:rsidRPr="00E63E8B">
              <w:t>Intellectual/Dev</w:t>
            </w:r>
            <w:r>
              <w:t xml:space="preserve">elopmental </w:t>
            </w:r>
            <w:r w:rsidRPr="00E63E8B">
              <w:t>Disability</w:t>
            </w:r>
          </w:p>
        </w:tc>
        <w:tc>
          <w:tcPr>
            <w:tcW w:w="1267" w:type="pct"/>
            <w:shd w:val="clear" w:color="auto" w:fill="FFFFFF" w:themeFill="background1"/>
            <w:vAlign w:val="center"/>
          </w:tcPr>
          <w:p w14:paraId="6815168E" w14:textId="77777777" w:rsidR="00963B94" w:rsidRPr="00BF044C" w:rsidRDefault="00963B94" w:rsidP="001027D2">
            <w:pPr>
              <w:spacing w:after="0"/>
              <w:contextualSpacing/>
              <w:jc w:val="center"/>
            </w:pPr>
            <w:r w:rsidRPr="00BF044C">
              <w:rPr>
                <w:rFonts w:cs="Arial"/>
              </w:rPr>
              <w:t>11.9%</w:t>
            </w:r>
          </w:p>
        </w:tc>
        <w:tc>
          <w:tcPr>
            <w:tcW w:w="1268" w:type="pct"/>
            <w:shd w:val="clear" w:color="auto" w:fill="FFFFFF" w:themeFill="background1"/>
            <w:vAlign w:val="center"/>
          </w:tcPr>
          <w:p w14:paraId="0C0F2D71" w14:textId="77777777" w:rsidR="00963B94" w:rsidRPr="00BF044C" w:rsidRDefault="00963B94" w:rsidP="001027D2">
            <w:pPr>
              <w:spacing w:after="0"/>
              <w:contextualSpacing/>
              <w:jc w:val="center"/>
            </w:pPr>
            <w:r w:rsidRPr="00BF044C">
              <w:rPr>
                <w:rFonts w:cs="Arial"/>
              </w:rPr>
              <w:t>8.5%</w:t>
            </w:r>
          </w:p>
        </w:tc>
      </w:tr>
      <w:tr w:rsidR="00963B94" w:rsidRPr="00E63E8B" w14:paraId="0E38F86C" w14:textId="77777777" w:rsidTr="005677F4">
        <w:trPr>
          <w:trHeight w:val="273"/>
          <w:jc w:val="center"/>
        </w:trPr>
        <w:tc>
          <w:tcPr>
            <w:tcW w:w="2466" w:type="pct"/>
            <w:shd w:val="clear" w:color="auto" w:fill="FFFFFF" w:themeFill="background1"/>
            <w:vAlign w:val="center"/>
          </w:tcPr>
          <w:p w14:paraId="18AA0C03" w14:textId="77777777" w:rsidR="00963B94" w:rsidRPr="00E63E8B" w:rsidRDefault="00963B94" w:rsidP="006B7248">
            <w:pPr>
              <w:spacing w:after="0"/>
              <w:contextualSpacing/>
            </w:pPr>
            <w:r w:rsidRPr="00E63E8B">
              <w:t>Learning Disability</w:t>
            </w:r>
          </w:p>
        </w:tc>
        <w:tc>
          <w:tcPr>
            <w:tcW w:w="1267" w:type="pct"/>
            <w:shd w:val="clear" w:color="auto" w:fill="FFFFFF" w:themeFill="background1"/>
            <w:vAlign w:val="center"/>
          </w:tcPr>
          <w:p w14:paraId="4E9B96A5" w14:textId="77777777" w:rsidR="00963B94" w:rsidRPr="00BF044C" w:rsidRDefault="00963B94" w:rsidP="001027D2">
            <w:pPr>
              <w:spacing w:after="0"/>
              <w:contextualSpacing/>
              <w:jc w:val="center"/>
            </w:pPr>
            <w:r w:rsidRPr="00BF044C">
              <w:rPr>
                <w:rFonts w:cs="Arial"/>
              </w:rPr>
              <w:t>11.3%</w:t>
            </w:r>
          </w:p>
        </w:tc>
        <w:tc>
          <w:tcPr>
            <w:tcW w:w="1268" w:type="pct"/>
            <w:shd w:val="clear" w:color="auto" w:fill="FFFFFF" w:themeFill="background1"/>
            <w:vAlign w:val="center"/>
          </w:tcPr>
          <w:p w14:paraId="41EF23B0" w14:textId="77777777" w:rsidR="00963B94" w:rsidRPr="00BF044C" w:rsidRDefault="00963B94" w:rsidP="001027D2">
            <w:pPr>
              <w:spacing w:after="0"/>
              <w:contextualSpacing/>
              <w:jc w:val="center"/>
            </w:pPr>
            <w:r w:rsidRPr="00BF044C">
              <w:rPr>
                <w:rFonts w:cs="Arial"/>
              </w:rPr>
              <w:t>19.9%</w:t>
            </w:r>
          </w:p>
        </w:tc>
      </w:tr>
      <w:tr w:rsidR="00963B94" w:rsidRPr="00E63E8B" w14:paraId="6E26C1CD" w14:textId="77777777" w:rsidTr="005677F4">
        <w:trPr>
          <w:trHeight w:val="273"/>
          <w:jc w:val="center"/>
        </w:trPr>
        <w:tc>
          <w:tcPr>
            <w:tcW w:w="2466" w:type="pct"/>
            <w:shd w:val="clear" w:color="auto" w:fill="FFFFFF" w:themeFill="background1"/>
            <w:vAlign w:val="center"/>
          </w:tcPr>
          <w:p w14:paraId="3A9F06C6" w14:textId="77777777" w:rsidR="00963B94" w:rsidRPr="00E63E8B" w:rsidRDefault="00963B94" w:rsidP="006B7248">
            <w:pPr>
              <w:spacing w:after="0"/>
              <w:contextualSpacing/>
            </w:pPr>
            <w:r w:rsidRPr="00E63E8B">
              <w:t>Cognitive Impairment</w:t>
            </w:r>
          </w:p>
        </w:tc>
        <w:tc>
          <w:tcPr>
            <w:tcW w:w="1267" w:type="pct"/>
            <w:shd w:val="clear" w:color="auto" w:fill="FFFFFF" w:themeFill="background1"/>
            <w:vAlign w:val="center"/>
          </w:tcPr>
          <w:p w14:paraId="01D3B4F9" w14:textId="77777777" w:rsidR="00963B94" w:rsidRPr="00BF044C" w:rsidRDefault="00963B94" w:rsidP="001027D2">
            <w:pPr>
              <w:spacing w:after="0"/>
              <w:contextualSpacing/>
              <w:jc w:val="center"/>
            </w:pPr>
            <w:r w:rsidRPr="00BF044C">
              <w:rPr>
                <w:rFonts w:cs="Arial"/>
              </w:rPr>
              <w:t>5.3%</w:t>
            </w:r>
          </w:p>
        </w:tc>
        <w:tc>
          <w:tcPr>
            <w:tcW w:w="1268" w:type="pct"/>
            <w:shd w:val="clear" w:color="auto" w:fill="FFFFFF" w:themeFill="background1"/>
            <w:vAlign w:val="center"/>
          </w:tcPr>
          <w:p w14:paraId="31D25C2C" w14:textId="77777777" w:rsidR="00963B94" w:rsidRPr="00BF044C" w:rsidRDefault="00963B94" w:rsidP="001027D2">
            <w:pPr>
              <w:spacing w:after="0"/>
              <w:contextualSpacing/>
              <w:jc w:val="center"/>
            </w:pPr>
            <w:r w:rsidRPr="00BF044C">
              <w:rPr>
                <w:rFonts w:cs="Arial"/>
              </w:rPr>
              <w:t>4.4%</w:t>
            </w:r>
          </w:p>
        </w:tc>
      </w:tr>
      <w:tr w:rsidR="00963B94" w:rsidRPr="00E63E8B" w14:paraId="50FF4118" w14:textId="77777777" w:rsidTr="005677F4">
        <w:trPr>
          <w:trHeight w:val="273"/>
          <w:jc w:val="center"/>
        </w:trPr>
        <w:tc>
          <w:tcPr>
            <w:tcW w:w="2466" w:type="pct"/>
            <w:shd w:val="clear" w:color="auto" w:fill="FFFFFF" w:themeFill="background1"/>
            <w:vAlign w:val="center"/>
          </w:tcPr>
          <w:p w14:paraId="5FE5C0B2" w14:textId="77777777" w:rsidR="00963B94" w:rsidRPr="00E63E8B" w:rsidRDefault="00963B94" w:rsidP="006B7248">
            <w:pPr>
              <w:spacing w:after="0"/>
              <w:contextualSpacing/>
            </w:pPr>
            <w:r w:rsidRPr="00E63E8B">
              <w:t>Deaf/Hard of Hearing</w:t>
            </w:r>
          </w:p>
        </w:tc>
        <w:tc>
          <w:tcPr>
            <w:tcW w:w="1267" w:type="pct"/>
            <w:shd w:val="clear" w:color="auto" w:fill="FFFFFF" w:themeFill="background1"/>
            <w:vAlign w:val="center"/>
          </w:tcPr>
          <w:p w14:paraId="0C1E43CF" w14:textId="77777777" w:rsidR="00963B94" w:rsidRPr="00BF044C" w:rsidRDefault="00963B94" w:rsidP="001027D2">
            <w:pPr>
              <w:spacing w:after="0"/>
              <w:contextualSpacing/>
              <w:jc w:val="center"/>
            </w:pPr>
            <w:r w:rsidRPr="00BF044C">
              <w:rPr>
                <w:rFonts w:cs="Arial"/>
              </w:rPr>
              <w:t>4.8%</w:t>
            </w:r>
          </w:p>
        </w:tc>
        <w:tc>
          <w:tcPr>
            <w:tcW w:w="1268" w:type="pct"/>
            <w:shd w:val="clear" w:color="auto" w:fill="FFFFFF" w:themeFill="background1"/>
            <w:vAlign w:val="center"/>
          </w:tcPr>
          <w:p w14:paraId="001C1932" w14:textId="77777777" w:rsidR="00963B94" w:rsidRPr="00BF044C" w:rsidRDefault="00963B94" w:rsidP="001027D2">
            <w:pPr>
              <w:spacing w:after="0"/>
              <w:contextualSpacing/>
              <w:jc w:val="center"/>
            </w:pPr>
            <w:r w:rsidRPr="00BF044C">
              <w:rPr>
                <w:rFonts w:cs="Arial"/>
              </w:rPr>
              <w:t>9.5%</w:t>
            </w:r>
          </w:p>
        </w:tc>
      </w:tr>
      <w:tr w:rsidR="00963B94" w:rsidRPr="00E63E8B" w14:paraId="46FD003C" w14:textId="77777777" w:rsidTr="005677F4">
        <w:trPr>
          <w:trHeight w:val="273"/>
          <w:jc w:val="center"/>
        </w:trPr>
        <w:tc>
          <w:tcPr>
            <w:tcW w:w="2466" w:type="pct"/>
            <w:shd w:val="clear" w:color="auto" w:fill="FFFFFF" w:themeFill="background1"/>
            <w:vAlign w:val="center"/>
          </w:tcPr>
          <w:p w14:paraId="6B711CD2" w14:textId="77777777" w:rsidR="00963B94" w:rsidRPr="00E63E8B" w:rsidRDefault="00963B94" w:rsidP="006B7248">
            <w:pPr>
              <w:spacing w:after="0"/>
              <w:contextualSpacing/>
            </w:pPr>
            <w:r w:rsidRPr="00E63E8B">
              <w:t>Blind/Visually Impaired</w:t>
            </w:r>
          </w:p>
        </w:tc>
        <w:tc>
          <w:tcPr>
            <w:tcW w:w="1267" w:type="pct"/>
            <w:shd w:val="clear" w:color="auto" w:fill="FFFFFF" w:themeFill="background1"/>
            <w:vAlign w:val="center"/>
          </w:tcPr>
          <w:p w14:paraId="6D6B8A1D" w14:textId="77777777" w:rsidR="00963B94" w:rsidRPr="00BF044C" w:rsidRDefault="00963B94" w:rsidP="001027D2">
            <w:pPr>
              <w:spacing w:after="0"/>
              <w:contextualSpacing/>
              <w:jc w:val="center"/>
            </w:pPr>
            <w:r w:rsidRPr="00BF044C">
              <w:rPr>
                <w:rFonts w:cs="Arial"/>
              </w:rPr>
              <w:t>4.3%</w:t>
            </w:r>
          </w:p>
        </w:tc>
        <w:tc>
          <w:tcPr>
            <w:tcW w:w="1268" w:type="pct"/>
            <w:shd w:val="clear" w:color="auto" w:fill="FFFFFF" w:themeFill="background1"/>
            <w:vAlign w:val="center"/>
          </w:tcPr>
          <w:p w14:paraId="519E750B" w14:textId="77777777" w:rsidR="00963B94" w:rsidRPr="00BF044C" w:rsidRDefault="00963B94" w:rsidP="001027D2">
            <w:pPr>
              <w:spacing w:after="0"/>
              <w:contextualSpacing/>
              <w:jc w:val="center"/>
            </w:pPr>
            <w:r w:rsidRPr="00BF044C">
              <w:rPr>
                <w:rFonts w:cs="Arial"/>
              </w:rPr>
              <w:t>7.9%</w:t>
            </w:r>
          </w:p>
        </w:tc>
      </w:tr>
      <w:tr w:rsidR="00963B94" w:rsidRPr="00E63E8B" w14:paraId="40F43C54" w14:textId="77777777" w:rsidTr="005677F4">
        <w:trPr>
          <w:trHeight w:val="273"/>
          <w:jc w:val="center"/>
        </w:trPr>
        <w:tc>
          <w:tcPr>
            <w:tcW w:w="2466" w:type="pct"/>
            <w:shd w:val="clear" w:color="auto" w:fill="FFFFFF" w:themeFill="background1"/>
            <w:vAlign w:val="center"/>
          </w:tcPr>
          <w:p w14:paraId="72FEE472" w14:textId="77777777" w:rsidR="00963B94" w:rsidRPr="00E63E8B" w:rsidRDefault="00963B94" w:rsidP="006B7248">
            <w:pPr>
              <w:spacing w:after="0"/>
              <w:contextualSpacing/>
            </w:pPr>
            <w:r w:rsidRPr="00E63E8B">
              <w:t>Traumatic Brain Injury</w:t>
            </w:r>
          </w:p>
        </w:tc>
        <w:tc>
          <w:tcPr>
            <w:tcW w:w="1267" w:type="pct"/>
            <w:shd w:val="clear" w:color="auto" w:fill="FFFFFF" w:themeFill="background1"/>
            <w:vAlign w:val="center"/>
          </w:tcPr>
          <w:p w14:paraId="378EE3C6" w14:textId="77777777" w:rsidR="00963B94" w:rsidRPr="00BF044C" w:rsidRDefault="00963B94" w:rsidP="001027D2">
            <w:pPr>
              <w:spacing w:after="0"/>
              <w:contextualSpacing/>
              <w:jc w:val="center"/>
            </w:pPr>
            <w:r w:rsidRPr="00BF044C">
              <w:rPr>
                <w:rFonts w:cs="Arial"/>
              </w:rPr>
              <w:t>1.0%</w:t>
            </w:r>
          </w:p>
        </w:tc>
        <w:tc>
          <w:tcPr>
            <w:tcW w:w="1268" w:type="pct"/>
            <w:shd w:val="clear" w:color="auto" w:fill="FFFFFF" w:themeFill="background1"/>
            <w:vAlign w:val="center"/>
          </w:tcPr>
          <w:p w14:paraId="7FC4EE3B" w14:textId="77777777" w:rsidR="00963B94" w:rsidRPr="00BF044C" w:rsidRDefault="00963B94" w:rsidP="001027D2">
            <w:pPr>
              <w:spacing w:after="0"/>
              <w:contextualSpacing/>
              <w:jc w:val="center"/>
            </w:pPr>
            <w:r w:rsidRPr="00BF044C">
              <w:rPr>
                <w:rFonts w:cs="Arial"/>
              </w:rPr>
              <w:t>4.4%</w:t>
            </w:r>
          </w:p>
        </w:tc>
      </w:tr>
      <w:tr w:rsidR="00963B94" w:rsidRPr="00E63E8B" w14:paraId="45C7AF46" w14:textId="77777777" w:rsidTr="005677F4">
        <w:trPr>
          <w:trHeight w:val="273"/>
          <w:jc w:val="center"/>
        </w:trPr>
        <w:tc>
          <w:tcPr>
            <w:tcW w:w="2466" w:type="pct"/>
            <w:shd w:val="clear" w:color="auto" w:fill="FFFFFF" w:themeFill="background1"/>
            <w:vAlign w:val="center"/>
          </w:tcPr>
          <w:p w14:paraId="74BB35C2" w14:textId="77777777" w:rsidR="00963B94" w:rsidRPr="00E63E8B" w:rsidRDefault="00963B94" w:rsidP="006B7248">
            <w:pPr>
              <w:spacing w:after="0"/>
              <w:contextualSpacing/>
            </w:pPr>
            <w:r w:rsidRPr="00E63E8B">
              <w:t>Not Reported</w:t>
            </w:r>
          </w:p>
        </w:tc>
        <w:tc>
          <w:tcPr>
            <w:tcW w:w="1267" w:type="pct"/>
            <w:shd w:val="clear" w:color="auto" w:fill="FFFFFF" w:themeFill="background1"/>
            <w:vAlign w:val="center"/>
          </w:tcPr>
          <w:p w14:paraId="4D0A4C1C" w14:textId="77777777" w:rsidR="00963B94" w:rsidRPr="00BF044C" w:rsidRDefault="00963B94" w:rsidP="001027D2">
            <w:pPr>
              <w:spacing w:after="0"/>
              <w:contextualSpacing/>
              <w:jc w:val="center"/>
            </w:pPr>
            <w:r w:rsidRPr="00BF044C">
              <w:rPr>
                <w:rFonts w:cs="Arial"/>
              </w:rPr>
              <w:t>24.5%</w:t>
            </w:r>
          </w:p>
        </w:tc>
        <w:tc>
          <w:tcPr>
            <w:tcW w:w="1268" w:type="pct"/>
            <w:shd w:val="clear" w:color="auto" w:fill="FFFFFF" w:themeFill="background1"/>
            <w:vAlign w:val="center"/>
          </w:tcPr>
          <w:p w14:paraId="1F16B919" w14:textId="77777777" w:rsidR="00963B94" w:rsidRPr="00BF044C" w:rsidRDefault="00963B94" w:rsidP="001027D2">
            <w:pPr>
              <w:spacing w:after="0"/>
              <w:contextualSpacing/>
              <w:jc w:val="center"/>
            </w:pPr>
            <w:r w:rsidRPr="00BF044C">
              <w:rPr>
                <w:rFonts w:cs="Arial"/>
              </w:rPr>
              <w:t>1.6%</w:t>
            </w:r>
          </w:p>
        </w:tc>
      </w:tr>
      <w:tr w:rsidR="00963B94" w:rsidRPr="00B25452" w14:paraId="38D54A74" w14:textId="77777777" w:rsidTr="005677F4">
        <w:trPr>
          <w:trHeight w:val="129"/>
          <w:jc w:val="center"/>
        </w:trPr>
        <w:tc>
          <w:tcPr>
            <w:tcW w:w="2466" w:type="pct"/>
            <w:shd w:val="clear" w:color="auto" w:fill="F2F2F2" w:themeFill="background1" w:themeFillShade="F2"/>
            <w:vAlign w:val="center"/>
          </w:tcPr>
          <w:p w14:paraId="189BFD4E" w14:textId="18FEF890" w:rsidR="00963B94" w:rsidRPr="00B25452" w:rsidRDefault="00963B94" w:rsidP="006B7248">
            <w:pPr>
              <w:spacing w:after="0"/>
              <w:contextualSpacing/>
              <w:rPr>
                <w:b/>
                <w:bCs/>
              </w:rPr>
            </w:pPr>
            <w:r w:rsidRPr="00B25452">
              <w:rPr>
                <w:b/>
                <w:bCs/>
              </w:rPr>
              <w:t>Total</w:t>
            </w:r>
            <w:r w:rsidR="00752A65">
              <w:rPr>
                <w:b/>
                <w:bCs/>
              </w:rPr>
              <w:t xml:space="preserve"> </w:t>
            </w:r>
            <w:r w:rsidR="00752A65" w:rsidRPr="00752A65">
              <w:t>(count)</w:t>
            </w:r>
          </w:p>
        </w:tc>
        <w:tc>
          <w:tcPr>
            <w:tcW w:w="1267" w:type="pct"/>
            <w:shd w:val="clear" w:color="auto" w:fill="F2F2F2" w:themeFill="background1" w:themeFillShade="F2"/>
            <w:vAlign w:val="center"/>
          </w:tcPr>
          <w:p w14:paraId="335149E4" w14:textId="56B14496" w:rsidR="00963B94" w:rsidRPr="00B25452" w:rsidRDefault="00752A65" w:rsidP="001027D2">
            <w:pPr>
              <w:spacing w:after="0"/>
              <w:contextualSpacing/>
              <w:jc w:val="center"/>
              <w:rPr>
                <w:b/>
                <w:bCs/>
              </w:rPr>
            </w:pPr>
            <w:r>
              <w:rPr>
                <w:b/>
                <w:bCs/>
              </w:rPr>
              <w:t>109,845</w:t>
            </w:r>
          </w:p>
        </w:tc>
        <w:tc>
          <w:tcPr>
            <w:tcW w:w="1268" w:type="pct"/>
            <w:shd w:val="clear" w:color="auto" w:fill="F2F2F2" w:themeFill="background1" w:themeFillShade="F2"/>
            <w:vAlign w:val="center"/>
          </w:tcPr>
          <w:p w14:paraId="508C7E47" w14:textId="351D74C7" w:rsidR="00963B94" w:rsidRPr="00B25452" w:rsidRDefault="00752A65" w:rsidP="001027D2">
            <w:pPr>
              <w:spacing w:after="0"/>
              <w:contextualSpacing/>
              <w:jc w:val="center"/>
              <w:rPr>
                <w:rFonts w:cs="Arial"/>
                <w:b/>
                <w:bCs/>
              </w:rPr>
            </w:pPr>
            <w:r>
              <w:rPr>
                <w:rFonts w:cs="Arial"/>
                <w:b/>
                <w:bCs/>
              </w:rPr>
              <w:t>1,195</w:t>
            </w:r>
          </w:p>
        </w:tc>
      </w:tr>
    </w:tbl>
    <w:p w14:paraId="4F56FF54" w14:textId="1C8F76AD" w:rsidR="00963B94" w:rsidRDefault="00782C29" w:rsidP="00635226">
      <w:pPr>
        <w:pStyle w:val="SectionSub-HeadingsTopics"/>
      </w:pPr>
      <w:bookmarkStart w:id="29" w:name="_Toc90632190"/>
      <w:r>
        <w:t>Satisfaction by</w:t>
      </w:r>
      <w:r w:rsidR="00304D95">
        <w:t xml:space="preserve"> Consumer</w:t>
      </w:r>
      <w:r>
        <w:t xml:space="preserve"> Disability Type</w:t>
      </w:r>
      <w:bookmarkEnd w:id="29"/>
    </w:p>
    <w:p w14:paraId="611A3F7C" w14:textId="329FB20B" w:rsidR="001F38F4" w:rsidRDefault="00D403ED" w:rsidP="00EF4D5B">
      <w:r>
        <w:t xml:space="preserve">Based on the overall satisfaction score, </w:t>
      </w:r>
      <w:r w:rsidR="001C1B4E">
        <w:t xml:space="preserve">all participants were considered satisfied regardless of the disability type reported. </w:t>
      </w:r>
      <w:r w:rsidR="006C7205">
        <w:t>The highest overall satisfaction score was 80.5%</w:t>
      </w:r>
      <w:r w:rsidR="00C57DB4">
        <w:t>,</w:t>
      </w:r>
      <w:r w:rsidR="006C7205">
        <w:t xml:space="preserve"> which was from </w:t>
      </w:r>
      <w:r w:rsidR="00524D21">
        <w:t>participants</w:t>
      </w:r>
      <w:r w:rsidR="006C7205">
        <w:t xml:space="preserve"> who identified as deaf or hard of hearing. The lowest overall satisfaction</w:t>
      </w:r>
      <w:r w:rsidR="00B564EC">
        <w:t xml:space="preserve"> score</w:t>
      </w:r>
      <w:r w:rsidR="006C7205">
        <w:t xml:space="preserve"> was </w:t>
      </w:r>
      <w:r w:rsidR="00B564EC">
        <w:t>72.5%</w:t>
      </w:r>
      <w:r w:rsidR="00A52BEF">
        <w:t>,</w:t>
      </w:r>
      <w:r w:rsidR="00B564EC">
        <w:t xml:space="preserve"> which was reported by participants who identified as </w:t>
      </w:r>
      <w:r w:rsidR="00524D21">
        <w:t>having a traumatic brain injur</w:t>
      </w:r>
      <w:r w:rsidR="00793DEA">
        <w:t xml:space="preserve">y. Survey participants most frequently reported a psychiatric </w:t>
      </w:r>
      <w:r w:rsidR="00FE0592">
        <w:t>disability,</w:t>
      </w:r>
      <w:r w:rsidR="00793DEA">
        <w:t xml:space="preserve"> and their </w:t>
      </w:r>
      <w:r w:rsidR="002A7161">
        <w:t xml:space="preserve">overall </w:t>
      </w:r>
      <w:r w:rsidR="00793DEA">
        <w:t>satisfaction</w:t>
      </w:r>
      <w:r w:rsidR="002A7161">
        <w:t xml:space="preserve"> score</w:t>
      </w:r>
      <w:r w:rsidR="00793DEA">
        <w:t xml:space="preserve"> was 78.7%</w:t>
      </w:r>
      <w:r w:rsidR="002A7161">
        <w:t>.</w:t>
      </w:r>
      <w:r w:rsidR="001C1B4E">
        <w:t xml:space="preserve"> </w:t>
      </w:r>
    </w:p>
    <w:p w14:paraId="0E443F88" w14:textId="1FFBDB3C" w:rsidR="00CF1A93" w:rsidRPr="00EF4D5B" w:rsidRDefault="00FD42B1" w:rsidP="00EF4D5B">
      <w:r>
        <w:t>S</w:t>
      </w:r>
      <w:r w:rsidR="00411BA0">
        <w:t>urvey participants</w:t>
      </w:r>
      <w:r w:rsidR="00A00C9C">
        <w:t xml:space="preserve">, regardless of their disability types, </w:t>
      </w:r>
      <w:r w:rsidR="00411BA0">
        <w:t>were satisfied with all categories</w:t>
      </w:r>
      <w:r w:rsidR="000C4241">
        <w:t xml:space="preserve"> assessed in the CSS</w:t>
      </w:r>
      <w:r>
        <w:t>,</w:t>
      </w:r>
      <w:r w:rsidR="00A00C9C">
        <w:t xml:space="preserve"> </w:t>
      </w:r>
      <w:r w:rsidR="0015584D">
        <w:t>except for the following ratings</w:t>
      </w:r>
      <w:r w:rsidR="00A00C9C">
        <w:t>.</w:t>
      </w:r>
      <w:r w:rsidR="00094E37">
        <w:t xml:space="preserve"> </w:t>
      </w:r>
      <w:r w:rsidR="00B9481B">
        <w:t>Individuals who reported a physical</w:t>
      </w:r>
      <w:r w:rsidR="00793D11">
        <w:t xml:space="preserve"> disability</w:t>
      </w:r>
      <w:r w:rsidR="00B9481B">
        <w:t>, intellectual or dev</w:t>
      </w:r>
      <w:r w:rsidR="00793D11">
        <w:t>elopmental disability, or a traumatic brain injury were only somewhat satisfied with their current employment and employment opportunities.</w:t>
      </w:r>
      <w:r w:rsidR="004970F6">
        <w:t xml:space="preserve"> Additionally, </w:t>
      </w:r>
      <w:r w:rsidR="00046738">
        <w:t>individuals who reporte</w:t>
      </w:r>
      <w:r w:rsidR="00245B16">
        <w:t xml:space="preserve">d </w:t>
      </w:r>
      <w:r w:rsidR="004970F6">
        <w:t>deaf or hard of hearing and cognitive impair</w:t>
      </w:r>
      <w:r w:rsidR="00245B16">
        <w:t xml:space="preserve">ments </w:t>
      </w:r>
      <w:r w:rsidR="00D024E9">
        <w:t>were only somewhat satisfied with their employment opportunities.</w:t>
      </w:r>
      <w:r w:rsidR="00E111A1">
        <w:t xml:space="preserve"> Individuals who did not report a disability type in the survey were extremely satisfied with their current employment, but only somewhat satisfied with their general experience at DOR and their employment opportunities. </w:t>
      </w:r>
      <w:r w:rsidR="001F38F4">
        <w:t>C</w:t>
      </w:r>
      <w:r w:rsidR="001C1B4E">
        <w:t xml:space="preserve">ollectively, these findings suggest that </w:t>
      </w:r>
      <w:r w:rsidR="00BE568B">
        <w:t>disability type</w:t>
      </w:r>
      <w:r w:rsidR="00B56715">
        <w:t xml:space="preserve"> has minimal influence on overall consumer satisfaction.</w:t>
      </w:r>
    </w:p>
    <w:p w14:paraId="23D3FE6A" w14:textId="77777777" w:rsidR="00D808AC" w:rsidRDefault="00D808AC">
      <w:pPr>
        <w:spacing w:after="160" w:line="259" w:lineRule="auto"/>
        <w:rPr>
          <w:b/>
          <w:bCs/>
        </w:rPr>
      </w:pPr>
      <w:r>
        <w:br w:type="page"/>
      </w:r>
    </w:p>
    <w:p w14:paraId="21D6E1EC" w14:textId="2A9150C2" w:rsidR="00F3726E" w:rsidRDefault="00F3726E" w:rsidP="00F3726E">
      <w:pPr>
        <w:pStyle w:val="TableTitle"/>
      </w:pPr>
      <w:r>
        <w:lastRenderedPageBreak/>
        <w:t>Satisfaction Scores by Parti</w:t>
      </w:r>
      <w:r w:rsidR="00624FE2">
        <w:t>cipant-reported Disability Types</w:t>
      </w:r>
    </w:p>
    <w:tbl>
      <w:tblPr>
        <w:tblStyle w:val="TableGrid"/>
        <w:tblW w:w="4984"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43" w:type="dxa"/>
          <w:right w:w="43" w:type="dxa"/>
        </w:tblCellMar>
        <w:tblLook w:val="04A0" w:firstRow="1" w:lastRow="0" w:firstColumn="1" w:lastColumn="0" w:noHBand="0" w:noVBand="1"/>
      </w:tblPr>
      <w:tblGrid>
        <w:gridCol w:w="1873"/>
        <w:gridCol w:w="1082"/>
        <w:gridCol w:w="1482"/>
        <w:gridCol w:w="1422"/>
        <w:gridCol w:w="1336"/>
        <w:gridCol w:w="1239"/>
        <w:gridCol w:w="1198"/>
        <w:gridCol w:w="1123"/>
      </w:tblGrid>
      <w:tr w:rsidR="00C37CF9" w:rsidRPr="00A97A3A" w14:paraId="26B5F407" w14:textId="77777777" w:rsidTr="005677F4">
        <w:trPr>
          <w:jc w:val="center"/>
        </w:trPr>
        <w:tc>
          <w:tcPr>
            <w:tcW w:w="871" w:type="pct"/>
            <w:shd w:val="clear" w:color="auto" w:fill="00407B" w:themeFill="accent1" w:themeFillShade="BF"/>
            <w:vAlign w:val="center"/>
          </w:tcPr>
          <w:p w14:paraId="4D6F96BB" w14:textId="77777777" w:rsidR="00AC1FFB" w:rsidRDefault="00E32D1B" w:rsidP="00E32D1B">
            <w:pPr>
              <w:spacing w:after="0"/>
              <w:rPr>
                <w:b/>
                <w:bCs/>
                <w:color w:val="FFFFFF" w:themeColor="background1"/>
              </w:rPr>
            </w:pPr>
            <w:r>
              <w:rPr>
                <w:b/>
                <w:bCs/>
                <w:color w:val="FFFFFF" w:themeColor="background1"/>
              </w:rPr>
              <w:t xml:space="preserve">Disability </w:t>
            </w:r>
          </w:p>
          <w:p w14:paraId="446041D3" w14:textId="6469E47E" w:rsidR="00E32D1B" w:rsidRPr="00DD611A" w:rsidRDefault="00E32D1B" w:rsidP="00E32D1B">
            <w:pPr>
              <w:spacing w:after="0"/>
              <w:rPr>
                <w:color w:val="FFFFFF" w:themeColor="background1"/>
              </w:rPr>
            </w:pPr>
            <w:r>
              <w:rPr>
                <w:b/>
                <w:bCs/>
                <w:color w:val="FFFFFF" w:themeColor="background1"/>
              </w:rPr>
              <w:t>Type</w:t>
            </w:r>
          </w:p>
        </w:tc>
        <w:tc>
          <w:tcPr>
            <w:tcW w:w="503" w:type="pct"/>
            <w:shd w:val="clear" w:color="auto" w:fill="00407B" w:themeFill="accent1" w:themeFillShade="BF"/>
            <w:vAlign w:val="center"/>
          </w:tcPr>
          <w:p w14:paraId="3BCA0D8D" w14:textId="234E1891" w:rsidR="00E32D1B" w:rsidRPr="005763C1" w:rsidRDefault="00E32D1B" w:rsidP="00E32D1B">
            <w:pPr>
              <w:spacing w:after="0"/>
              <w:rPr>
                <w:b/>
                <w:bCs/>
                <w:color w:val="FFFFFF" w:themeColor="background1"/>
                <w:vertAlign w:val="superscript"/>
              </w:rPr>
            </w:pPr>
            <w:r>
              <w:rPr>
                <w:b/>
                <w:bCs/>
                <w:color w:val="FFFFFF" w:themeColor="background1"/>
              </w:rPr>
              <w:t>DOR Exp</w:t>
            </w:r>
            <w:r w:rsidR="000A4E2B">
              <w:rPr>
                <w:b/>
                <w:bCs/>
                <w:color w:val="FFFFFF" w:themeColor="background1"/>
              </w:rPr>
              <w:t>.</w:t>
            </w:r>
          </w:p>
          <w:p w14:paraId="5176A227" w14:textId="77777777" w:rsidR="00E32D1B" w:rsidRPr="00D549A9" w:rsidRDefault="00E32D1B" w:rsidP="00E32D1B">
            <w:pPr>
              <w:spacing w:after="0"/>
              <w:rPr>
                <w:color w:val="FFFFFF" w:themeColor="background1"/>
              </w:rPr>
            </w:pPr>
            <w:r>
              <w:rPr>
                <w:color w:val="FFFFFF" w:themeColor="background1"/>
              </w:rPr>
              <w:t>(Score)</w:t>
            </w:r>
          </w:p>
        </w:tc>
        <w:tc>
          <w:tcPr>
            <w:tcW w:w="689" w:type="pct"/>
            <w:shd w:val="clear" w:color="auto" w:fill="00407B" w:themeFill="accent1" w:themeFillShade="BF"/>
            <w:vAlign w:val="center"/>
          </w:tcPr>
          <w:p w14:paraId="4F379A65" w14:textId="29341F90" w:rsidR="00E32D1B" w:rsidRPr="002C2B0F" w:rsidRDefault="00E32D1B" w:rsidP="00E32D1B">
            <w:pPr>
              <w:spacing w:after="0"/>
              <w:rPr>
                <w:b/>
                <w:bCs/>
                <w:color w:val="FFFFFF" w:themeColor="background1"/>
              </w:rPr>
            </w:pPr>
            <w:r>
              <w:rPr>
                <w:b/>
                <w:bCs/>
                <w:color w:val="FFFFFF" w:themeColor="background1"/>
              </w:rPr>
              <w:t>DOR Coun</w:t>
            </w:r>
            <w:r w:rsidR="00655249">
              <w:rPr>
                <w:b/>
                <w:bCs/>
                <w:color w:val="FFFFFF" w:themeColor="background1"/>
              </w:rPr>
              <w:t>selor</w:t>
            </w:r>
          </w:p>
          <w:p w14:paraId="232AE192" w14:textId="77777777" w:rsidR="00E32D1B" w:rsidRPr="00D549A9" w:rsidRDefault="00E32D1B" w:rsidP="00E32D1B">
            <w:pPr>
              <w:spacing w:after="0"/>
              <w:rPr>
                <w:color w:val="FFFFFF" w:themeColor="background1"/>
              </w:rPr>
            </w:pPr>
            <w:r>
              <w:rPr>
                <w:color w:val="FFFFFF" w:themeColor="background1"/>
              </w:rPr>
              <w:t>(Score)</w:t>
            </w:r>
          </w:p>
        </w:tc>
        <w:tc>
          <w:tcPr>
            <w:tcW w:w="661" w:type="pct"/>
            <w:shd w:val="clear" w:color="auto" w:fill="00407B" w:themeFill="accent1" w:themeFillShade="BF"/>
            <w:vAlign w:val="center"/>
          </w:tcPr>
          <w:p w14:paraId="3F1C5F74" w14:textId="77777777" w:rsidR="00E32D1B" w:rsidRPr="002C2B0F" w:rsidRDefault="00E32D1B" w:rsidP="00E32D1B">
            <w:pPr>
              <w:spacing w:after="0"/>
              <w:rPr>
                <w:b/>
                <w:bCs/>
                <w:color w:val="FFFFFF" w:themeColor="background1"/>
              </w:rPr>
            </w:pPr>
            <w:r>
              <w:rPr>
                <w:b/>
                <w:bCs/>
                <w:color w:val="FFFFFF" w:themeColor="background1"/>
              </w:rPr>
              <w:t>Service Providers</w:t>
            </w:r>
          </w:p>
          <w:p w14:paraId="3E86AE92" w14:textId="77777777" w:rsidR="00E32D1B" w:rsidRDefault="00E32D1B" w:rsidP="00E32D1B">
            <w:pPr>
              <w:spacing w:after="0"/>
              <w:rPr>
                <w:b/>
                <w:bCs/>
                <w:color w:val="FFFFFF" w:themeColor="background1"/>
              </w:rPr>
            </w:pPr>
            <w:r>
              <w:rPr>
                <w:color w:val="FFFFFF" w:themeColor="background1"/>
              </w:rPr>
              <w:t>(Score)</w:t>
            </w:r>
          </w:p>
        </w:tc>
        <w:tc>
          <w:tcPr>
            <w:tcW w:w="621" w:type="pct"/>
            <w:shd w:val="clear" w:color="auto" w:fill="00407B" w:themeFill="accent1" w:themeFillShade="BF"/>
            <w:vAlign w:val="center"/>
          </w:tcPr>
          <w:p w14:paraId="62A97F09" w14:textId="77777777" w:rsidR="00E32D1B" w:rsidRPr="002C2B0F" w:rsidRDefault="00E32D1B" w:rsidP="00E32D1B">
            <w:pPr>
              <w:spacing w:after="0"/>
              <w:rPr>
                <w:b/>
                <w:bCs/>
                <w:color w:val="FFFFFF" w:themeColor="background1"/>
              </w:rPr>
            </w:pPr>
            <w:r>
              <w:rPr>
                <w:b/>
                <w:bCs/>
                <w:color w:val="FFFFFF" w:themeColor="background1"/>
              </w:rPr>
              <w:t>Employ. Services</w:t>
            </w:r>
          </w:p>
          <w:p w14:paraId="76A838E4" w14:textId="1B7B6B17" w:rsidR="00E32D1B" w:rsidRDefault="00E32D1B" w:rsidP="00E32D1B">
            <w:pPr>
              <w:spacing w:after="0"/>
              <w:rPr>
                <w:b/>
                <w:bCs/>
                <w:color w:val="FFFFFF" w:themeColor="background1"/>
              </w:rPr>
            </w:pPr>
            <w:r>
              <w:rPr>
                <w:color w:val="FFFFFF" w:themeColor="background1"/>
              </w:rPr>
              <w:t>(Score)</w:t>
            </w:r>
          </w:p>
        </w:tc>
        <w:tc>
          <w:tcPr>
            <w:tcW w:w="576" w:type="pct"/>
            <w:shd w:val="clear" w:color="auto" w:fill="00407B" w:themeFill="accent1" w:themeFillShade="BF"/>
            <w:vAlign w:val="center"/>
          </w:tcPr>
          <w:p w14:paraId="6025A63E" w14:textId="77777777" w:rsidR="00E32D1B" w:rsidRPr="002C2B0F" w:rsidRDefault="00E32D1B" w:rsidP="00E32D1B">
            <w:pPr>
              <w:spacing w:after="0"/>
              <w:rPr>
                <w:b/>
                <w:bCs/>
                <w:color w:val="FFFFFF" w:themeColor="background1"/>
              </w:rPr>
            </w:pPr>
            <w:r>
              <w:rPr>
                <w:b/>
                <w:bCs/>
                <w:color w:val="FFFFFF" w:themeColor="background1"/>
              </w:rPr>
              <w:t>Current Employ.</w:t>
            </w:r>
          </w:p>
          <w:p w14:paraId="1C74F8E2" w14:textId="1F6782ED" w:rsidR="00E32D1B" w:rsidRPr="00F75AA0" w:rsidRDefault="00E32D1B" w:rsidP="00E32D1B">
            <w:pPr>
              <w:spacing w:after="0"/>
              <w:rPr>
                <w:b/>
                <w:bCs/>
                <w:color w:val="FFFFFF" w:themeColor="background1"/>
              </w:rPr>
            </w:pPr>
            <w:r>
              <w:rPr>
                <w:color w:val="FFFFFF" w:themeColor="background1"/>
              </w:rPr>
              <w:t>(Score)</w:t>
            </w:r>
          </w:p>
        </w:tc>
        <w:tc>
          <w:tcPr>
            <w:tcW w:w="557" w:type="pct"/>
            <w:shd w:val="clear" w:color="auto" w:fill="00407B" w:themeFill="accent1" w:themeFillShade="BF"/>
            <w:vAlign w:val="center"/>
          </w:tcPr>
          <w:p w14:paraId="34A86ABB" w14:textId="77777777" w:rsidR="00E32D1B" w:rsidRPr="002C2B0F" w:rsidRDefault="00E32D1B" w:rsidP="00E32D1B">
            <w:pPr>
              <w:spacing w:after="0"/>
              <w:rPr>
                <w:b/>
                <w:bCs/>
                <w:color w:val="FFFFFF" w:themeColor="background1"/>
              </w:rPr>
            </w:pPr>
            <w:r>
              <w:rPr>
                <w:b/>
                <w:bCs/>
                <w:color w:val="FFFFFF" w:themeColor="background1"/>
              </w:rPr>
              <w:t xml:space="preserve">Employ. </w:t>
            </w:r>
            <w:proofErr w:type="spellStart"/>
            <w:r>
              <w:rPr>
                <w:b/>
                <w:bCs/>
                <w:color w:val="FFFFFF" w:themeColor="background1"/>
              </w:rPr>
              <w:t>Opport</w:t>
            </w:r>
            <w:proofErr w:type="spellEnd"/>
            <w:r>
              <w:rPr>
                <w:b/>
                <w:bCs/>
                <w:color w:val="FFFFFF" w:themeColor="background1"/>
              </w:rPr>
              <w:t>.</w:t>
            </w:r>
          </w:p>
          <w:p w14:paraId="2214A6D3" w14:textId="3C135C3A" w:rsidR="00E32D1B" w:rsidRDefault="00E32D1B" w:rsidP="00E32D1B">
            <w:pPr>
              <w:spacing w:after="0"/>
              <w:rPr>
                <w:b/>
                <w:bCs/>
                <w:color w:val="FFFFFF" w:themeColor="background1"/>
              </w:rPr>
            </w:pPr>
            <w:r>
              <w:rPr>
                <w:color w:val="FFFFFF" w:themeColor="background1"/>
              </w:rPr>
              <w:t>(Score)</w:t>
            </w:r>
          </w:p>
        </w:tc>
        <w:tc>
          <w:tcPr>
            <w:tcW w:w="522" w:type="pct"/>
            <w:shd w:val="clear" w:color="auto" w:fill="00407B" w:themeFill="accent1" w:themeFillShade="BF"/>
            <w:vAlign w:val="center"/>
          </w:tcPr>
          <w:p w14:paraId="0D50AF0B" w14:textId="77777777" w:rsidR="00E32D1B" w:rsidRPr="002C2B0F" w:rsidRDefault="00E32D1B" w:rsidP="00E32D1B">
            <w:pPr>
              <w:spacing w:after="0"/>
              <w:rPr>
                <w:b/>
                <w:bCs/>
                <w:color w:val="FFFFFF" w:themeColor="background1"/>
              </w:rPr>
            </w:pPr>
            <w:r>
              <w:rPr>
                <w:b/>
                <w:bCs/>
                <w:color w:val="FFFFFF" w:themeColor="background1"/>
              </w:rPr>
              <w:t>Overall</w:t>
            </w:r>
          </w:p>
          <w:p w14:paraId="6B57E9EC" w14:textId="77777777" w:rsidR="00E32D1B" w:rsidRDefault="00E32D1B" w:rsidP="00E32D1B">
            <w:pPr>
              <w:spacing w:after="0"/>
              <w:rPr>
                <w:b/>
                <w:bCs/>
                <w:color w:val="FFFFFF" w:themeColor="background1"/>
              </w:rPr>
            </w:pPr>
            <w:r>
              <w:rPr>
                <w:color w:val="FFFFFF" w:themeColor="background1"/>
              </w:rPr>
              <w:t>(Score)</w:t>
            </w:r>
          </w:p>
        </w:tc>
      </w:tr>
      <w:tr w:rsidR="00AC1FFB" w14:paraId="0B333121" w14:textId="77777777" w:rsidTr="005677F4">
        <w:trPr>
          <w:jc w:val="center"/>
        </w:trPr>
        <w:tc>
          <w:tcPr>
            <w:tcW w:w="871" w:type="pct"/>
            <w:shd w:val="clear" w:color="auto" w:fill="auto"/>
            <w:vAlign w:val="bottom"/>
          </w:tcPr>
          <w:p w14:paraId="2D5F7C99" w14:textId="13847C88" w:rsidR="00E32D1B" w:rsidRDefault="00E32D1B" w:rsidP="00E32D1B">
            <w:pPr>
              <w:spacing w:after="0"/>
            </w:pPr>
            <w:r>
              <w:rPr>
                <w:rFonts w:cs="Arial"/>
                <w:color w:val="000000"/>
              </w:rPr>
              <w:t>Deaf/</w:t>
            </w:r>
            <w:r w:rsidR="000A4E2B">
              <w:rPr>
                <w:rFonts w:cs="Arial"/>
                <w:color w:val="000000"/>
              </w:rPr>
              <w:t xml:space="preserve"> </w:t>
            </w:r>
            <w:r>
              <w:rPr>
                <w:rFonts w:cs="Arial"/>
                <w:color w:val="000000"/>
              </w:rPr>
              <w:t>Hard of Hearing</w:t>
            </w:r>
          </w:p>
        </w:tc>
        <w:tc>
          <w:tcPr>
            <w:tcW w:w="503" w:type="pct"/>
            <w:shd w:val="clear" w:color="auto" w:fill="auto"/>
            <w:vAlign w:val="center"/>
          </w:tcPr>
          <w:p w14:paraId="433BBB12" w14:textId="6530B1B0" w:rsidR="00E32D1B" w:rsidRPr="00E31A08" w:rsidRDefault="00E32D1B" w:rsidP="003424E8">
            <w:pPr>
              <w:spacing w:after="0"/>
              <w:jc w:val="center"/>
            </w:pPr>
            <w:r w:rsidRPr="00E31A08">
              <w:rPr>
                <w:rFonts w:cs="Arial"/>
                <w:color w:val="000000"/>
              </w:rPr>
              <w:t>80.3%</w:t>
            </w:r>
          </w:p>
        </w:tc>
        <w:tc>
          <w:tcPr>
            <w:tcW w:w="689" w:type="pct"/>
            <w:shd w:val="clear" w:color="auto" w:fill="auto"/>
            <w:vAlign w:val="center"/>
          </w:tcPr>
          <w:p w14:paraId="658471EF" w14:textId="40638AFB" w:rsidR="00E32D1B" w:rsidRPr="00E31A08" w:rsidRDefault="00E32D1B" w:rsidP="003424E8">
            <w:pPr>
              <w:spacing w:after="0"/>
              <w:jc w:val="center"/>
            </w:pPr>
            <w:r w:rsidRPr="00E31A08">
              <w:rPr>
                <w:rFonts w:cs="Arial"/>
                <w:color w:val="000000"/>
              </w:rPr>
              <w:t>82.1%</w:t>
            </w:r>
          </w:p>
        </w:tc>
        <w:tc>
          <w:tcPr>
            <w:tcW w:w="661" w:type="pct"/>
            <w:shd w:val="clear" w:color="auto" w:fill="auto"/>
            <w:vAlign w:val="center"/>
          </w:tcPr>
          <w:p w14:paraId="2513DA35" w14:textId="7C2A406F" w:rsidR="00E32D1B" w:rsidRPr="00E31A08" w:rsidRDefault="00E32D1B" w:rsidP="003424E8">
            <w:pPr>
              <w:spacing w:after="0"/>
              <w:jc w:val="center"/>
            </w:pPr>
            <w:r w:rsidRPr="00E31A08">
              <w:rPr>
                <w:rFonts w:cs="Arial"/>
                <w:color w:val="000000"/>
              </w:rPr>
              <w:t>83.4%</w:t>
            </w:r>
          </w:p>
        </w:tc>
        <w:tc>
          <w:tcPr>
            <w:tcW w:w="621" w:type="pct"/>
            <w:shd w:val="clear" w:color="auto" w:fill="auto"/>
            <w:vAlign w:val="center"/>
          </w:tcPr>
          <w:p w14:paraId="05A6EAD0" w14:textId="477FFC42" w:rsidR="00E32D1B" w:rsidRPr="00E31A08" w:rsidRDefault="00E32D1B" w:rsidP="003424E8">
            <w:pPr>
              <w:spacing w:after="0"/>
              <w:jc w:val="center"/>
            </w:pPr>
            <w:r w:rsidRPr="00E31A08">
              <w:rPr>
                <w:rFonts w:cs="Arial"/>
                <w:color w:val="000000"/>
              </w:rPr>
              <w:t>78.8%</w:t>
            </w:r>
          </w:p>
        </w:tc>
        <w:tc>
          <w:tcPr>
            <w:tcW w:w="576" w:type="pct"/>
            <w:shd w:val="clear" w:color="auto" w:fill="auto"/>
            <w:vAlign w:val="center"/>
          </w:tcPr>
          <w:p w14:paraId="6F8AF2F2" w14:textId="770B6856" w:rsidR="00E32D1B" w:rsidRPr="00E31A08" w:rsidRDefault="00E32D1B" w:rsidP="003424E8">
            <w:pPr>
              <w:spacing w:after="0"/>
              <w:jc w:val="center"/>
            </w:pPr>
            <w:r w:rsidRPr="00E31A08">
              <w:rPr>
                <w:rFonts w:cs="Arial"/>
                <w:color w:val="000000"/>
              </w:rPr>
              <w:t>77.9%</w:t>
            </w:r>
          </w:p>
        </w:tc>
        <w:tc>
          <w:tcPr>
            <w:tcW w:w="557" w:type="pct"/>
            <w:shd w:val="clear" w:color="auto" w:fill="auto"/>
            <w:vAlign w:val="center"/>
          </w:tcPr>
          <w:p w14:paraId="40970F65" w14:textId="45A6952A" w:rsidR="00E32D1B" w:rsidRPr="00E31A08" w:rsidRDefault="00E32D1B" w:rsidP="003424E8">
            <w:pPr>
              <w:spacing w:after="0"/>
              <w:jc w:val="center"/>
            </w:pPr>
            <w:r w:rsidRPr="00E31A08">
              <w:rPr>
                <w:rFonts w:cs="Arial"/>
                <w:color w:val="000000"/>
              </w:rPr>
              <w:t>71.2%</w:t>
            </w:r>
          </w:p>
        </w:tc>
        <w:tc>
          <w:tcPr>
            <w:tcW w:w="522" w:type="pct"/>
            <w:shd w:val="clear" w:color="auto" w:fill="auto"/>
            <w:vAlign w:val="center"/>
          </w:tcPr>
          <w:p w14:paraId="7E367BAA" w14:textId="1D2FB733" w:rsidR="00E32D1B" w:rsidRPr="00DF72DF" w:rsidRDefault="00E32D1B" w:rsidP="003424E8">
            <w:pPr>
              <w:spacing w:after="0"/>
              <w:jc w:val="center"/>
              <w:rPr>
                <w:b/>
                <w:bCs/>
              </w:rPr>
            </w:pPr>
            <w:r>
              <w:rPr>
                <w:rFonts w:cs="Arial"/>
                <w:color w:val="000000"/>
              </w:rPr>
              <w:t>80.5%</w:t>
            </w:r>
          </w:p>
        </w:tc>
      </w:tr>
      <w:tr w:rsidR="00AC1FFB" w14:paraId="68A04864" w14:textId="77777777" w:rsidTr="005677F4">
        <w:trPr>
          <w:jc w:val="center"/>
        </w:trPr>
        <w:tc>
          <w:tcPr>
            <w:tcW w:w="871" w:type="pct"/>
            <w:shd w:val="clear" w:color="auto" w:fill="auto"/>
            <w:vAlign w:val="bottom"/>
          </w:tcPr>
          <w:p w14:paraId="45F088F1" w14:textId="25BEEBC4" w:rsidR="00E32D1B" w:rsidRDefault="00E32D1B" w:rsidP="00E32D1B">
            <w:pPr>
              <w:spacing w:after="0"/>
            </w:pPr>
            <w:r>
              <w:rPr>
                <w:rFonts w:cs="Arial"/>
                <w:color w:val="000000"/>
              </w:rPr>
              <w:t>Learning Disability</w:t>
            </w:r>
          </w:p>
        </w:tc>
        <w:tc>
          <w:tcPr>
            <w:tcW w:w="503" w:type="pct"/>
            <w:shd w:val="clear" w:color="auto" w:fill="auto"/>
            <w:vAlign w:val="center"/>
          </w:tcPr>
          <w:p w14:paraId="37C26A1B" w14:textId="2926D0D5" w:rsidR="00E32D1B" w:rsidRPr="00E31A08" w:rsidRDefault="00E32D1B" w:rsidP="003424E8">
            <w:pPr>
              <w:spacing w:after="0"/>
              <w:jc w:val="center"/>
            </w:pPr>
            <w:r w:rsidRPr="00E31A08">
              <w:rPr>
                <w:rFonts w:cs="Arial"/>
                <w:color w:val="000000"/>
              </w:rPr>
              <w:t>81.3%</w:t>
            </w:r>
          </w:p>
        </w:tc>
        <w:tc>
          <w:tcPr>
            <w:tcW w:w="689" w:type="pct"/>
            <w:shd w:val="clear" w:color="auto" w:fill="auto"/>
            <w:vAlign w:val="center"/>
          </w:tcPr>
          <w:p w14:paraId="386D5E82" w14:textId="465DF9FD" w:rsidR="00E32D1B" w:rsidRPr="00E31A08" w:rsidRDefault="00E32D1B" w:rsidP="003424E8">
            <w:pPr>
              <w:spacing w:after="0"/>
              <w:jc w:val="center"/>
            </w:pPr>
            <w:r w:rsidRPr="00E31A08">
              <w:rPr>
                <w:rFonts w:cs="Arial"/>
                <w:color w:val="000000"/>
              </w:rPr>
              <w:t>81.7%</w:t>
            </w:r>
          </w:p>
        </w:tc>
        <w:tc>
          <w:tcPr>
            <w:tcW w:w="661" w:type="pct"/>
            <w:shd w:val="clear" w:color="auto" w:fill="auto"/>
            <w:vAlign w:val="center"/>
          </w:tcPr>
          <w:p w14:paraId="56CF6CC1" w14:textId="6FCD7107" w:rsidR="00E32D1B" w:rsidRPr="00E31A08" w:rsidRDefault="00E32D1B" w:rsidP="003424E8">
            <w:pPr>
              <w:spacing w:after="0"/>
              <w:jc w:val="center"/>
            </w:pPr>
            <w:r w:rsidRPr="00E31A08">
              <w:rPr>
                <w:rFonts w:cs="Arial"/>
                <w:color w:val="000000"/>
              </w:rPr>
              <w:t>80.7%</w:t>
            </w:r>
          </w:p>
        </w:tc>
        <w:tc>
          <w:tcPr>
            <w:tcW w:w="621" w:type="pct"/>
            <w:shd w:val="clear" w:color="auto" w:fill="auto"/>
            <w:vAlign w:val="center"/>
          </w:tcPr>
          <w:p w14:paraId="6E8C058C" w14:textId="474DF700" w:rsidR="00E32D1B" w:rsidRPr="00E31A08" w:rsidRDefault="00E32D1B" w:rsidP="003424E8">
            <w:pPr>
              <w:spacing w:after="0"/>
              <w:jc w:val="center"/>
            </w:pPr>
            <w:r w:rsidRPr="00E31A08">
              <w:rPr>
                <w:rFonts w:cs="Arial"/>
                <w:color w:val="000000"/>
              </w:rPr>
              <w:t>79.5%</w:t>
            </w:r>
          </w:p>
        </w:tc>
        <w:tc>
          <w:tcPr>
            <w:tcW w:w="576" w:type="pct"/>
            <w:shd w:val="clear" w:color="auto" w:fill="auto"/>
            <w:vAlign w:val="center"/>
          </w:tcPr>
          <w:p w14:paraId="0CBDB91C" w14:textId="2BF8E9C5" w:rsidR="00E32D1B" w:rsidRPr="00E31A08" w:rsidRDefault="00E32D1B" w:rsidP="003424E8">
            <w:pPr>
              <w:spacing w:after="0"/>
              <w:jc w:val="center"/>
            </w:pPr>
            <w:r w:rsidRPr="00E31A08">
              <w:rPr>
                <w:rFonts w:cs="Arial"/>
                <w:color w:val="000000"/>
              </w:rPr>
              <w:t>73.7%</w:t>
            </w:r>
          </w:p>
        </w:tc>
        <w:tc>
          <w:tcPr>
            <w:tcW w:w="557" w:type="pct"/>
            <w:shd w:val="clear" w:color="auto" w:fill="auto"/>
            <w:vAlign w:val="center"/>
          </w:tcPr>
          <w:p w14:paraId="6573145A" w14:textId="6317D215" w:rsidR="00E32D1B" w:rsidRPr="00E31A08" w:rsidRDefault="00E32D1B" w:rsidP="003424E8">
            <w:pPr>
              <w:spacing w:after="0"/>
              <w:jc w:val="center"/>
            </w:pPr>
            <w:r w:rsidRPr="00E31A08">
              <w:rPr>
                <w:rFonts w:cs="Arial"/>
                <w:color w:val="000000"/>
              </w:rPr>
              <w:t>74.3%</w:t>
            </w:r>
          </w:p>
        </w:tc>
        <w:tc>
          <w:tcPr>
            <w:tcW w:w="522" w:type="pct"/>
            <w:shd w:val="clear" w:color="auto" w:fill="auto"/>
            <w:vAlign w:val="center"/>
          </w:tcPr>
          <w:p w14:paraId="0AE0AED8" w14:textId="660CBE25" w:rsidR="00E32D1B" w:rsidRPr="00DF72DF" w:rsidRDefault="00E32D1B" w:rsidP="003424E8">
            <w:pPr>
              <w:spacing w:after="0"/>
              <w:jc w:val="center"/>
              <w:rPr>
                <w:b/>
                <w:bCs/>
              </w:rPr>
            </w:pPr>
            <w:r>
              <w:rPr>
                <w:rFonts w:cs="Arial"/>
                <w:color w:val="000000"/>
              </w:rPr>
              <w:t>79.5%</w:t>
            </w:r>
          </w:p>
        </w:tc>
      </w:tr>
      <w:tr w:rsidR="00AC1FFB" w14:paraId="236C5A96" w14:textId="77777777" w:rsidTr="005677F4">
        <w:trPr>
          <w:jc w:val="center"/>
        </w:trPr>
        <w:tc>
          <w:tcPr>
            <w:tcW w:w="871" w:type="pct"/>
            <w:shd w:val="clear" w:color="auto" w:fill="auto"/>
            <w:vAlign w:val="bottom"/>
          </w:tcPr>
          <w:p w14:paraId="68061FCF" w14:textId="5CAA2D8B" w:rsidR="00E32D1B" w:rsidRDefault="00E32D1B" w:rsidP="00E32D1B">
            <w:pPr>
              <w:spacing w:after="0"/>
            </w:pPr>
            <w:r>
              <w:rPr>
                <w:rFonts w:cs="Arial"/>
                <w:color w:val="000000"/>
              </w:rPr>
              <w:t>Blind/</w:t>
            </w:r>
            <w:r w:rsidR="000A4E2B">
              <w:rPr>
                <w:rFonts w:cs="Arial"/>
                <w:color w:val="000000"/>
              </w:rPr>
              <w:t xml:space="preserve"> </w:t>
            </w:r>
            <w:r>
              <w:rPr>
                <w:rFonts w:cs="Arial"/>
                <w:color w:val="000000"/>
              </w:rPr>
              <w:t>Visually Impaired</w:t>
            </w:r>
          </w:p>
        </w:tc>
        <w:tc>
          <w:tcPr>
            <w:tcW w:w="503" w:type="pct"/>
            <w:shd w:val="clear" w:color="auto" w:fill="auto"/>
            <w:vAlign w:val="center"/>
          </w:tcPr>
          <w:p w14:paraId="4DFF2F3A" w14:textId="61466C8B" w:rsidR="00E32D1B" w:rsidRPr="00E31A08" w:rsidRDefault="00E32D1B" w:rsidP="003424E8">
            <w:pPr>
              <w:spacing w:after="0"/>
              <w:jc w:val="center"/>
            </w:pPr>
            <w:r w:rsidRPr="00E31A08">
              <w:rPr>
                <w:rFonts w:cs="Arial"/>
                <w:color w:val="000000"/>
              </w:rPr>
              <w:t>80.3%</w:t>
            </w:r>
          </w:p>
        </w:tc>
        <w:tc>
          <w:tcPr>
            <w:tcW w:w="689" w:type="pct"/>
            <w:shd w:val="clear" w:color="auto" w:fill="auto"/>
            <w:vAlign w:val="center"/>
          </w:tcPr>
          <w:p w14:paraId="51C3948B" w14:textId="697E27E9" w:rsidR="00E32D1B" w:rsidRPr="00E31A08" w:rsidRDefault="00E32D1B" w:rsidP="003424E8">
            <w:pPr>
              <w:spacing w:after="0"/>
              <w:jc w:val="center"/>
            </w:pPr>
            <w:r w:rsidRPr="00E31A08">
              <w:rPr>
                <w:rFonts w:cs="Arial"/>
                <w:color w:val="000000"/>
              </w:rPr>
              <w:t>79.3%</w:t>
            </w:r>
          </w:p>
        </w:tc>
        <w:tc>
          <w:tcPr>
            <w:tcW w:w="661" w:type="pct"/>
            <w:shd w:val="clear" w:color="auto" w:fill="auto"/>
            <w:vAlign w:val="center"/>
          </w:tcPr>
          <w:p w14:paraId="5726757B" w14:textId="257156CD" w:rsidR="00E32D1B" w:rsidRPr="00E31A08" w:rsidRDefault="00E32D1B" w:rsidP="003424E8">
            <w:pPr>
              <w:spacing w:after="0"/>
              <w:jc w:val="center"/>
            </w:pPr>
            <w:r w:rsidRPr="00E31A08">
              <w:rPr>
                <w:rFonts w:cs="Arial"/>
                <w:color w:val="000000"/>
              </w:rPr>
              <w:t>79.8%</w:t>
            </w:r>
          </w:p>
        </w:tc>
        <w:tc>
          <w:tcPr>
            <w:tcW w:w="621" w:type="pct"/>
            <w:shd w:val="clear" w:color="auto" w:fill="auto"/>
            <w:vAlign w:val="center"/>
          </w:tcPr>
          <w:p w14:paraId="7975D97B" w14:textId="2DFC5FC5" w:rsidR="00E32D1B" w:rsidRPr="00E31A08" w:rsidRDefault="00E32D1B" w:rsidP="003424E8">
            <w:pPr>
              <w:spacing w:after="0"/>
              <w:jc w:val="center"/>
            </w:pPr>
            <w:r w:rsidRPr="00E31A08">
              <w:rPr>
                <w:rFonts w:cs="Arial"/>
                <w:color w:val="000000"/>
              </w:rPr>
              <w:t>77.2%</w:t>
            </w:r>
          </w:p>
        </w:tc>
        <w:tc>
          <w:tcPr>
            <w:tcW w:w="576" w:type="pct"/>
            <w:shd w:val="clear" w:color="auto" w:fill="auto"/>
            <w:vAlign w:val="center"/>
          </w:tcPr>
          <w:p w14:paraId="39252FCE" w14:textId="11044B8B" w:rsidR="00E32D1B" w:rsidRPr="00E31A08" w:rsidRDefault="00E32D1B" w:rsidP="003424E8">
            <w:pPr>
              <w:spacing w:after="0"/>
              <w:jc w:val="center"/>
            </w:pPr>
            <w:r w:rsidRPr="00E31A08">
              <w:rPr>
                <w:rFonts w:cs="Arial"/>
                <w:color w:val="000000"/>
              </w:rPr>
              <w:t>81.5%</w:t>
            </w:r>
          </w:p>
        </w:tc>
        <w:tc>
          <w:tcPr>
            <w:tcW w:w="557" w:type="pct"/>
            <w:shd w:val="clear" w:color="auto" w:fill="auto"/>
            <w:vAlign w:val="center"/>
          </w:tcPr>
          <w:p w14:paraId="62A7CFDF" w14:textId="6F4477D0" w:rsidR="00E32D1B" w:rsidRPr="00E31A08" w:rsidRDefault="00E32D1B" w:rsidP="003424E8">
            <w:pPr>
              <w:spacing w:after="0"/>
              <w:jc w:val="center"/>
            </w:pPr>
            <w:r w:rsidRPr="00E31A08">
              <w:rPr>
                <w:rFonts w:cs="Arial"/>
                <w:color w:val="000000"/>
              </w:rPr>
              <w:t>74.3%</w:t>
            </w:r>
          </w:p>
        </w:tc>
        <w:tc>
          <w:tcPr>
            <w:tcW w:w="522" w:type="pct"/>
            <w:shd w:val="clear" w:color="auto" w:fill="auto"/>
            <w:vAlign w:val="center"/>
          </w:tcPr>
          <w:p w14:paraId="5ADE7647" w14:textId="39094C67" w:rsidR="00E32D1B" w:rsidRPr="00DF72DF" w:rsidRDefault="00E32D1B" w:rsidP="003424E8">
            <w:pPr>
              <w:spacing w:after="0"/>
              <w:jc w:val="center"/>
              <w:rPr>
                <w:b/>
                <w:bCs/>
              </w:rPr>
            </w:pPr>
            <w:r>
              <w:rPr>
                <w:rFonts w:cs="Arial"/>
                <w:color w:val="000000"/>
              </w:rPr>
              <w:t>79.1%</w:t>
            </w:r>
          </w:p>
        </w:tc>
      </w:tr>
      <w:tr w:rsidR="00AC1FFB" w14:paraId="15E01420" w14:textId="77777777" w:rsidTr="005677F4">
        <w:trPr>
          <w:jc w:val="center"/>
        </w:trPr>
        <w:tc>
          <w:tcPr>
            <w:tcW w:w="871" w:type="pct"/>
            <w:shd w:val="clear" w:color="auto" w:fill="auto"/>
            <w:vAlign w:val="bottom"/>
          </w:tcPr>
          <w:p w14:paraId="0EDBE956" w14:textId="7CD3323A" w:rsidR="00E32D1B" w:rsidRDefault="00E32D1B" w:rsidP="00E32D1B">
            <w:pPr>
              <w:spacing w:after="0"/>
            </w:pPr>
            <w:r>
              <w:rPr>
                <w:rFonts w:cs="Arial"/>
                <w:color w:val="000000"/>
              </w:rPr>
              <w:t>Psychiatric Disability</w:t>
            </w:r>
          </w:p>
        </w:tc>
        <w:tc>
          <w:tcPr>
            <w:tcW w:w="503" w:type="pct"/>
            <w:shd w:val="clear" w:color="auto" w:fill="auto"/>
            <w:vAlign w:val="center"/>
          </w:tcPr>
          <w:p w14:paraId="25934E9A" w14:textId="6711B18E" w:rsidR="00E32D1B" w:rsidRPr="00E31A08" w:rsidRDefault="00E32D1B" w:rsidP="003424E8">
            <w:pPr>
              <w:spacing w:after="0"/>
              <w:jc w:val="center"/>
            </w:pPr>
            <w:r w:rsidRPr="00E31A08">
              <w:rPr>
                <w:rFonts w:cs="Arial"/>
                <w:color w:val="000000"/>
              </w:rPr>
              <w:t>80.1%</w:t>
            </w:r>
          </w:p>
        </w:tc>
        <w:tc>
          <w:tcPr>
            <w:tcW w:w="689" w:type="pct"/>
            <w:shd w:val="clear" w:color="auto" w:fill="auto"/>
            <w:vAlign w:val="center"/>
          </w:tcPr>
          <w:p w14:paraId="1F3B32EE" w14:textId="163E97A3" w:rsidR="00E32D1B" w:rsidRPr="00E31A08" w:rsidRDefault="00E32D1B" w:rsidP="003424E8">
            <w:pPr>
              <w:spacing w:after="0"/>
              <w:jc w:val="center"/>
            </w:pPr>
            <w:r w:rsidRPr="00E31A08">
              <w:rPr>
                <w:rFonts w:cs="Arial"/>
                <w:color w:val="000000"/>
              </w:rPr>
              <w:t>79.6%</w:t>
            </w:r>
          </w:p>
        </w:tc>
        <w:tc>
          <w:tcPr>
            <w:tcW w:w="661" w:type="pct"/>
            <w:shd w:val="clear" w:color="auto" w:fill="auto"/>
            <w:vAlign w:val="center"/>
          </w:tcPr>
          <w:p w14:paraId="3D1D84CA" w14:textId="5433B6BC" w:rsidR="00E32D1B" w:rsidRPr="00E31A08" w:rsidRDefault="00E32D1B" w:rsidP="003424E8">
            <w:pPr>
              <w:spacing w:after="0"/>
              <w:jc w:val="center"/>
            </w:pPr>
            <w:r w:rsidRPr="00E31A08">
              <w:rPr>
                <w:rFonts w:cs="Arial"/>
                <w:color w:val="000000"/>
              </w:rPr>
              <w:t>80.8%</w:t>
            </w:r>
          </w:p>
        </w:tc>
        <w:tc>
          <w:tcPr>
            <w:tcW w:w="621" w:type="pct"/>
            <w:shd w:val="clear" w:color="auto" w:fill="auto"/>
            <w:vAlign w:val="center"/>
          </w:tcPr>
          <w:p w14:paraId="307C194B" w14:textId="23622990" w:rsidR="00E32D1B" w:rsidRPr="00E31A08" w:rsidRDefault="00E32D1B" w:rsidP="003424E8">
            <w:pPr>
              <w:spacing w:after="0"/>
              <w:jc w:val="center"/>
            </w:pPr>
            <w:r w:rsidRPr="00E31A08">
              <w:rPr>
                <w:rFonts w:cs="Arial"/>
                <w:color w:val="000000"/>
              </w:rPr>
              <w:t>76.9%</w:t>
            </w:r>
          </w:p>
        </w:tc>
        <w:tc>
          <w:tcPr>
            <w:tcW w:w="576" w:type="pct"/>
            <w:shd w:val="clear" w:color="auto" w:fill="auto"/>
            <w:vAlign w:val="center"/>
          </w:tcPr>
          <w:p w14:paraId="23E318E8" w14:textId="6623C02C" w:rsidR="00E32D1B" w:rsidRPr="00E31A08" w:rsidRDefault="00E32D1B" w:rsidP="003424E8">
            <w:pPr>
              <w:spacing w:after="0"/>
              <w:jc w:val="center"/>
            </w:pPr>
            <w:r w:rsidRPr="00E31A08">
              <w:rPr>
                <w:rFonts w:cs="Arial"/>
                <w:color w:val="000000"/>
              </w:rPr>
              <w:t>75.4%</w:t>
            </w:r>
          </w:p>
        </w:tc>
        <w:tc>
          <w:tcPr>
            <w:tcW w:w="557" w:type="pct"/>
            <w:shd w:val="clear" w:color="auto" w:fill="auto"/>
            <w:vAlign w:val="center"/>
          </w:tcPr>
          <w:p w14:paraId="5A3F3AC5" w14:textId="2C94A927" w:rsidR="00E32D1B" w:rsidRPr="00E31A08" w:rsidRDefault="00E32D1B" w:rsidP="003424E8">
            <w:pPr>
              <w:spacing w:after="0"/>
              <w:jc w:val="center"/>
            </w:pPr>
            <w:r w:rsidRPr="00E31A08">
              <w:rPr>
                <w:rFonts w:cs="Arial"/>
                <w:color w:val="000000"/>
              </w:rPr>
              <w:t>77.1%</w:t>
            </w:r>
          </w:p>
        </w:tc>
        <w:tc>
          <w:tcPr>
            <w:tcW w:w="522" w:type="pct"/>
            <w:shd w:val="clear" w:color="auto" w:fill="auto"/>
            <w:vAlign w:val="center"/>
          </w:tcPr>
          <w:p w14:paraId="46BE8423" w14:textId="0B54EC5B" w:rsidR="00E32D1B" w:rsidRPr="00DF72DF" w:rsidRDefault="00E32D1B" w:rsidP="003424E8">
            <w:pPr>
              <w:spacing w:after="0"/>
              <w:jc w:val="center"/>
              <w:rPr>
                <w:b/>
                <w:bCs/>
              </w:rPr>
            </w:pPr>
            <w:r>
              <w:rPr>
                <w:rFonts w:cs="Arial"/>
                <w:color w:val="000000"/>
              </w:rPr>
              <w:t>78.7%</w:t>
            </w:r>
          </w:p>
        </w:tc>
      </w:tr>
      <w:tr w:rsidR="00AC1FFB" w14:paraId="1C4A7208" w14:textId="77777777" w:rsidTr="005677F4">
        <w:trPr>
          <w:jc w:val="center"/>
        </w:trPr>
        <w:tc>
          <w:tcPr>
            <w:tcW w:w="871" w:type="pct"/>
            <w:shd w:val="clear" w:color="auto" w:fill="auto"/>
            <w:vAlign w:val="bottom"/>
          </w:tcPr>
          <w:p w14:paraId="5070C832" w14:textId="0A2BCEC1" w:rsidR="00E32D1B" w:rsidRDefault="00E32D1B" w:rsidP="00E32D1B">
            <w:pPr>
              <w:spacing w:after="0"/>
            </w:pPr>
            <w:r>
              <w:rPr>
                <w:rFonts w:cs="Arial"/>
                <w:color w:val="000000"/>
              </w:rPr>
              <w:t>Cognitive Impairment</w:t>
            </w:r>
          </w:p>
        </w:tc>
        <w:tc>
          <w:tcPr>
            <w:tcW w:w="503" w:type="pct"/>
            <w:shd w:val="clear" w:color="auto" w:fill="auto"/>
            <w:vAlign w:val="center"/>
          </w:tcPr>
          <w:p w14:paraId="11BD0553" w14:textId="2B31C0B8" w:rsidR="00E32D1B" w:rsidRPr="00E31A08" w:rsidRDefault="00E32D1B" w:rsidP="003424E8">
            <w:pPr>
              <w:spacing w:after="0"/>
              <w:jc w:val="center"/>
            </w:pPr>
            <w:r w:rsidRPr="00E31A08">
              <w:rPr>
                <w:rFonts w:cs="Arial"/>
                <w:color w:val="000000"/>
              </w:rPr>
              <w:t>78.3%</w:t>
            </w:r>
          </w:p>
        </w:tc>
        <w:tc>
          <w:tcPr>
            <w:tcW w:w="689" w:type="pct"/>
            <w:shd w:val="clear" w:color="auto" w:fill="auto"/>
            <w:vAlign w:val="center"/>
          </w:tcPr>
          <w:p w14:paraId="1B820EDB" w14:textId="5D5D8ADE" w:rsidR="00E32D1B" w:rsidRPr="00E31A08" w:rsidRDefault="00E32D1B" w:rsidP="003424E8">
            <w:pPr>
              <w:spacing w:after="0"/>
              <w:jc w:val="center"/>
            </w:pPr>
            <w:r w:rsidRPr="00E31A08">
              <w:rPr>
                <w:rFonts w:cs="Arial"/>
                <w:color w:val="000000"/>
              </w:rPr>
              <w:t>79.9%</w:t>
            </w:r>
          </w:p>
        </w:tc>
        <w:tc>
          <w:tcPr>
            <w:tcW w:w="661" w:type="pct"/>
            <w:shd w:val="clear" w:color="auto" w:fill="auto"/>
            <w:vAlign w:val="center"/>
          </w:tcPr>
          <w:p w14:paraId="6780A8E5" w14:textId="26A20D58" w:rsidR="00E32D1B" w:rsidRPr="00E31A08" w:rsidRDefault="00E32D1B" w:rsidP="003424E8">
            <w:pPr>
              <w:spacing w:after="0"/>
              <w:jc w:val="center"/>
            </w:pPr>
            <w:r w:rsidRPr="00E31A08">
              <w:rPr>
                <w:rFonts w:cs="Arial"/>
                <w:color w:val="000000"/>
              </w:rPr>
              <w:t>79.6%</w:t>
            </w:r>
          </w:p>
        </w:tc>
        <w:tc>
          <w:tcPr>
            <w:tcW w:w="621" w:type="pct"/>
            <w:shd w:val="clear" w:color="auto" w:fill="auto"/>
            <w:vAlign w:val="center"/>
          </w:tcPr>
          <w:p w14:paraId="4DDC4204" w14:textId="783785A2" w:rsidR="00E32D1B" w:rsidRPr="00E31A08" w:rsidRDefault="00E32D1B" w:rsidP="003424E8">
            <w:pPr>
              <w:spacing w:after="0"/>
              <w:jc w:val="center"/>
            </w:pPr>
            <w:r w:rsidRPr="00E31A08">
              <w:rPr>
                <w:rFonts w:cs="Arial"/>
                <w:color w:val="000000"/>
              </w:rPr>
              <w:t>77.3%</w:t>
            </w:r>
          </w:p>
        </w:tc>
        <w:tc>
          <w:tcPr>
            <w:tcW w:w="576" w:type="pct"/>
            <w:shd w:val="clear" w:color="auto" w:fill="auto"/>
            <w:vAlign w:val="center"/>
          </w:tcPr>
          <w:p w14:paraId="15DD71B7" w14:textId="1ADDEEFE" w:rsidR="00E32D1B" w:rsidRPr="00E31A08" w:rsidRDefault="00E32D1B" w:rsidP="003424E8">
            <w:pPr>
              <w:spacing w:after="0"/>
              <w:jc w:val="center"/>
            </w:pPr>
            <w:r w:rsidRPr="00E31A08">
              <w:rPr>
                <w:rFonts w:cs="Arial"/>
                <w:color w:val="000000"/>
              </w:rPr>
              <w:t>72.7%</w:t>
            </w:r>
          </w:p>
        </w:tc>
        <w:tc>
          <w:tcPr>
            <w:tcW w:w="557" w:type="pct"/>
            <w:shd w:val="clear" w:color="auto" w:fill="auto"/>
            <w:vAlign w:val="center"/>
          </w:tcPr>
          <w:p w14:paraId="6B604049" w14:textId="0A0C1AB5" w:rsidR="00E32D1B" w:rsidRPr="00E31A08" w:rsidRDefault="00E32D1B" w:rsidP="003424E8">
            <w:pPr>
              <w:spacing w:after="0"/>
              <w:jc w:val="center"/>
            </w:pPr>
            <w:r w:rsidRPr="00E31A08">
              <w:rPr>
                <w:rFonts w:cs="Arial"/>
                <w:color w:val="000000"/>
              </w:rPr>
              <w:t>68.3%</w:t>
            </w:r>
          </w:p>
        </w:tc>
        <w:tc>
          <w:tcPr>
            <w:tcW w:w="522" w:type="pct"/>
            <w:shd w:val="clear" w:color="auto" w:fill="auto"/>
            <w:vAlign w:val="center"/>
          </w:tcPr>
          <w:p w14:paraId="668F234F" w14:textId="1C214822" w:rsidR="00E32D1B" w:rsidRPr="00DF72DF" w:rsidRDefault="00E32D1B" w:rsidP="003424E8">
            <w:pPr>
              <w:spacing w:after="0"/>
              <w:jc w:val="center"/>
              <w:rPr>
                <w:b/>
                <w:bCs/>
              </w:rPr>
            </w:pPr>
            <w:r>
              <w:rPr>
                <w:rFonts w:cs="Arial"/>
                <w:color w:val="000000"/>
              </w:rPr>
              <w:t>77.8%</w:t>
            </w:r>
          </w:p>
        </w:tc>
      </w:tr>
      <w:tr w:rsidR="00AC1FFB" w14:paraId="1AF575B8" w14:textId="77777777" w:rsidTr="005677F4">
        <w:trPr>
          <w:jc w:val="center"/>
        </w:trPr>
        <w:tc>
          <w:tcPr>
            <w:tcW w:w="871" w:type="pct"/>
            <w:shd w:val="clear" w:color="auto" w:fill="auto"/>
            <w:vAlign w:val="bottom"/>
          </w:tcPr>
          <w:p w14:paraId="6F0558B2" w14:textId="756239EF" w:rsidR="00E32D1B" w:rsidRDefault="00E32D1B" w:rsidP="00E32D1B">
            <w:pPr>
              <w:spacing w:after="0"/>
            </w:pPr>
            <w:r>
              <w:rPr>
                <w:rFonts w:cs="Arial"/>
                <w:color w:val="000000"/>
              </w:rPr>
              <w:t>Disability Not Reported</w:t>
            </w:r>
          </w:p>
        </w:tc>
        <w:tc>
          <w:tcPr>
            <w:tcW w:w="503" w:type="pct"/>
            <w:shd w:val="clear" w:color="auto" w:fill="auto"/>
            <w:vAlign w:val="center"/>
          </w:tcPr>
          <w:p w14:paraId="3B28A2EB" w14:textId="6F48B4C5" w:rsidR="00E32D1B" w:rsidRPr="00E31A08" w:rsidRDefault="00E32D1B" w:rsidP="003424E8">
            <w:pPr>
              <w:spacing w:after="0"/>
              <w:jc w:val="center"/>
            </w:pPr>
            <w:r w:rsidRPr="00E31A08">
              <w:rPr>
                <w:rFonts w:cs="Arial"/>
                <w:color w:val="000000"/>
              </w:rPr>
              <w:t>68.6%</w:t>
            </w:r>
          </w:p>
        </w:tc>
        <w:tc>
          <w:tcPr>
            <w:tcW w:w="689" w:type="pct"/>
            <w:shd w:val="clear" w:color="auto" w:fill="auto"/>
            <w:vAlign w:val="center"/>
          </w:tcPr>
          <w:p w14:paraId="20FEEDC3" w14:textId="1E7FC87E" w:rsidR="00E32D1B" w:rsidRPr="00E31A08" w:rsidRDefault="00E32D1B" w:rsidP="003424E8">
            <w:pPr>
              <w:spacing w:after="0"/>
              <w:jc w:val="center"/>
            </w:pPr>
            <w:r w:rsidRPr="00E31A08">
              <w:rPr>
                <w:rFonts w:cs="Arial"/>
                <w:color w:val="000000"/>
              </w:rPr>
              <w:t>74.9%</w:t>
            </w:r>
          </w:p>
        </w:tc>
        <w:tc>
          <w:tcPr>
            <w:tcW w:w="661" w:type="pct"/>
            <w:shd w:val="clear" w:color="auto" w:fill="auto"/>
            <w:vAlign w:val="center"/>
          </w:tcPr>
          <w:p w14:paraId="6EF403E4" w14:textId="268FB316" w:rsidR="00E32D1B" w:rsidRPr="00E31A08" w:rsidRDefault="00E32D1B" w:rsidP="003424E8">
            <w:pPr>
              <w:spacing w:after="0"/>
              <w:jc w:val="center"/>
            </w:pPr>
            <w:r w:rsidRPr="00E31A08">
              <w:rPr>
                <w:rFonts w:cs="Arial"/>
                <w:color w:val="000000"/>
              </w:rPr>
              <w:t>80.1%</w:t>
            </w:r>
          </w:p>
        </w:tc>
        <w:tc>
          <w:tcPr>
            <w:tcW w:w="621" w:type="pct"/>
            <w:shd w:val="clear" w:color="auto" w:fill="auto"/>
            <w:vAlign w:val="center"/>
          </w:tcPr>
          <w:p w14:paraId="2246288F" w14:textId="40409C07" w:rsidR="00E32D1B" w:rsidRPr="00E31A08" w:rsidRDefault="00E32D1B" w:rsidP="003424E8">
            <w:pPr>
              <w:spacing w:after="0"/>
              <w:jc w:val="center"/>
            </w:pPr>
            <w:r w:rsidRPr="00E31A08">
              <w:rPr>
                <w:rFonts w:cs="Arial"/>
                <w:color w:val="000000"/>
              </w:rPr>
              <w:t>77.1%</w:t>
            </w:r>
          </w:p>
        </w:tc>
        <w:tc>
          <w:tcPr>
            <w:tcW w:w="576" w:type="pct"/>
            <w:shd w:val="clear" w:color="auto" w:fill="auto"/>
            <w:vAlign w:val="center"/>
          </w:tcPr>
          <w:p w14:paraId="788EAA9F" w14:textId="06192EF9" w:rsidR="00E32D1B" w:rsidRPr="00E31A08" w:rsidRDefault="00E32D1B" w:rsidP="003424E8">
            <w:pPr>
              <w:spacing w:after="0"/>
              <w:jc w:val="center"/>
            </w:pPr>
            <w:r w:rsidRPr="00E31A08">
              <w:rPr>
                <w:rFonts w:cs="Arial"/>
                <w:color w:val="000000"/>
              </w:rPr>
              <w:t>86.1%</w:t>
            </w:r>
          </w:p>
        </w:tc>
        <w:tc>
          <w:tcPr>
            <w:tcW w:w="557" w:type="pct"/>
            <w:shd w:val="clear" w:color="auto" w:fill="auto"/>
            <w:vAlign w:val="center"/>
          </w:tcPr>
          <w:p w14:paraId="14348A34" w14:textId="19722F8E" w:rsidR="00E32D1B" w:rsidRPr="00E31A08" w:rsidRDefault="00E32D1B" w:rsidP="003424E8">
            <w:pPr>
              <w:spacing w:after="0"/>
              <w:jc w:val="center"/>
            </w:pPr>
            <w:r w:rsidRPr="00E31A08">
              <w:rPr>
                <w:rFonts w:cs="Arial"/>
                <w:color w:val="000000"/>
              </w:rPr>
              <w:t>67.1%</w:t>
            </w:r>
          </w:p>
        </w:tc>
        <w:tc>
          <w:tcPr>
            <w:tcW w:w="522" w:type="pct"/>
            <w:shd w:val="clear" w:color="auto" w:fill="auto"/>
            <w:vAlign w:val="center"/>
          </w:tcPr>
          <w:p w14:paraId="3EA6AADB" w14:textId="59D54F8D" w:rsidR="00E32D1B" w:rsidRPr="00DF72DF" w:rsidRDefault="00E32D1B" w:rsidP="003424E8">
            <w:pPr>
              <w:spacing w:after="0"/>
              <w:jc w:val="center"/>
              <w:rPr>
                <w:b/>
                <w:bCs/>
              </w:rPr>
            </w:pPr>
            <w:r>
              <w:rPr>
                <w:rFonts w:cs="Arial"/>
                <w:color w:val="000000"/>
              </w:rPr>
              <w:t>77.7%</w:t>
            </w:r>
          </w:p>
        </w:tc>
      </w:tr>
      <w:tr w:rsidR="00AC1FFB" w14:paraId="205AA6FE" w14:textId="77777777" w:rsidTr="005677F4">
        <w:trPr>
          <w:jc w:val="center"/>
        </w:trPr>
        <w:tc>
          <w:tcPr>
            <w:tcW w:w="871" w:type="pct"/>
            <w:shd w:val="clear" w:color="auto" w:fill="auto"/>
            <w:vAlign w:val="bottom"/>
          </w:tcPr>
          <w:p w14:paraId="55B1C55F" w14:textId="7A87FEAA" w:rsidR="00E32D1B" w:rsidRDefault="00E32D1B" w:rsidP="00E32D1B">
            <w:pPr>
              <w:spacing w:after="0"/>
            </w:pPr>
            <w:r>
              <w:rPr>
                <w:rFonts w:cs="Arial"/>
                <w:color w:val="000000"/>
              </w:rPr>
              <w:t>Physical Disability</w:t>
            </w:r>
          </w:p>
        </w:tc>
        <w:tc>
          <w:tcPr>
            <w:tcW w:w="503" w:type="pct"/>
            <w:shd w:val="clear" w:color="auto" w:fill="auto"/>
            <w:vAlign w:val="center"/>
          </w:tcPr>
          <w:p w14:paraId="1FEDA9D3" w14:textId="4C038B63" w:rsidR="00E32D1B" w:rsidRPr="00E31A08" w:rsidRDefault="00E32D1B" w:rsidP="003424E8">
            <w:pPr>
              <w:spacing w:after="0"/>
              <w:jc w:val="center"/>
            </w:pPr>
            <w:r w:rsidRPr="00E31A08">
              <w:rPr>
                <w:rFonts w:cs="Arial"/>
                <w:color w:val="000000"/>
              </w:rPr>
              <w:t>77.7%</w:t>
            </w:r>
          </w:p>
        </w:tc>
        <w:tc>
          <w:tcPr>
            <w:tcW w:w="689" w:type="pct"/>
            <w:shd w:val="clear" w:color="auto" w:fill="auto"/>
            <w:vAlign w:val="center"/>
          </w:tcPr>
          <w:p w14:paraId="7B98D519" w14:textId="14F6DFD8" w:rsidR="00E32D1B" w:rsidRPr="00E31A08" w:rsidRDefault="00E32D1B" w:rsidP="003424E8">
            <w:pPr>
              <w:spacing w:after="0"/>
              <w:jc w:val="center"/>
            </w:pPr>
            <w:r w:rsidRPr="00E31A08">
              <w:rPr>
                <w:rFonts w:cs="Arial"/>
                <w:color w:val="000000"/>
              </w:rPr>
              <w:t>77.2%</w:t>
            </w:r>
          </w:p>
        </w:tc>
        <w:tc>
          <w:tcPr>
            <w:tcW w:w="661" w:type="pct"/>
            <w:shd w:val="clear" w:color="auto" w:fill="auto"/>
            <w:vAlign w:val="center"/>
          </w:tcPr>
          <w:p w14:paraId="31340AEE" w14:textId="43CDC240" w:rsidR="00E32D1B" w:rsidRPr="00E31A08" w:rsidRDefault="00E32D1B" w:rsidP="003424E8">
            <w:pPr>
              <w:spacing w:after="0"/>
              <w:jc w:val="center"/>
            </w:pPr>
            <w:r w:rsidRPr="00E31A08">
              <w:rPr>
                <w:rFonts w:cs="Arial"/>
                <w:color w:val="000000"/>
              </w:rPr>
              <w:t>76.9%</w:t>
            </w:r>
          </w:p>
        </w:tc>
        <w:tc>
          <w:tcPr>
            <w:tcW w:w="621" w:type="pct"/>
            <w:shd w:val="clear" w:color="auto" w:fill="auto"/>
            <w:vAlign w:val="center"/>
          </w:tcPr>
          <w:p w14:paraId="34942733" w14:textId="2AD5B6BE" w:rsidR="00E32D1B" w:rsidRPr="00E31A08" w:rsidRDefault="00E32D1B" w:rsidP="003424E8">
            <w:pPr>
              <w:spacing w:after="0"/>
              <w:jc w:val="center"/>
            </w:pPr>
            <w:r w:rsidRPr="00E31A08">
              <w:rPr>
                <w:rFonts w:cs="Arial"/>
                <w:color w:val="000000"/>
              </w:rPr>
              <w:t>76.5%</w:t>
            </w:r>
          </w:p>
        </w:tc>
        <w:tc>
          <w:tcPr>
            <w:tcW w:w="576" w:type="pct"/>
            <w:shd w:val="clear" w:color="auto" w:fill="auto"/>
            <w:vAlign w:val="center"/>
          </w:tcPr>
          <w:p w14:paraId="32B0A818" w14:textId="4D478E50" w:rsidR="00E32D1B" w:rsidRPr="00E31A08" w:rsidRDefault="00E32D1B" w:rsidP="003424E8">
            <w:pPr>
              <w:spacing w:after="0"/>
              <w:jc w:val="center"/>
            </w:pPr>
            <w:r w:rsidRPr="00E31A08">
              <w:rPr>
                <w:rFonts w:cs="Arial"/>
                <w:color w:val="000000"/>
              </w:rPr>
              <w:t>70.2%</w:t>
            </w:r>
          </w:p>
        </w:tc>
        <w:tc>
          <w:tcPr>
            <w:tcW w:w="557" w:type="pct"/>
            <w:shd w:val="clear" w:color="auto" w:fill="auto"/>
            <w:vAlign w:val="center"/>
          </w:tcPr>
          <w:p w14:paraId="3E2D6F05" w14:textId="157C516A" w:rsidR="00E32D1B" w:rsidRPr="00E31A08" w:rsidRDefault="00E32D1B" w:rsidP="003424E8">
            <w:pPr>
              <w:spacing w:after="0"/>
              <w:jc w:val="center"/>
            </w:pPr>
            <w:r w:rsidRPr="00E31A08">
              <w:rPr>
                <w:rFonts w:cs="Arial"/>
                <w:color w:val="000000"/>
              </w:rPr>
              <w:t>70.7%</w:t>
            </w:r>
          </w:p>
        </w:tc>
        <w:tc>
          <w:tcPr>
            <w:tcW w:w="522" w:type="pct"/>
            <w:shd w:val="clear" w:color="auto" w:fill="auto"/>
            <w:vAlign w:val="center"/>
          </w:tcPr>
          <w:p w14:paraId="7008E589" w14:textId="4715BAFD" w:rsidR="00E32D1B" w:rsidRPr="00DF72DF" w:rsidRDefault="00E32D1B" w:rsidP="003424E8">
            <w:pPr>
              <w:spacing w:after="0"/>
              <w:jc w:val="center"/>
              <w:rPr>
                <w:b/>
                <w:bCs/>
              </w:rPr>
            </w:pPr>
            <w:r>
              <w:rPr>
                <w:rFonts w:cs="Arial"/>
                <w:color w:val="000000"/>
              </w:rPr>
              <w:t>75.9%</w:t>
            </w:r>
          </w:p>
        </w:tc>
      </w:tr>
      <w:tr w:rsidR="00AC1FFB" w14:paraId="710191E6" w14:textId="77777777" w:rsidTr="005677F4">
        <w:trPr>
          <w:jc w:val="center"/>
        </w:trPr>
        <w:tc>
          <w:tcPr>
            <w:tcW w:w="871" w:type="pct"/>
            <w:shd w:val="clear" w:color="auto" w:fill="auto"/>
            <w:vAlign w:val="bottom"/>
          </w:tcPr>
          <w:p w14:paraId="50C5193E" w14:textId="07A219EC" w:rsidR="00E32D1B" w:rsidRDefault="00E32D1B" w:rsidP="00E32D1B">
            <w:pPr>
              <w:spacing w:after="0"/>
            </w:pPr>
            <w:r>
              <w:rPr>
                <w:rFonts w:cs="Arial"/>
                <w:color w:val="000000"/>
              </w:rPr>
              <w:t>Intellectual/</w:t>
            </w:r>
            <w:r w:rsidR="000A4E2B">
              <w:rPr>
                <w:rFonts w:cs="Arial"/>
                <w:color w:val="000000"/>
              </w:rPr>
              <w:t xml:space="preserve"> </w:t>
            </w:r>
            <w:r>
              <w:rPr>
                <w:rFonts w:cs="Arial"/>
                <w:color w:val="000000"/>
              </w:rPr>
              <w:t>Dev. Disability</w:t>
            </w:r>
          </w:p>
        </w:tc>
        <w:tc>
          <w:tcPr>
            <w:tcW w:w="503" w:type="pct"/>
            <w:shd w:val="clear" w:color="auto" w:fill="auto"/>
            <w:vAlign w:val="center"/>
          </w:tcPr>
          <w:p w14:paraId="3466377E" w14:textId="55D9FFD0" w:rsidR="00E32D1B" w:rsidRPr="00E31A08" w:rsidRDefault="00E32D1B" w:rsidP="003424E8">
            <w:pPr>
              <w:spacing w:after="0"/>
              <w:jc w:val="center"/>
            </w:pPr>
            <w:r w:rsidRPr="00E31A08">
              <w:rPr>
                <w:rFonts w:cs="Arial"/>
                <w:color w:val="000000"/>
              </w:rPr>
              <w:t>78.5%</w:t>
            </w:r>
          </w:p>
        </w:tc>
        <w:tc>
          <w:tcPr>
            <w:tcW w:w="689" w:type="pct"/>
            <w:shd w:val="clear" w:color="auto" w:fill="auto"/>
            <w:vAlign w:val="center"/>
          </w:tcPr>
          <w:p w14:paraId="506B99B1" w14:textId="2185CF15" w:rsidR="00E32D1B" w:rsidRPr="00E31A08" w:rsidRDefault="00E32D1B" w:rsidP="003424E8">
            <w:pPr>
              <w:spacing w:after="0"/>
              <w:jc w:val="center"/>
            </w:pPr>
            <w:r w:rsidRPr="00E31A08">
              <w:rPr>
                <w:rFonts w:cs="Arial"/>
                <w:color w:val="000000"/>
              </w:rPr>
              <w:t>78.0%</w:t>
            </w:r>
          </w:p>
        </w:tc>
        <w:tc>
          <w:tcPr>
            <w:tcW w:w="661" w:type="pct"/>
            <w:shd w:val="clear" w:color="auto" w:fill="auto"/>
            <w:vAlign w:val="center"/>
          </w:tcPr>
          <w:p w14:paraId="4AF3E8A0" w14:textId="5724B6E5" w:rsidR="00E32D1B" w:rsidRPr="00E31A08" w:rsidRDefault="00E32D1B" w:rsidP="003424E8">
            <w:pPr>
              <w:spacing w:after="0"/>
              <w:jc w:val="center"/>
            </w:pPr>
            <w:r w:rsidRPr="00E31A08">
              <w:rPr>
                <w:rFonts w:cs="Arial"/>
                <w:color w:val="000000"/>
              </w:rPr>
              <w:t>79.6%</w:t>
            </w:r>
          </w:p>
        </w:tc>
        <w:tc>
          <w:tcPr>
            <w:tcW w:w="621" w:type="pct"/>
            <w:shd w:val="clear" w:color="auto" w:fill="auto"/>
            <w:vAlign w:val="center"/>
          </w:tcPr>
          <w:p w14:paraId="0A302D5A" w14:textId="4AD7D42F" w:rsidR="00E32D1B" w:rsidRPr="00E31A08" w:rsidRDefault="00E32D1B" w:rsidP="003424E8">
            <w:pPr>
              <w:spacing w:after="0"/>
              <w:jc w:val="center"/>
            </w:pPr>
            <w:r w:rsidRPr="00E31A08">
              <w:rPr>
                <w:rFonts w:cs="Arial"/>
                <w:color w:val="000000"/>
              </w:rPr>
              <w:t>72.5%</w:t>
            </w:r>
          </w:p>
        </w:tc>
        <w:tc>
          <w:tcPr>
            <w:tcW w:w="576" w:type="pct"/>
            <w:shd w:val="clear" w:color="auto" w:fill="auto"/>
            <w:vAlign w:val="center"/>
          </w:tcPr>
          <w:p w14:paraId="75488665" w14:textId="2B103822" w:rsidR="00E32D1B" w:rsidRPr="00E31A08" w:rsidRDefault="00E32D1B" w:rsidP="003424E8">
            <w:pPr>
              <w:spacing w:after="0"/>
              <w:jc w:val="center"/>
            </w:pPr>
            <w:r w:rsidRPr="00E31A08">
              <w:rPr>
                <w:rFonts w:cs="Arial"/>
                <w:color w:val="000000"/>
              </w:rPr>
              <w:t>69.2%</w:t>
            </w:r>
          </w:p>
        </w:tc>
        <w:tc>
          <w:tcPr>
            <w:tcW w:w="557" w:type="pct"/>
            <w:shd w:val="clear" w:color="auto" w:fill="auto"/>
            <w:vAlign w:val="center"/>
          </w:tcPr>
          <w:p w14:paraId="7A58D370" w14:textId="26C50316" w:rsidR="00E32D1B" w:rsidRPr="00E31A08" w:rsidRDefault="00E32D1B" w:rsidP="003424E8">
            <w:pPr>
              <w:spacing w:after="0"/>
              <w:jc w:val="center"/>
            </w:pPr>
            <w:r w:rsidRPr="00E31A08">
              <w:rPr>
                <w:rFonts w:cs="Arial"/>
                <w:color w:val="000000"/>
              </w:rPr>
              <w:t>68.7%</w:t>
            </w:r>
          </w:p>
        </w:tc>
        <w:tc>
          <w:tcPr>
            <w:tcW w:w="522" w:type="pct"/>
            <w:shd w:val="clear" w:color="auto" w:fill="auto"/>
            <w:vAlign w:val="center"/>
          </w:tcPr>
          <w:p w14:paraId="3CB46E8B" w14:textId="71B73F5D" w:rsidR="00E32D1B" w:rsidRPr="00DF72DF" w:rsidRDefault="00E32D1B" w:rsidP="003424E8">
            <w:pPr>
              <w:spacing w:after="0"/>
              <w:jc w:val="center"/>
              <w:rPr>
                <w:b/>
                <w:bCs/>
              </w:rPr>
            </w:pPr>
            <w:r>
              <w:rPr>
                <w:rFonts w:cs="Arial"/>
                <w:color w:val="000000"/>
              </w:rPr>
              <w:t>75.6%</w:t>
            </w:r>
          </w:p>
        </w:tc>
      </w:tr>
      <w:tr w:rsidR="00C37CF9" w14:paraId="07E385D4" w14:textId="77777777" w:rsidTr="005677F4">
        <w:trPr>
          <w:jc w:val="center"/>
        </w:trPr>
        <w:tc>
          <w:tcPr>
            <w:tcW w:w="871" w:type="pct"/>
            <w:shd w:val="clear" w:color="auto" w:fill="auto"/>
            <w:vAlign w:val="bottom"/>
          </w:tcPr>
          <w:p w14:paraId="717C41E6" w14:textId="1E06D730" w:rsidR="00E32D1B" w:rsidRDefault="00E32D1B" w:rsidP="00E32D1B">
            <w:pPr>
              <w:spacing w:after="0"/>
              <w:rPr>
                <w:rFonts w:cs="Arial"/>
                <w:color w:val="000000"/>
              </w:rPr>
            </w:pPr>
            <w:r>
              <w:rPr>
                <w:rFonts w:cs="Arial"/>
                <w:color w:val="000000"/>
              </w:rPr>
              <w:t>Traumatic Brain Injury</w:t>
            </w:r>
          </w:p>
        </w:tc>
        <w:tc>
          <w:tcPr>
            <w:tcW w:w="503" w:type="pct"/>
            <w:shd w:val="clear" w:color="auto" w:fill="auto"/>
            <w:vAlign w:val="center"/>
          </w:tcPr>
          <w:p w14:paraId="46F906F8" w14:textId="0779FE6B" w:rsidR="00E32D1B" w:rsidRPr="00E31A08" w:rsidRDefault="00E32D1B" w:rsidP="003424E8">
            <w:pPr>
              <w:spacing w:after="0"/>
              <w:jc w:val="center"/>
              <w:rPr>
                <w:rFonts w:cs="Arial"/>
                <w:color w:val="000000"/>
              </w:rPr>
            </w:pPr>
            <w:r w:rsidRPr="00E31A08">
              <w:rPr>
                <w:rFonts w:cs="Arial"/>
                <w:color w:val="000000"/>
              </w:rPr>
              <w:t>74.4%</w:t>
            </w:r>
          </w:p>
        </w:tc>
        <w:tc>
          <w:tcPr>
            <w:tcW w:w="689" w:type="pct"/>
            <w:shd w:val="clear" w:color="auto" w:fill="auto"/>
            <w:vAlign w:val="center"/>
          </w:tcPr>
          <w:p w14:paraId="5A8D4005" w14:textId="6E220844" w:rsidR="00E32D1B" w:rsidRPr="00E31A08" w:rsidRDefault="00E32D1B" w:rsidP="003424E8">
            <w:pPr>
              <w:spacing w:after="0"/>
              <w:jc w:val="center"/>
              <w:rPr>
                <w:rFonts w:cs="Arial"/>
                <w:color w:val="000000"/>
              </w:rPr>
            </w:pPr>
            <w:r w:rsidRPr="00E31A08">
              <w:rPr>
                <w:rFonts w:cs="Arial"/>
                <w:color w:val="000000"/>
              </w:rPr>
              <w:t>74.1%</w:t>
            </w:r>
          </w:p>
        </w:tc>
        <w:tc>
          <w:tcPr>
            <w:tcW w:w="661" w:type="pct"/>
            <w:shd w:val="clear" w:color="auto" w:fill="auto"/>
            <w:vAlign w:val="center"/>
          </w:tcPr>
          <w:p w14:paraId="77DDD72E" w14:textId="2AA3F7CA" w:rsidR="00E32D1B" w:rsidRPr="00E31A08" w:rsidRDefault="00E32D1B" w:rsidP="003424E8">
            <w:pPr>
              <w:spacing w:after="0"/>
              <w:jc w:val="center"/>
              <w:rPr>
                <w:rFonts w:cs="Arial"/>
                <w:color w:val="000000"/>
              </w:rPr>
            </w:pPr>
            <w:r w:rsidRPr="00E31A08">
              <w:rPr>
                <w:rFonts w:cs="Arial"/>
                <w:color w:val="000000"/>
              </w:rPr>
              <w:t>72.9%</w:t>
            </w:r>
          </w:p>
        </w:tc>
        <w:tc>
          <w:tcPr>
            <w:tcW w:w="621" w:type="pct"/>
            <w:shd w:val="clear" w:color="auto" w:fill="auto"/>
            <w:vAlign w:val="center"/>
          </w:tcPr>
          <w:p w14:paraId="1494F7F9" w14:textId="6F65C730" w:rsidR="00E32D1B" w:rsidRPr="00E31A08" w:rsidRDefault="00E32D1B" w:rsidP="003424E8">
            <w:pPr>
              <w:spacing w:after="0"/>
              <w:jc w:val="center"/>
              <w:rPr>
                <w:rFonts w:cs="Arial"/>
                <w:color w:val="000000"/>
              </w:rPr>
            </w:pPr>
            <w:r w:rsidRPr="00E31A08">
              <w:rPr>
                <w:rFonts w:cs="Arial"/>
                <w:color w:val="000000"/>
              </w:rPr>
              <w:t>72.1%</w:t>
            </w:r>
          </w:p>
        </w:tc>
        <w:tc>
          <w:tcPr>
            <w:tcW w:w="576" w:type="pct"/>
            <w:shd w:val="clear" w:color="auto" w:fill="auto"/>
            <w:vAlign w:val="center"/>
          </w:tcPr>
          <w:p w14:paraId="31F9D377" w14:textId="2E976F3B" w:rsidR="00E32D1B" w:rsidRPr="00E31A08" w:rsidRDefault="00E32D1B" w:rsidP="003424E8">
            <w:pPr>
              <w:spacing w:after="0"/>
              <w:jc w:val="center"/>
              <w:rPr>
                <w:rFonts w:cs="Arial"/>
                <w:color w:val="000000"/>
              </w:rPr>
            </w:pPr>
            <w:r w:rsidRPr="00E31A08">
              <w:rPr>
                <w:rFonts w:cs="Arial"/>
                <w:color w:val="000000"/>
              </w:rPr>
              <w:t>70.1%</w:t>
            </w:r>
          </w:p>
        </w:tc>
        <w:tc>
          <w:tcPr>
            <w:tcW w:w="557" w:type="pct"/>
            <w:shd w:val="clear" w:color="auto" w:fill="auto"/>
            <w:vAlign w:val="center"/>
          </w:tcPr>
          <w:p w14:paraId="5832450F" w14:textId="0292E867" w:rsidR="00E32D1B" w:rsidRPr="00E31A08" w:rsidRDefault="00E32D1B" w:rsidP="003424E8">
            <w:pPr>
              <w:spacing w:after="0"/>
              <w:jc w:val="center"/>
              <w:rPr>
                <w:rFonts w:cs="Arial"/>
                <w:color w:val="000000"/>
              </w:rPr>
            </w:pPr>
            <w:r w:rsidRPr="00E31A08">
              <w:rPr>
                <w:rFonts w:cs="Arial"/>
                <w:color w:val="000000"/>
              </w:rPr>
              <w:t>64.9%</w:t>
            </w:r>
          </w:p>
        </w:tc>
        <w:tc>
          <w:tcPr>
            <w:tcW w:w="522" w:type="pct"/>
            <w:shd w:val="clear" w:color="auto" w:fill="auto"/>
            <w:vAlign w:val="center"/>
          </w:tcPr>
          <w:p w14:paraId="1B903F92" w14:textId="58EA7336" w:rsidR="00E32D1B" w:rsidRPr="00DF72DF" w:rsidRDefault="00E32D1B" w:rsidP="003424E8">
            <w:pPr>
              <w:spacing w:after="0"/>
              <w:jc w:val="center"/>
              <w:rPr>
                <w:rFonts w:cs="Arial"/>
                <w:b/>
                <w:bCs/>
                <w:color w:val="000000"/>
              </w:rPr>
            </w:pPr>
            <w:r>
              <w:rPr>
                <w:rFonts w:cs="Arial"/>
                <w:color w:val="000000"/>
              </w:rPr>
              <w:t>72.5%</w:t>
            </w:r>
          </w:p>
        </w:tc>
      </w:tr>
    </w:tbl>
    <w:p w14:paraId="34D25476" w14:textId="50164006" w:rsidR="00782C29" w:rsidRDefault="00AB58AC" w:rsidP="00635226">
      <w:pPr>
        <w:pStyle w:val="SectionSub-Headings"/>
      </w:pPr>
      <w:bookmarkStart w:id="30" w:name="_Toc90632191"/>
      <w:r>
        <w:t xml:space="preserve">Survey </w:t>
      </w:r>
      <w:r w:rsidR="00782C29">
        <w:t>Results by</w:t>
      </w:r>
      <w:r w:rsidR="00946325">
        <w:t xml:space="preserve"> Consumer</w:t>
      </w:r>
      <w:r w:rsidR="00782C29">
        <w:t xml:space="preserve"> Age Range</w:t>
      </w:r>
      <w:bookmarkEnd w:id="30"/>
    </w:p>
    <w:p w14:paraId="4FB3B166" w14:textId="233A6AB3" w:rsidR="0081531B" w:rsidRDefault="007D7FC8" w:rsidP="00635226">
      <w:pPr>
        <w:pStyle w:val="SectionSub-HeadingsTopics"/>
        <w:numPr>
          <w:ilvl w:val="0"/>
          <w:numId w:val="14"/>
        </w:numPr>
      </w:pPr>
      <w:bookmarkStart w:id="31" w:name="_Toc90632192"/>
      <w:r>
        <w:t xml:space="preserve">Survey </w:t>
      </w:r>
      <w:r w:rsidR="00D73900">
        <w:t>Responses by Consumer Age Range</w:t>
      </w:r>
      <w:bookmarkEnd w:id="31"/>
    </w:p>
    <w:p w14:paraId="4952364D" w14:textId="3051DA2A" w:rsidR="00870427" w:rsidRDefault="0035053A" w:rsidP="0081531B">
      <w:r>
        <w:t xml:space="preserve">The CSS asked participants to report their ages. </w:t>
      </w:r>
      <w:r w:rsidR="00985AE4">
        <w:t xml:space="preserve">The percent of DOR consumers served is compared to the percent of CSS responses received </w:t>
      </w:r>
      <w:r w:rsidR="00B25664">
        <w:t xml:space="preserve">based on consumer ages below </w:t>
      </w:r>
      <w:r w:rsidR="00B25664" w:rsidRPr="00702695">
        <w:t xml:space="preserve">(Figure 10, Table </w:t>
      </w:r>
      <w:r w:rsidR="00702695" w:rsidRPr="00702695">
        <w:t>15</w:t>
      </w:r>
      <w:r w:rsidR="00B25664">
        <w:t>).</w:t>
      </w:r>
    </w:p>
    <w:p w14:paraId="5F474400" w14:textId="77777777" w:rsidR="004701D7" w:rsidRDefault="004541EF" w:rsidP="00BC1C24">
      <w:r>
        <w:t xml:space="preserve">The survey received ages from </w:t>
      </w:r>
      <w:r w:rsidR="008A1A4F">
        <w:t>98.8% of participants</w:t>
      </w:r>
      <w:r w:rsidR="00A71FBD">
        <w:t xml:space="preserve"> and their</w:t>
      </w:r>
      <w:r w:rsidR="008A1A4F">
        <w:t xml:space="preserve"> ages ranged from 16-93 years old</w:t>
      </w:r>
      <w:r w:rsidR="00A71FBD">
        <w:t xml:space="preserve">. </w:t>
      </w:r>
      <w:r w:rsidR="00BC1C24">
        <w:t xml:space="preserve">The average age </w:t>
      </w:r>
      <w:r w:rsidR="00A71FBD">
        <w:t>of all</w:t>
      </w:r>
      <w:r w:rsidR="00BC1C24">
        <w:t xml:space="preserve"> survey participants was 39 years old</w:t>
      </w:r>
      <w:r w:rsidR="00A71FBD">
        <w:t xml:space="preserve">. </w:t>
      </w:r>
      <w:r w:rsidR="00E03B94">
        <w:t xml:space="preserve">Interestingly, 23.9% of participants are considered </w:t>
      </w:r>
      <w:r w:rsidR="00BC1C24">
        <w:t xml:space="preserve">youths (ages 16-24 years old). </w:t>
      </w:r>
    </w:p>
    <w:p w14:paraId="527C7C1C" w14:textId="239DCBBC" w:rsidR="00BC1C24" w:rsidRDefault="004701D7" w:rsidP="00BC1C24">
      <w:r>
        <w:t>Survey invitations were sent to consumers based on their DOR district and did not account for age</w:t>
      </w:r>
      <w:r w:rsidR="00360487">
        <w:t>. This explains why the age distribution of survey responses do not align with that of DOR’s total population.</w:t>
      </w:r>
    </w:p>
    <w:p w14:paraId="0CB227AD" w14:textId="77777777" w:rsidR="00BC1C24" w:rsidRDefault="00BC1C24" w:rsidP="006C7124">
      <w:pPr>
        <w:pStyle w:val="FigureTitle"/>
        <w:ind w:left="1710" w:hanging="1710"/>
      </w:pPr>
      <w:r w:rsidRPr="00C03CB0">
        <w:lastRenderedPageBreak/>
        <w:t>Comparison</w:t>
      </w:r>
      <w:r>
        <w:t xml:space="preserve"> of Consumer Satisfaction Survey Population Size and </w:t>
      </w:r>
      <w:r w:rsidRPr="00C03CB0">
        <w:t>Responses</w:t>
      </w:r>
      <w:r>
        <w:t xml:space="preserve"> Age</w:t>
      </w:r>
    </w:p>
    <w:p w14:paraId="29A8C1BC" w14:textId="77777777" w:rsidR="00BC1C24" w:rsidRDefault="00BC1C24" w:rsidP="00BC1C24">
      <w:pPr>
        <w:jc w:val="center"/>
      </w:pPr>
      <w:r>
        <w:rPr>
          <w:noProof/>
        </w:rPr>
        <w:drawing>
          <wp:inline distT="0" distB="0" distL="0" distR="0" wp14:anchorId="59245296" wp14:editId="0CA2CCD4">
            <wp:extent cx="6858000" cy="3332412"/>
            <wp:effectExtent l="19050" t="19050" r="19050" b="20955"/>
            <wp:docPr id="7" name="Picture 7" descr="Figure 10 Description:   The percent of total DOR population (109,845 consumers, Panel A) and the percent of total CSS responses received (849 responses, Panel B) by age range are illustrated using bar charts. Figure data are listed in table format below (Tabl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10 Description:   The percent of total DOR population (109,845 consumers, Panel A) and the percent of total CSS responses received (849 responses, Panel B) by age range are illustrated using bar charts. Figure data are listed in table format below (Tabl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332412"/>
                    </a:xfrm>
                    <a:prstGeom prst="rect">
                      <a:avLst/>
                    </a:prstGeom>
                    <a:noFill/>
                    <a:ln>
                      <a:solidFill>
                        <a:schemeClr val="bg1">
                          <a:lumMod val="75000"/>
                        </a:schemeClr>
                      </a:solidFill>
                    </a:ln>
                  </pic:spPr>
                </pic:pic>
              </a:graphicData>
            </a:graphic>
          </wp:inline>
        </w:drawing>
      </w:r>
    </w:p>
    <w:p w14:paraId="4A1D1161" w14:textId="4307AC0B" w:rsidR="00BC1C24" w:rsidRDefault="00BC1C24" w:rsidP="002C6E93">
      <w:pPr>
        <w:pStyle w:val="FigureFootnotes"/>
        <w:ind w:left="1170"/>
        <w:jc w:val="left"/>
      </w:pPr>
      <w:r>
        <w:t xml:space="preserve">The percent of </w:t>
      </w:r>
      <w:r w:rsidR="00E63855">
        <w:t xml:space="preserve">total DOR </w:t>
      </w:r>
      <w:r>
        <w:t>population (</w:t>
      </w:r>
      <w:r w:rsidR="00E63855">
        <w:t xml:space="preserve">109,845 </w:t>
      </w:r>
      <w:r w:rsidR="00E63855" w:rsidRPr="00450CF5">
        <w:t>consumers</w:t>
      </w:r>
      <w:r w:rsidR="00477C04" w:rsidRPr="00450CF5">
        <w:t>, Panel A</w:t>
      </w:r>
      <w:r w:rsidRPr="00450CF5">
        <w:t xml:space="preserve">) and </w:t>
      </w:r>
      <w:r w:rsidR="00477C04" w:rsidRPr="00450CF5">
        <w:t xml:space="preserve">the percent of total CSS </w:t>
      </w:r>
      <w:r w:rsidRPr="00450CF5">
        <w:t>responses received (</w:t>
      </w:r>
      <w:r w:rsidR="00477C04" w:rsidRPr="00450CF5">
        <w:t xml:space="preserve">849 responses, Panel </w:t>
      </w:r>
      <w:r w:rsidRPr="00450CF5">
        <w:t>B) by age range are illustrated using bar charts. Figure data are listed in table format below (</w:t>
      </w:r>
      <w:r w:rsidRPr="00702695">
        <w:t xml:space="preserve">Table </w:t>
      </w:r>
      <w:r w:rsidR="00702695">
        <w:t>15</w:t>
      </w:r>
      <w:r w:rsidRPr="00450CF5">
        <w:t>).</w:t>
      </w:r>
    </w:p>
    <w:p w14:paraId="58308609" w14:textId="77777777" w:rsidR="00BC1C24" w:rsidRDefault="00BC1C24" w:rsidP="00BC1C24">
      <w:pPr>
        <w:pStyle w:val="TableTitle"/>
      </w:pPr>
      <w:r>
        <w:t>Comparison of Consumer Satisfaction Survey Population Size and Responses by Age</w:t>
      </w:r>
    </w:p>
    <w:tbl>
      <w:tblPr>
        <w:tblStyle w:val="TableGrid"/>
        <w:tblW w:w="7532" w:type="dxa"/>
        <w:jc w:val="center"/>
        <w:tblLook w:val="04A0" w:firstRow="1" w:lastRow="0" w:firstColumn="1" w:lastColumn="0" w:noHBand="0" w:noVBand="1"/>
      </w:tblPr>
      <w:tblGrid>
        <w:gridCol w:w="2562"/>
        <w:gridCol w:w="2485"/>
        <w:gridCol w:w="2485"/>
      </w:tblGrid>
      <w:tr w:rsidR="00BC1C24" w:rsidRPr="004D6325" w14:paraId="7474113D" w14:textId="77777777" w:rsidTr="008013D9">
        <w:trPr>
          <w:trHeight w:val="411"/>
          <w:jc w:val="center"/>
        </w:trPr>
        <w:tc>
          <w:tcPr>
            <w:tcW w:w="2562" w:type="dxa"/>
            <w:shd w:val="clear" w:color="auto" w:fill="00407B" w:themeFill="accent1" w:themeFillShade="BF"/>
            <w:noWrap/>
            <w:hideMark/>
          </w:tcPr>
          <w:p w14:paraId="5892F244" w14:textId="77777777" w:rsidR="00BC1C24" w:rsidRDefault="00BC1C24" w:rsidP="006B7248">
            <w:pPr>
              <w:spacing w:after="0"/>
              <w:rPr>
                <w:rFonts w:eastAsia="Times New Roman" w:cs="Arial"/>
                <w:b/>
                <w:bCs/>
                <w:color w:val="FFFFFF" w:themeColor="background1"/>
              </w:rPr>
            </w:pPr>
            <w:r w:rsidRPr="004D6325">
              <w:rPr>
                <w:rFonts w:eastAsia="Times New Roman" w:cs="Arial"/>
                <w:b/>
                <w:bCs/>
                <w:color w:val="FFFFFF" w:themeColor="background1"/>
              </w:rPr>
              <w:t>Age</w:t>
            </w:r>
            <w:r>
              <w:rPr>
                <w:rFonts w:eastAsia="Times New Roman" w:cs="Arial"/>
                <w:b/>
                <w:bCs/>
                <w:color w:val="FFFFFF" w:themeColor="background1"/>
              </w:rPr>
              <w:t xml:space="preserve"> Range</w:t>
            </w:r>
          </w:p>
          <w:p w14:paraId="1865033B" w14:textId="77777777" w:rsidR="00BC1C24" w:rsidRPr="00DB64BB" w:rsidRDefault="00BC1C24" w:rsidP="006B7248">
            <w:pPr>
              <w:spacing w:after="0"/>
              <w:rPr>
                <w:rFonts w:eastAsia="Times New Roman" w:cs="Arial"/>
                <w:color w:val="FFFFFF" w:themeColor="background1"/>
              </w:rPr>
            </w:pPr>
            <w:r>
              <w:rPr>
                <w:rFonts w:eastAsia="Times New Roman" w:cs="Arial"/>
                <w:color w:val="FFFFFF" w:themeColor="background1"/>
              </w:rPr>
              <w:t>(Years Old)</w:t>
            </w:r>
          </w:p>
        </w:tc>
        <w:tc>
          <w:tcPr>
            <w:tcW w:w="2485" w:type="dxa"/>
            <w:shd w:val="clear" w:color="auto" w:fill="00407B" w:themeFill="accent1" w:themeFillShade="BF"/>
          </w:tcPr>
          <w:p w14:paraId="7639B0D1" w14:textId="741F5487" w:rsidR="00BC1C24" w:rsidRDefault="00BC1C24" w:rsidP="006B7248">
            <w:pPr>
              <w:spacing w:after="0"/>
              <w:jc w:val="center"/>
              <w:rPr>
                <w:rFonts w:eastAsia="Times New Roman" w:cs="Arial"/>
                <w:b/>
                <w:bCs/>
                <w:color w:val="FFFFFF" w:themeColor="background1"/>
              </w:rPr>
            </w:pPr>
            <w:r>
              <w:rPr>
                <w:rFonts w:eastAsia="Times New Roman" w:cs="Arial"/>
                <w:b/>
                <w:bCs/>
                <w:color w:val="FFFFFF" w:themeColor="background1"/>
              </w:rPr>
              <w:t>Population</w:t>
            </w:r>
          </w:p>
          <w:p w14:paraId="1E413F95" w14:textId="77777777" w:rsidR="00BC1C24" w:rsidRPr="00634091" w:rsidRDefault="00BC1C24" w:rsidP="006B7248">
            <w:pPr>
              <w:spacing w:after="0"/>
              <w:jc w:val="center"/>
              <w:rPr>
                <w:rFonts w:eastAsia="Times New Roman" w:cs="Arial"/>
                <w:color w:val="FFFFFF" w:themeColor="background1"/>
              </w:rPr>
            </w:pPr>
            <w:r>
              <w:rPr>
                <w:rFonts w:eastAsia="Times New Roman" w:cs="Arial"/>
                <w:color w:val="FFFFFF" w:themeColor="background1"/>
              </w:rPr>
              <w:t>(Percent of Total)</w:t>
            </w:r>
          </w:p>
        </w:tc>
        <w:tc>
          <w:tcPr>
            <w:tcW w:w="2485" w:type="dxa"/>
            <w:shd w:val="clear" w:color="auto" w:fill="00407B" w:themeFill="accent1" w:themeFillShade="BF"/>
          </w:tcPr>
          <w:p w14:paraId="48310222" w14:textId="70FAB653" w:rsidR="00BC1C24" w:rsidRDefault="00BC1C24" w:rsidP="006B7248">
            <w:pPr>
              <w:spacing w:after="0"/>
              <w:jc w:val="center"/>
              <w:rPr>
                <w:rFonts w:eastAsia="Times New Roman" w:cs="Arial"/>
                <w:b/>
                <w:bCs/>
                <w:color w:val="FFFFFF" w:themeColor="background1"/>
                <w:vertAlign w:val="superscript"/>
              </w:rPr>
            </w:pPr>
            <w:r w:rsidRPr="004D6325">
              <w:rPr>
                <w:rFonts w:eastAsia="Times New Roman" w:cs="Arial"/>
                <w:b/>
                <w:bCs/>
                <w:color w:val="FFFFFF" w:themeColor="background1"/>
              </w:rPr>
              <w:t>Responses</w:t>
            </w:r>
          </w:p>
          <w:p w14:paraId="1B2BA560" w14:textId="77777777" w:rsidR="00BC1C24" w:rsidRPr="004D6325" w:rsidRDefault="00BC1C24" w:rsidP="006B7248">
            <w:pPr>
              <w:spacing w:after="0"/>
              <w:jc w:val="center"/>
              <w:rPr>
                <w:rFonts w:eastAsia="Times New Roman" w:cs="Arial"/>
                <w:b/>
                <w:bCs/>
                <w:color w:val="FFFFFF" w:themeColor="background1"/>
              </w:rPr>
            </w:pPr>
            <w:r>
              <w:rPr>
                <w:rFonts w:eastAsia="Times New Roman" w:cs="Arial"/>
                <w:color w:val="FFFFFF" w:themeColor="background1"/>
              </w:rPr>
              <w:t>(Percent of Total)</w:t>
            </w:r>
          </w:p>
        </w:tc>
      </w:tr>
      <w:tr w:rsidR="00BC1C24" w:rsidRPr="003A51D7" w14:paraId="31BF65AA" w14:textId="77777777" w:rsidTr="008013D9">
        <w:trPr>
          <w:trHeight w:val="288"/>
          <w:jc w:val="center"/>
        </w:trPr>
        <w:tc>
          <w:tcPr>
            <w:tcW w:w="2562" w:type="dxa"/>
            <w:noWrap/>
            <w:hideMark/>
          </w:tcPr>
          <w:p w14:paraId="23C6484C" w14:textId="77777777" w:rsidR="00BC1C24" w:rsidRPr="00CD387B" w:rsidRDefault="00BC1C24" w:rsidP="006B7248">
            <w:pPr>
              <w:spacing w:after="0"/>
              <w:rPr>
                <w:rFonts w:eastAsia="Times New Roman" w:cs="Arial"/>
              </w:rPr>
            </w:pPr>
            <w:r w:rsidRPr="00CD387B">
              <w:rPr>
                <w:rFonts w:eastAsia="Times New Roman" w:cs="Arial"/>
              </w:rPr>
              <w:t>Below 20</w:t>
            </w:r>
          </w:p>
        </w:tc>
        <w:tc>
          <w:tcPr>
            <w:tcW w:w="2485" w:type="dxa"/>
            <w:noWrap/>
            <w:hideMark/>
          </w:tcPr>
          <w:p w14:paraId="08D05E42" w14:textId="77777777" w:rsidR="00BC1C24" w:rsidRPr="00CD387B" w:rsidRDefault="00BC1C24" w:rsidP="006B7248">
            <w:pPr>
              <w:spacing w:after="0"/>
              <w:jc w:val="right"/>
              <w:rPr>
                <w:rFonts w:eastAsia="Times New Roman" w:cs="Arial"/>
              </w:rPr>
            </w:pPr>
            <w:r w:rsidRPr="00CD387B">
              <w:rPr>
                <w:rFonts w:eastAsia="Times New Roman" w:cs="Arial"/>
              </w:rPr>
              <w:t>29.5%</w:t>
            </w:r>
          </w:p>
        </w:tc>
        <w:tc>
          <w:tcPr>
            <w:tcW w:w="2485" w:type="dxa"/>
            <w:noWrap/>
            <w:hideMark/>
          </w:tcPr>
          <w:p w14:paraId="3CBCCADD" w14:textId="77777777" w:rsidR="00BC1C24" w:rsidRPr="00CD387B" w:rsidRDefault="00BC1C24" w:rsidP="006B7248">
            <w:pPr>
              <w:spacing w:after="0"/>
              <w:jc w:val="right"/>
              <w:rPr>
                <w:rFonts w:eastAsia="Times New Roman" w:cs="Arial"/>
              </w:rPr>
            </w:pPr>
            <w:r w:rsidRPr="00CD387B">
              <w:rPr>
                <w:rFonts w:eastAsia="Times New Roman" w:cs="Arial"/>
              </w:rPr>
              <w:t>8.0%</w:t>
            </w:r>
          </w:p>
        </w:tc>
      </w:tr>
      <w:tr w:rsidR="00BC1C24" w:rsidRPr="003A51D7" w14:paraId="0B9151A7" w14:textId="77777777" w:rsidTr="008013D9">
        <w:trPr>
          <w:trHeight w:val="288"/>
          <w:jc w:val="center"/>
        </w:trPr>
        <w:tc>
          <w:tcPr>
            <w:tcW w:w="2562" w:type="dxa"/>
            <w:noWrap/>
            <w:hideMark/>
          </w:tcPr>
          <w:p w14:paraId="16ABFB62" w14:textId="77777777" w:rsidR="00BC1C24" w:rsidRPr="00CD387B" w:rsidRDefault="00BC1C24" w:rsidP="006B7248">
            <w:pPr>
              <w:spacing w:after="0"/>
              <w:rPr>
                <w:rFonts w:eastAsia="Times New Roman" w:cs="Arial"/>
              </w:rPr>
            </w:pPr>
            <w:r w:rsidRPr="00CD387B">
              <w:rPr>
                <w:rFonts w:eastAsia="Times New Roman" w:cs="Arial"/>
              </w:rPr>
              <w:t>20-29</w:t>
            </w:r>
          </w:p>
        </w:tc>
        <w:tc>
          <w:tcPr>
            <w:tcW w:w="2485" w:type="dxa"/>
            <w:noWrap/>
            <w:hideMark/>
          </w:tcPr>
          <w:p w14:paraId="5ED7A329" w14:textId="77777777" w:rsidR="00BC1C24" w:rsidRPr="00CD387B" w:rsidRDefault="00BC1C24" w:rsidP="006B7248">
            <w:pPr>
              <w:spacing w:after="0"/>
              <w:jc w:val="right"/>
              <w:rPr>
                <w:rFonts w:eastAsia="Times New Roman" w:cs="Arial"/>
              </w:rPr>
            </w:pPr>
            <w:r w:rsidRPr="00CD387B">
              <w:rPr>
                <w:rFonts w:eastAsia="Times New Roman" w:cs="Arial"/>
              </w:rPr>
              <w:t>29.1%</w:t>
            </w:r>
          </w:p>
        </w:tc>
        <w:tc>
          <w:tcPr>
            <w:tcW w:w="2485" w:type="dxa"/>
            <w:noWrap/>
            <w:hideMark/>
          </w:tcPr>
          <w:p w14:paraId="119B3D74" w14:textId="77777777" w:rsidR="00BC1C24" w:rsidRPr="00CD387B" w:rsidRDefault="00BC1C24" w:rsidP="006B7248">
            <w:pPr>
              <w:spacing w:after="0"/>
              <w:jc w:val="right"/>
              <w:rPr>
                <w:rFonts w:eastAsia="Times New Roman" w:cs="Arial"/>
              </w:rPr>
            </w:pPr>
            <w:r w:rsidRPr="00CD387B">
              <w:rPr>
                <w:rFonts w:eastAsia="Times New Roman" w:cs="Arial"/>
              </w:rPr>
              <w:t>25.7%</w:t>
            </w:r>
          </w:p>
        </w:tc>
      </w:tr>
      <w:tr w:rsidR="00BC1C24" w:rsidRPr="003A51D7" w14:paraId="086FAF6B" w14:textId="77777777" w:rsidTr="008013D9">
        <w:trPr>
          <w:trHeight w:val="288"/>
          <w:jc w:val="center"/>
        </w:trPr>
        <w:tc>
          <w:tcPr>
            <w:tcW w:w="2562" w:type="dxa"/>
            <w:noWrap/>
            <w:hideMark/>
          </w:tcPr>
          <w:p w14:paraId="60F62438" w14:textId="77777777" w:rsidR="00BC1C24" w:rsidRPr="00CD387B" w:rsidRDefault="00BC1C24" w:rsidP="006B7248">
            <w:pPr>
              <w:spacing w:after="0"/>
              <w:rPr>
                <w:rFonts w:eastAsia="Times New Roman" w:cs="Arial"/>
              </w:rPr>
            </w:pPr>
            <w:r w:rsidRPr="00CD387B">
              <w:rPr>
                <w:rFonts w:eastAsia="Times New Roman" w:cs="Arial"/>
              </w:rPr>
              <w:t>30-39</w:t>
            </w:r>
          </w:p>
        </w:tc>
        <w:tc>
          <w:tcPr>
            <w:tcW w:w="2485" w:type="dxa"/>
            <w:noWrap/>
            <w:hideMark/>
          </w:tcPr>
          <w:p w14:paraId="5DD86D28" w14:textId="77777777" w:rsidR="00BC1C24" w:rsidRPr="00CD387B" w:rsidRDefault="00BC1C24" w:rsidP="006B7248">
            <w:pPr>
              <w:spacing w:after="0"/>
              <w:jc w:val="right"/>
              <w:rPr>
                <w:rFonts w:eastAsia="Times New Roman" w:cs="Arial"/>
              </w:rPr>
            </w:pPr>
            <w:r w:rsidRPr="00CD387B">
              <w:rPr>
                <w:rFonts w:eastAsia="Times New Roman" w:cs="Arial"/>
              </w:rPr>
              <w:t>13.7%</w:t>
            </w:r>
          </w:p>
        </w:tc>
        <w:tc>
          <w:tcPr>
            <w:tcW w:w="2485" w:type="dxa"/>
            <w:noWrap/>
            <w:hideMark/>
          </w:tcPr>
          <w:p w14:paraId="52E07830" w14:textId="77777777" w:rsidR="00BC1C24" w:rsidRPr="00CD387B" w:rsidRDefault="00BC1C24" w:rsidP="006B7248">
            <w:pPr>
              <w:spacing w:after="0"/>
              <w:jc w:val="right"/>
              <w:rPr>
                <w:rFonts w:eastAsia="Times New Roman" w:cs="Arial"/>
              </w:rPr>
            </w:pPr>
            <w:r w:rsidRPr="00CD387B">
              <w:rPr>
                <w:rFonts w:eastAsia="Times New Roman" w:cs="Arial"/>
              </w:rPr>
              <w:t>19.3%</w:t>
            </w:r>
          </w:p>
        </w:tc>
      </w:tr>
      <w:tr w:rsidR="00BC1C24" w:rsidRPr="003A51D7" w14:paraId="54527670" w14:textId="77777777" w:rsidTr="008013D9">
        <w:trPr>
          <w:trHeight w:val="288"/>
          <w:jc w:val="center"/>
        </w:trPr>
        <w:tc>
          <w:tcPr>
            <w:tcW w:w="2562" w:type="dxa"/>
            <w:noWrap/>
            <w:hideMark/>
          </w:tcPr>
          <w:p w14:paraId="3FA95784" w14:textId="77777777" w:rsidR="00BC1C24" w:rsidRPr="00CD387B" w:rsidRDefault="00BC1C24" w:rsidP="006B7248">
            <w:pPr>
              <w:spacing w:after="0"/>
              <w:rPr>
                <w:rFonts w:eastAsia="Times New Roman" w:cs="Arial"/>
              </w:rPr>
            </w:pPr>
            <w:r w:rsidRPr="00CD387B">
              <w:rPr>
                <w:rFonts w:eastAsia="Times New Roman" w:cs="Arial"/>
              </w:rPr>
              <w:t>40-49</w:t>
            </w:r>
          </w:p>
        </w:tc>
        <w:tc>
          <w:tcPr>
            <w:tcW w:w="2485" w:type="dxa"/>
            <w:noWrap/>
            <w:hideMark/>
          </w:tcPr>
          <w:p w14:paraId="5E8F2CE8" w14:textId="77777777" w:rsidR="00BC1C24" w:rsidRPr="00CD387B" w:rsidRDefault="00BC1C24" w:rsidP="006B7248">
            <w:pPr>
              <w:spacing w:after="0"/>
              <w:jc w:val="right"/>
              <w:rPr>
                <w:rFonts w:eastAsia="Times New Roman" w:cs="Arial"/>
              </w:rPr>
            </w:pPr>
            <w:r w:rsidRPr="00CD387B">
              <w:rPr>
                <w:rFonts w:eastAsia="Times New Roman" w:cs="Arial"/>
              </w:rPr>
              <w:t>10.6%</w:t>
            </w:r>
          </w:p>
        </w:tc>
        <w:tc>
          <w:tcPr>
            <w:tcW w:w="2485" w:type="dxa"/>
            <w:noWrap/>
            <w:hideMark/>
          </w:tcPr>
          <w:p w14:paraId="35BAA4D6" w14:textId="77777777" w:rsidR="00BC1C24" w:rsidRPr="00CD387B" w:rsidRDefault="00BC1C24" w:rsidP="006B7248">
            <w:pPr>
              <w:spacing w:after="0"/>
              <w:jc w:val="right"/>
              <w:rPr>
                <w:rFonts w:eastAsia="Times New Roman" w:cs="Arial"/>
              </w:rPr>
            </w:pPr>
            <w:r w:rsidRPr="00CD387B">
              <w:rPr>
                <w:rFonts w:eastAsia="Times New Roman" w:cs="Arial"/>
              </w:rPr>
              <w:t>19.0%</w:t>
            </w:r>
          </w:p>
        </w:tc>
      </w:tr>
      <w:tr w:rsidR="00BC1C24" w:rsidRPr="003A51D7" w14:paraId="357FA745" w14:textId="77777777" w:rsidTr="008013D9">
        <w:trPr>
          <w:trHeight w:val="288"/>
          <w:jc w:val="center"/>
        </w:trPr>
        <w:tc>
          <w:tcPr>
            <w:tcW w:w="2562" w:type="dxa"/>
            <w:noWrap/>
            <w:hideMark/>
          </w:tcPr>
          <w:p w14:paraId="7A969893" w14:textId="77777777" w:rsidR="00BC1C24" w:rsidRPr="00CD387B" w:rsidRDefault="00BC1C24" w:rsidP="006B7248">
            <w:pPr>
              <w:spacing w:after="0"/>
              <w:rPr>
                <w:rFonts w:eastAsia="Times New Roman" w:cs="Arial"/>
              </w:rPr>
            </w:pPr>
            <w:r w:rsidRPr="00CD387B">
              <w:rPr>
                <w:rFonts w:eastAsia="Times New Roman" w:cs="Arial"/>
              </w:rPr>
              <w:t>50-59</w:t>
            </w:r>
          </w:p>
        </w:tc>
        <w:tc>
          <w:tcPr>
            <w:tcW w:w="2485" w:type="dxa"/>
            <w:noWrap/>
            <w:hideMark/>
          </w:tcPr>
          <w:p w14:paraId="7E684333" w14:textId="77777777" w:rsidR="00BC1C24" w:rsidRPr="00CD387B" w:rsidRDefault="00BC1C24" w:rsidP="006B7248">
            <w:pPr>
              <w:spacing w:after="0"/>
              <w:jc w:val="right"/>
              <w:rPr>
                <w:rFonts w:eastAsia="Times New Roman" w:cs="Arial"/>
              </w:rPr>
            </w:pPr>
            <w:r w:rsidRPr="00CD387B">
              <w:rPr>
                <w:rFonts w:eastAsia="Times New Roman" w:cs="Arial"/>
              </w:rPr>
              <w:t>11.0%</w:t>
            </w:r>
          </w:p>
        </w:tc>
        <w:tc>
          <w:tcPr>
            <w:tcW w:w="2485" w:type="dxa"/>
            <w:noWrap/>
            <w:hideMark/>
          </w:tcPr>
          <w:p w14:paraId="00E6E8DA" w14:textId="77777777" w:rsidR="00BC1C24" w:rsidRPr="00CD387B" w:rsidRDefault="00BC1C24" w:rsidP="006B7248">
            <w:pPr>
              <w:spacing w:after="0"/>
              <w:jc w:val="right"/>
              <w:rPr>
                <w:rFonts w:eastAsia="Times New Roman" w:cs="Arial"/>
              </w:rPr>
            </w:pPr>
            <w:r w:rsidRPr="00CD387B">
              <w:rPr>
                <w:rFonts w:eastAsia="Times New Roman" w:cs="Arial"/>
              </w:rPr>
              <w:t>16.6%</w:t>
            </w:r>
          </w:p>
        </w:tc>
      </w:tr>
      <w:tr w:rsidR="00BC1C24" w:rsidRPr="003A51D7" w14:paraId="123C5916" w14:textId="77777777" w:rsidTr="008013D9">
        <w:trPr>
          <w:trHeight w:val="288"/>
          <w:jc w:val="center"/>
        </w:trPr>
        <w:tc>
          <w:tcPr>
            <w:tcW w:w="2562" w:type="dxa"/>
            <w:noWrap/>
            <w:hideMark/>
          </w:tcPr>
          <w:p w14:paraId="7D40E51F" w14:textId="77777777" w:rsidR="00BC1C24" w:rsidRPr="00CD387B" w:rsidRDefault="00BC1C24" w:rsidP="006B7248">
            <w:pPr>
              <w:spacing w:after="0"/>
              <w:rPr>
                <w:rFonts w:eastAsia="Times New Roman" w:cs="Arial"/>
              </w:rPr>
            </w:pPr>
            <w:r w:rsidRPr="00CD387B">
              <w:rPr>
                <w:rFonts w:eastAsia="Times New Roman" w:cs="Arial"/>
              </w:rPr>
              <w:t>60-69</w:t>
            </w:r>
          </w:p>
        </w:tc>
        <w:tc>
          <w:tcPr>
            <w:tcW w:w="2485" w:type="dxa"/>
            <w:noWrap/>
            <w:hideMark/>
          </w:tcPr>
          <w:p w14:paraId="3DA2C083" w14:textId="77777777" w:rsidR="00BC1C24" w:rsidRPr="00CD387B" w:rsidRDefault="00BC1C24" w:rsidP="006B7248">
            <w:pPr>
              <w:spacing w:after="0"/>
              <w:jc w:val="right"/>
              <w:rPr>
                <w:rFonts w:eastAsia="Times New Roman" w:cs="Arial"/>
              </w:rPr>
            </w:pPr>
            <w:r w:rsidRPr="00CD387B">
              <w:rPr>
                <w:rFonts w:eastAsia="Times New Roman" w:cs="Arial"/>
              </w:rPr>
              <w:t>5.3%</w:t>
            </w:r>
          </w:p>
        </w:tc>
        <w:tc>
          <w:tcPr>
            <w:tcW w:w="2485" w:type="dxa"/>
            <w:noWrap/>
            <w:hideMark/>
          </w:tcPr>
          <w:p w14:paraId="27C02AF2" w14:textId="77777777" w:rsidR="00BC1C24" w:rsidRPr="00CD387B" w:rsidRDefault="00BC1C24" w:rsidP="006B7248">
            <w:pPr>
              <w:spacing w:after="0"/>
              <w:jc w:val="right"/>
              <w:rPr>
                <w:rFonts w:eastAsia="Times New Roman" w:cs="Arial"/>
              </w:rPr>
            </w:pPr>
            <w:r w:rsidRPr="00CD387B">
              <w:rPr>
                <w:rFonts w:eastAsia="Times New Roman" w:cs="Arial"/>
              </w:rPr>
              <w:t>8.7%</w:t>
            </w:r>
          </w:p>
        </w:tc>
      </w:tr>
      <w:tr w:rsidR="00BC1C24" w:rsidRPr="003A51D7" w14:paraId="70DA426C" w14:textId="77777777" w:rsidTr="008013D9">
        <w:trPr>
          <w:trHeight w:val="288"/>
          <w:jc w:val="center"/>
        </w:trPr>
        <w:tc>
          <w:tcPr>
            <w:tcW w:w="2562" w:type="dxa"/>
            <w:noWrap/>
            <w:hideMark/>
          </w:tcPr>
          <w:p w14:paraId="30326C4C" w14:textId="77777777" w:rsidR="00BC1C24" w:rsidRPr="00CD387B" w:rsidRDefault="00BC1C24" w:rsidP="006B7248">
            <w:pPr>
              <w:spacing w:after="0"/>
              <w:rPr>
                <w:rFonts w:eastAsia="Times New Roman" w:cs="Arial"/>
              </w:rPr>
            </w:pPr>
            <w:r w:rsidRPr="00CD387B">
              <w:rPr>
                <w:rFonts w:eastAsia="Times New Roman" w:cs="Arial"/>
              </w:rPr>
              <w:t>70</w:t>
            </w:r>
            <w:r>
              <w:rPr>
                <w:rFonts w:eastAsia="Times New Roman" w:cs="Arial"/>
              </w:rPr>
              <w:t xml:space="preserve"> and </w:t>
            </w:r>
            <w:proofErr w:type="gramStart"/>
            <w:r>
              <w:rPr>
                <w:rFonts w:eastAsia="Times New Roman" w:cs="Arial"/>
              </w:rPr>
              <w:t>Above</w:t>
            </w:r>
            <w:proofErr w:type="gramEnd"/>
          </w:p>
        </w:tc>
        <w:tc>
          <w:tcPr>
            <w:tcW w:w="2485" w:type="dxa"/>
            <w:noWrap/>
            <w:hideMark/>
          </w:tcPr>
          <w:p w14:paraId="19716825" w14:textId="77777777" w:rsidR="00BC1C24" w:rsidRPr="00CD387B" w:rsidRDefault="00BC1C24" w:rsidP="006B7248">
            <w:pPr>
              <w:spacing w:after="0"/>
              <w:jc w:val="right"/>
              <w:rPr>
                <w:rFonts w:eastAsia="Times New Roman" w:cs="Arial"/>
              </w:rPr>
            </w:pPr>
            <w:r w:rsidRPr="00CD387B">
              <w:rPr>
                <w:rFonts w:eastAsia="Times New Roman" w:cs="Arial"/>
              </w:rPr>
              <w:t>0.7%</w:t>
            </w:r>
          </w:p>
        </w:tc>
        <w:tc>
          <w:tcPr>
            <w:tcW w:w="2485" w:type="dxa"/>
            <w:noWrap/>
            <w:hideMark/>
          </w:tcPr>
          <w:p w14:paraId="2EB50053" w14:textId="77777777" w:rsidR="00BC1C24" w:rsidRPr="00CD387B" w:rsidRDefault="00BC1C24" w:rsidP="006B7248">
            <w:pPr>
              <w:spacing w:after="0"/>
              <w:jc w:val="right"/>
              <w:rPr>
                <w:rFonts w:eastAsia="Times New Roman" w:cs="Arial"/>
              </w:rPr>
            </w:pPr>
            <w:r w:rsidRPr="00CD387B">
              <w:rPr>
                <w:rFonts w:eastAsia="Times New Roman" w:cs="Arial"/>
              </w:rPr>
              <w:t>1.5%</w:t>
            </w:r>
          </w:p>
        </w:tc>
      </w:tr>
      <w:tr w:rsidR="00BC1C24" w:rsidRPr="003A51D7" w14:paraId="75E16912" w14:textId="77777777" w:rsidTr="008013D9">
        <w:trPr>
          <w:trHeight w:val="288"/>
          <w:jc w:val="center"/>
        </w:trPr>
        <w:tc>
          <w:tcPr>
            <w:tcW w:w="2562" w:type="dxa"/>
            <w:noWrap/>
            <w:hideMark/>
          </w:tcPr>
          <w:p w14:paraId="00331403" w14:textId="77777777" w:rsidR="00BC1C24" w:rsidRPr="00CD387B" w:rsidRDefault="00BC1C24" w:rsidP="006B7248">
            <w:pPr>
              <w:spacing w:after="0"/>
              <w:rPr>
                <w:rFonts w:eastAsia="Times New Roman" w:cs="Arial"/>
              </w:rPr>
            </w:pPr>
            <w:r>
              <w:rPr>
                <w:rFonts w:eastAsia="Times New Roman" w:cs="Arial"/>
              </w:rPr>
              <w:t xml:space="preserve">Age </w:t>
            </w:r>
            <w:r w:rsidRPr="00CD387B">
              <w:rPr>
                <w:rFonts w:eastAsia="Times New Roman" w:cs="Arial"/>
              </w:rPr>
              <w:t>Not Reported</w:t>
            </w:r>
          </w:p>
        </w:tc>
        <w:tc>
          <w:tcPr>
            <w:tcW w:w="2485" w:type="dxa"/>
            <w:noWrap/>
            <w:hideMark/>
          </w:tcPr>
          <w:p w14:paraId="4293646C" w14:textId="77777777" w:rsidR="00BC1C24" w:rsidRPr="00CD387B" w:rsidRDefault="00BC1C24" w:rsidP="006B7248">
            <w:pPr>
              <w:spacing w:after="0"/>
              <w:jc w:val="right"/>
              <w:rPr>
                <w:rFonts w:eastAsia="Times New Roman" w:cs="Arial"/>
              </w:rPr>
            </w:pPr>
            <w:r w:rsidRPr="00CD387B">
              <w:rPr>
                <w:rFonts w:eastAsia="Times New Roman" w:cs="Arial"/>
              </w:rPr>
              <w:t>0.002%</w:t>
            </w:r>
          </w:p>
        </w:tc>
        <w:tc>
          <w:tcPr>
            <w:tcW w:w="2485" w:type="dxa"/>
            <w:noWrap/>
            <w:hideMark/>
          </w:tcPr>
          <w:p w14:paraId="2B8058F5" w14:textId="77777777" w:rsidR="00BC1C24" w:rsidRPr="00CD387B" w:rsidRDefault="00BC1C24" w:rsidP="006B7248">
            <w:pPr>
              <w:spacing w:after="0"/>
              <w:jc w:val="right"/>
              <w:rPr>
                <w:rFonts w:eastAsia="Times New Roman" w:cs="Arial"/>
              </w:rPr>
            </w:pPr>
            <w:r w:rsidRPr="00CD387B">
              <w:rPr>
                <w:rFonts w:eastAsia="Times New Roman" w:cs="Arial"/>
              </w:rPr>
              <w:t>1.2%</w:t>
            </w:r>
          </w:p>
        </w:tc>
      </w:tr>
      <w:tr w:rsidR="00BC1C24" w:rsidRPr="008A2E46" w14:paraId="44AC0E5E" w14:textId="77777777" w:rsidTr="008013D9">
        <w:trPr>
          <w:trHeight w:val="288"/>
          <w:jc w:val="center"/>
        </w:trPr>
        <w:tc>
          <w:tcPr>
            <w:tcW w:w="2562" w:type="dxa"/>
            <w:noWrap/>
            <w:hideMark/>
          </w:tcPr>
          <w:p w14:paraId="6388CEF9" w14:textId="476A511E" w:rsidR="00BC1C24" w:rsidRPr="008A2E46" w:rsidRDefault="00BC1C24" w:rsidP="006B7248">
            <w:pPr>
              <w:spacing w:after="0"/>
              <w:rPr>
                <w:rFonts w:eastAsia="Times New Roman" w:cs="Arial"/>
                <w:b/>
                <w:bCs/>
              </w:rPr>
            </w:pPr>
            <w:r w:rsidRPr="008A2E46">
              <w:rPr>
                <w:rFonts w:eastAsia="Times New Roman" w:cs="Arial"/>
                <w:b/>
                <w:bCs/>
              </w:rPr>
              <w:t>Total</w:t>
            </w:r>
            <w:r w:rsidR="008A2E46">
              <w:rPr>
                <w:rFonts w:eastAsia="Times New Roman" w:cs="Arial"/>
                <w:b/>
                <w:bCs/>
              </w:rPr>
              <w:t xml:space="preserve"> </w:t>
            </w:r>
            <w:r w:rsidR="008A2E46" w:rsidRPr="00025D28">
              <w:rPr>
                <w:rFonts w:eastAsia="Times New Roman" w:cs="Arial"/>
              </w:rPr>
              <w:t>(</w:t>
            </w:r>
            <w:r w:rsidR="00025D28">
              <w:rPr>
                <w:rFonts w:eastAsia="Times New Roman" w:cs="Arial"/>
              </w:rPr>
              <w:t>C</w:t>
            </w:r>
            <w:r w:rsidR="008A2E46" w:rsidRPr="00025D28">
              <w:rPr>
                <w:rFonts w:eastAsia="Times New Roman" w:cs="Arial"/>
              </w:rPr>
              <w:t>ount)</w:t>
            </w:r>
          </w:p>
        </w:tc>
        <w:tc>
          <w:tcPr>
            <w:tcW w:w="2485" w:type="dxa"/>
            <w:noWrap/>
            <w:hideMark/>
          </w:tcPr>
          <w:p w14:paraId="127914FB" w14:textId="2E900563" w:rsidR="00BC1C24" w:rsidRPr="008A2E46" w:rsidRDefault="008A2E46" w:rsidP="006B7248">
            <w:pPr>
              <w:spacing w:after="0"/>
              <w:jc w:val="right"/>
              <w:rPr>
                <w:rFonts w:eastAsia="Times New Roman" w:cs="Arial"/>
                <w:b/>
                <w:bCs/>
              </w:rPr>
            </w:pPr>
            <w:r>
              <w:rPr>
                <w:rFonts w:eastAsia="Times New Roman" w:cs="Arial"/>
                <w:b/>
                <w:bCs/>
              </w:rPr>
              <w:t>109,845</w:t>
            </w:r>
          </w:p>
        </w:tc>
        <w:tc>
          <w:tcPr>
            <w:tcW w:w="2485" w:type="dxa"/>
            <w:noWrap/>
            <w:hideMark/>
          </w:tcPr>
          <w:p w14:paraId="4A269196" w14:textId="617B6B91" w:rsidR="00BC1C24" w:rsidRPr="008A2E46" w:rsidRDefault="008A2E46" w:rsidP="006B7248">
            <w:pPr>
              <w:spacing w:after="0"/>
              <w:jc w:val="right"/>
              <w:rPr>
                <w:rFonts w:eastAsia="Times New Roman" w:cs="Arial"/>
                <w:b/>
                <w:bCs/>
              </w:rPr>
            </w:pPr>
            <w:r>
              <w:rPr>
                <w:rFonts w:eastAsia="Times New Roman" w:cs="Arial"/>
                <w:b/>
                <w:bCs/>
              </w:rPr>
              <w:t>849</w:t>
            </w:r>
          </w:p>
        </w:tc>
      </w:tr>
    </w:tbl>
    <w:p w14:paraId="03ACE697" w14:textId="5228F4C0" w:rsidR="00741DBE" w:rsidRDefault="00741DBE" w:rsidP="00680D0D">
      <w:pPr>
        <w:pStyle w:val="SectionSub-HeadingsTopics"/>
        <w:keepNext/>
      </w:pPr>
      <w:bookmarkStart w:id="32" w:name="_Toc90632193"/>
      <w:r>
        <w:lastRenderedPageBreak/>
        <w:t>Satisfaction by Consumer Age Range</w:t>
      </w:r>
      <w:bookmarkEnd w:id="32"/>
    </w:p>
    <w:p w14:paraId="7412C138" w14:textId="55420F17" w:rsidR="000A5D19" w:rsidRDefault="000A5D19" w:rsidP="00680D0D">
      <w:pPr>
        <w:keepNext/>
        <w:keepLines/>
      </w:pPr>
      <w:r>
        <w:t xml:space="preserve">Satisfaction scores of participants were compared by age ranges below (Table 16). </w:t>
      </w:r>
    </w:p>
    <w:p w14:paraId="29BBF1DE" w14:textId="4798385A" w:rsidR="00F26AA7" w:rsidRDefault="00E1406A" w:rsidP="0081531B">
      <w:r>
        <w:t>O</w:t>
      </w:r>
      <w:r w:rsidR="006566C8">
        <w:t>verall satisfaction</w:t>
      </w:r>
      <w:r w:rsidR="00FC2484">
        <w:t xml:space="preserve"> scores</w:t>
      </w:r>
      <w:r w:rsidR="006566C8">
        <w:t xml:space="preserve"> </w:t>
      </w:r>
      <w:r w:rsidR="000226BE">
        <w:t xml:space="preserve">varied slightly between age groups </w:t>
      </w:r>
      <w:r w:rsidR="00FC2484">
        <w:t xml:space="preserve">while remaining within the satisfied range. </w:t>
      </w:r>
      <w:r w:rsidR="00541F62">
        <w:t>Survey participants between the ages of 20-29 years old reporte</w:t>
      </w:r>
      <w:r w:rsidR="00B24201">
        <w:t>d a satisfaction score of 83.1%, which was the highest score for all age ranges. The lowest satisfaction score was</w:t>
      </w:r>
      <w:r w:rsidR="002F06D6">
        <w:t xml:space="preserve"> 75.3% which was reported by survey participants under the age of 20 years old.</w:t>
      </w:r>
    </w:p>
    <w:p w14:paraId="00513392" w14:textId="412FE913" w:rsidR="000E3501" w:rsidRPr="00541F62" w:rsidRDefault="00107333" w:rsidP="0081531B">
      <w:r>
        <w:t xml:space="preserve">In general, all participants were satisfied with the individual categories assessed in the survey with a few exceptions. </w:t>
      </w:r>
      <w:r w:rsidR="00454CB0">
        <w:t>P</w:t>
      </w:r>
      <w:r w:rsidR="00222BBF">
        <w:t xml:space="preserve">articipants above the age of 70 years old were </w:t>
      </w:r>
      <w:r w:rsidR="00573EF6">
        <w:t>extremely satisfied with their current employment</w:t>
      </w:r>
      <w:r w:rsidR="00E00389">
        <w:t xml:space="preserve"> (</w:t>
      </w:r>
      <w:r w:rsidR="00CE4FF4">
        <w:t>88.0% score),</w:t>
      </w:r>
      <w:r w:rsidR="00454CB0">
        <w:t xml:space="preserve"> but </w:t>
      </w:r>
      <w:r w:rsidR="00E00389">
        <w:t>neutral about their improved employment opportunities (57.1% score).</w:t>
      </w:r>
      <w:r w:rsidR="00CE4FF4">
        <w:t xml:space="preserve"> Additionally, u</w:t>
      </w:r>
      <w:r w:rsidR="000E3501">
        <w:t>nemployed participants below the age of 20 years old, 30-</w:t>
      </w:r>
      <w:r w:rsidR="00DE6394">
        <w:t>39 years old,</w:t>
      </w:r>
      <w:r w:rsidR="00CE4FF4">
        <w:t xml:space="preserve"> and</w:t>
      </w:r>
      <w:r w:rsidR="00DE6394">
        <w:t xml:space="preserve"> 50-59 years old</w:t>
      </w:r>
      <w:r w:rsidR="00CE4FF4">
        <w:t xml:space="preserve"> were </w:t>
      </w:r>
      <w:r w:rsidR="004529CB">
        <w:t>only somewhat satisfied with the improvement of their employment opportunities.</w:t>
      </w:r>
    </w:p>
    <w:p w14:paraId="28ABAB49" w14:textId="52F34170" w:rsidR="00A018C0" w:rsidRDefault="00F3726E" w:rsidP="00C957E9">
      <w:pPr>
        <w:pStyle w:val="TableTitle"/>
      </w:pPr>
      <w:r>
        <w:t>Satisfaction Scores by Participant Age Range</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1881"/>
        <w:gridCol w:w="1004"/>
        <w:gridCol w:w="1528"/>
        <w:gridCol w:w="1437"/>
        <w:gridCol w:w="1349"/>
        <w:gridCol w:w="1258"/>
        <w:gridCol w:w="1297"/>
        <w:gridCol w:w="1036"/>
      </w:tblGrid>
      <w:tr w:rsidR="00546A8F" w:rsidRPr="00A97A3A" w14:paraId="172277C5" w14:textId="77777777" w:rsidTr="005677F4">
        <w:trPr>
          <w:jc w:val="center"/>
        </w:trPr>
        <w:tc>
          <w:tcPr>
            <w:tcW w:w="873" w:type="pct"/>
            <w:shd w:val="clear" w:color="auto" w:fill="00407B" w:themeFill="accent1" w:themeFillShade="BF"/>
            <w:vAlign w:val="center"/>
          </w:tcPr>
          <w:p w14:paraId="18F2514C" w14:textId="77777777" w:rsidR="004D5AF3" w:rsidRDefault="00DD611A" w:rsidP="008E617D">
            <w:pPr>
              <w:spacing w:after="0"/>
              <w:rPr>
                <w:b/>
                <w:bCs/>
                <w:color w:val="FFFFFF" w:themeColor="background1"/>
              </w:rPr>
            </w:pPr>
            <w:r>
              <w:rPr>
                <w:b/>
                <w:bCs/>
                <w:color w:val="FFFFFF" w:themeColor="background1"/>
              </w:rPr>
              <w:t xml:space="preserve">Participant </w:t>
            </w:r>
          </w:p>
          <w:p w14:paraId="5CD6D3A1" w14:textId="644728BA" w:rsidR="00DD611A" w:rsidRPr="00DD611A" w:rsidRDefault="00DD611A" w:rsidP="008E617D">
            <w:pPr>
              <w:spacing w:after="0"/>
              <w:rPr>
                <w:color w:val="FFFFFF" w:themeColor="background1"/>
              </w:rPr>
            </w:pPr>
            <w:r>
              <w:rPr>
                <w:b/>
                <w:bCs/>
                <w:color w:val="FFFFFF" w:themeColor="background1"/>
              </w:rPr>
              <w:t>Age Range</w:t>
            </w:r>
          </w:p>
        </w:tc>
        <w:tc>
          <w:tcPr>
            <w:tcW w:w="459" w:type="pct"/>
            <w:shd w:val="clear" w:color="auto" w:fill="00407B" w:themeFill="accent1" w:themeFillShade="BF"/>
            <w:vAlign w:val="center"/>
          </w:tcPr>
          <w:p w14:paraId="3881A599" w14:textId="01BFCCC5" w:rsidR="00A018C0" w:rsidRPr="005763C1" w:rsidRDefault="00A018C0" w:rsidP="008E617D">
            <w:pPr>
              <w:spacing w:after="0"/>
              <w:rPr>
                <w:b/>
                <w:bCs/>
                <w:color w:val="FFFFFF" w:themeColor="background1"/>
                <w:vertAlign w:val="superscript"/>
              </w:rPr>
            </w:pPr>
            <w:r>
              <w:rPr>
                <w:b/>
                <w:bCs/>
                <w:color w:val="FFFFFF" w:themeColor="background1"/>
              </w:rPr>
              <w:t xml:space="preserve">DOR </w:t>
            </w:r>
            <w:proofErr w:type="spellStart"/>
            <w:r>
              <w:rPr>
                <w:b/>
                <w:bCs/>
                <w:color w:val="FFFFFF" w:themeColor="background1"/>
              </w:rPr>
              <w:t>Exp</w:t>
            </w:r>
            <w:r w:rsidR="005A27EF">
              <w:rPr>
                <w:b/>
                <w:bCs/>
                <w:color w:val="FFFFFF" w:themeColor="background1"/>
              </w:rPr>
              <w:t>er</w:t>
            </w:r>
            <w:proofErr w:type="spellEnd"/>
            <w:r w:rsidR="008A11FB">
              <w:rPr>
                <w:b/>
                <w:bCs/>
                <w:color w:val="FFFFFF" w:themeColor="background1"/>
              </w:rPr>
              <w:t>.</w:t>
            </w:r>
          </w:p>
          <w:p w14:paraId="60BABDD0" w14:textId="77777777" w:rsidR="00A018C0" w:rsidRPr="00D549A9" w:rsidRDefault="00A018C0" w:rsidP="008E617D">
            <w:pPr>
              <w:spacing w:after="0"/>
              <w:rPr>
                <w:color w:val="FFFFFF" w:themeColor="background1"/>
              </w:rPr>
            </w:pPr>
            <w:r>
              <w:rPr>
                <w:color w:val="FFFFFF" w:themeColor="background1"/>
              </w:rPr>
              <w:t>(Score)</w:t>
            </w:r>
          </w:p>
        </w:tc>
        <w:tc>
          <w:tcPr>
            <w:tcW w:w="709" w:type="pct"/>
            <w:shd w:val="clear" w:color="auto" w:fill="00407B" w:themeFill="accent1" w:themeFillShade="BF"/>
            <w:vAlign w:val="center"/>
          </w:tcPr>
          <w:p w14:paraId="7710CF97" w14:textId="33141611" w:rsidR="00A018C0" w:rsidRPr="002C2B0F" w:rsidRDefault="00A018C0" w:rsidP="008E617D">
            <w:pPr>
              <w:spacing w:after="0"/>
              <w:rPr>
                <w:b/>
                <w:bCs/>
                <w:color w:val="FFFFFF" w:themeColor="background1"/>
              </w:rPr>
            </w:pPr>
            <w:r>
              <w:rPr>
                <w:b/>
                <w:bCs/>
                <w:color w:val="FFFFFF" w:themeColor="background1"/>
              </w:rPr>
              <w:t>DOR Couns</w:t>
            </w:r>
            <w:r w:rsidR="005A27EF">
              <w:rPr>
                <w:b/>
                <w:bCs/>
                <w:color w:val="FFFFFF" w:themeColor="background1"/>
              </w:rPr>
              <w:t>elor</w:t>
            </w:r>
          </w:p>
          <w:p w14:paraId="5AF8DDCC" w14:textId="77777777" w:rsidR="00A018C0" w:rsidRPr="00D549A9" w:rsidRDefault="00A018C0" w:rsidP="008E617D">
            <w:pPr>
              <w:spacing w:after="0"/>
              <w:rPr>
                <w:color w:val="FFFFFF" w:themeColor="background1"/>
              </w:rPr>
            </w:pPr>
            <w:r>
              <w:rPr>
                <w:color w:val="FFFFFF" w:themeColor="background1"/>
              </w:rPr>
              <w:t>(Score)</w:t>
            </w:r>
          </w:p>
        </w:tc>
        <w:tc>
          <w:tcPr>
            <w:tcW w:w="667" w:type="pct"/>
            <w:shd w:val="clear" w:color="auto" w:fill="00407B" w:themeFill="accent1" w:themeFillShade="BF"/>
            <w:vAlign w:val="center"/>
          </w:tcPr>
          <w:p w14:paraId="1861C463" w14:textId="50470874" w:rsidR="00A018C0" w:rsidRPr="002C2B0F" w:rsidRDefault="00A018C0" w:rsidP="008E617D">
            <w:pPr>
              <w:spacing w:after="0"/>
              <w:rPr>
                <w:b/>
                <w:bCs/>
                <w:color w:val="FFFFFF" w:themeColor="background1"/>
              </w:rPr>
            </w:pPr>
            <w:r>
              <w:rPr>
                <w:b/>
                <w:bCs/>
                <w:color w:val="FFFFFF" w:themeColor="background1"/>
              </w:rPr>
              <w:t>Service Prov</w:t>
            </w:r>
            <w:r w:rsidR="005A27EF">
              <w:rPr>
                <w:b/>
                <w:bCs/>
                <w:color w:val="FFFFFF" w:themeColor="background1"/>
              </w:rPr>
              <w:t>iders</w:t>
            </w:r>
          </w:p>
          <w:p w14:paraId="79B7C54E" w14:textId="77777777" w:rsidR="00A018C0" w:rsidRDefault="00A018C0" w:rsidP="008E617D">
            <w:pPr>
              <w:spacing w:after="0"/>
              <w:rPr>
                <w:b/>
                <w:bCs/>
                <w:color w:val="FFFFFF" w:themeColor="background1"/>
              </w:rPr>
            </w:pPr>
            <w:r>
              <w:rPr>
                <w:color w:val="FFFFFF" w:themeColor="background1"/>
              </w:rPr>
              <w:t>(Score)</w:t>
            </w:r>
          </w:p>
        </w:tc>
        <w:tc>
          <w:tcPr>
            <w:tcW w:w="626" w:type="pct"/>
            <w:shd w:val="clear" w:color="auto" w:fill="00407B" w:themeFill="accent1" w:themeFillShade="BF"/>
            <w:vAlign w:val="center"/>
          </w:tcPr>
          <w:p w14:paraId="1A193C25" w14:textId="672B3B52" w:rsidR="00A018C0" w:rsidRPr="002C2B0F" w:rsidRDefault="00A018C0" w:rsidP="008E617D">
            <w:pPr>
              <w:spacing w:after="0"/>
              <w:rPr>
                <w:b/>
                <w:bCs/>
                <w:color w:val="FFFFFF" w:themeColor="background1"/>
              </w:rPr>
            </w:pPr>
            <w:r>
              <w:rPr>
                <w:b/>
                <w:bCs/>
                <w:color w:val="FFFFFF" w:themeColor="background1"/>
              </w:rPr>
              <w:t>Employ</w:t>
            </w:r>
            <w:r w:rsidR="008A11FB">
              <w:rPr>
                <w:b/>
                <w:bCs/>
                <w:color w:val="FFFFFF" w:themeColor="background1"/>
              </w:rPr>
              <w:t>.</w:t>
            </w:r>
            <w:r>
              <w:rPr>
                <w:b/>
                <w:bCs/>
                <w:color w:val="FFFFFF" w:themeColor="background1"/>
              </w:rPr>
              <w:t xml:space="preserve"> Services</w:t>
            </w:r>
          </w:p>
          <w:p w14:paraId="55252631" w14:textId="77777777" w:rsidR="00A018C0" w:rsidRDefault="00A018C0" w:rsidP="008E617D">
            <w:pPr>
              <w:spacing w:after="0"/>
              <w:rPr>
                <w:b/>
                <w:bCs/>
                <w:color w:val="FFFFFF" w:themeColor="background1"/>
              </w:rPr>
            </w:pPr>
            <w:r>
              <w:rPr>
                <w:color w:val="FFFFFF" w:themeColor="background1"/>
              </w:rPr>
              <w:t>(Score)</w:t>
            </w:r>
          </w:p>
        </w:tc>
        <w:tc>
          <w:tcPr>
            <w:tcW w:w="584" w:type="pct"/>
            <w:shd w:val="clear" w:color="auto" w:fill="00407B" w:themeFill="accent1" w:themeFillShade="BF"/>
            <w:vAlign w:val="center"/>
          </w:tcPr>
          <w:p w14:paraId="0D36FBF9" w14:textId="0CFBF600" w:rsidR="00A018C0" w:rsidRPr="002C2B0F" w:rsidRDefault="00A018C0" w:rsidP="008E617D">
            <w:pPr>
              <w:spacing w:after="0"/>
              <w:rPr>
                <w:b/>
                <w:bCs/>
                <w:color w:val="FFFFFF" w:themeColor="background1"/>
              </w:rPr>
            </w:pPr>
            <w:r>
              <w:rPr>
                <w:b/>
                <w:bCs/>
                <w:color w:val="FFFFFF" w:themeColor="background1"/>
              </w:rPr>
              <w:t>Current Employ</w:t>
            </w:r>
            <w:r w:rsidR="008A11FB">
              <w:rPr>
                <w:b/>
                <w:bCs/>
                <w:color w:val="FFFFFF" w:themeColor="background1"/>
              </w:rPr>
              <w:t>.</w:t>
            </w:r>
          </w:p>
          <w:p w14:paraId="116D2E97" w14:textId="77777777" w:rsidR="00A018C0" w:rsidRPr="00F75AA0" w:rsidRDefault="00A018C0" w:rsidP="008E617D">
            <w:pPr>
              <w:spacing w:after="0"/>
              <w:rPr>
                <w:b/>
                <w:bCs/>
                <w:color w:val="FFFFFF" w:themeColor="background1"/>
              </w:rPr>
            </w:pPr>
            <w:r>
              <w:rPr>
                <w:color w:val="FFFFFF" w:themeColor="background1"/>
              </w:rPr>
              <w:t>(Score)</w:t>
            </w:r>
          </w:p>
        </w:tc>
        <w:tc>
          <w:tcPr>
            <w:tcW w:w="602" w:type="pct"/>
            <w:shd w:val="clear" w:color="auto" w:fill="00407B" w:themeFill="accent1" w:themeFillShade="BF"/>
            <w:vAlign w:val="center"/>
          </w:tcPr>
          <w:p w14:paraId="24A11400" w14:textId="3D441A8C" w:rsidR="00A018C0" w:rsidRPr="002C2B0F" w:rsidRDefault="00A018C0" w:rsidP="008E617D">
            <w:pPr>
              <w:spacing w:after="0"/>
              <w:rPr>
                <w:b/>
                <w:bCs/>
                <w:color w:val="FFFFFF" w:themeColor="background1"/>
              </w:rPr>
            </w:pPr>
            <w:r>
              <w:rPr>
                <w:b/>
                <w:bCs/>
                <w:color w:val="FFFFFF" w:themeColor="background1"/>
              </w:rPr>
              <w:t>Employ</w:t>
            </w:r>
            <w:r w:rsidR="008A11FB">
              <w:rPr>
                <w:b/>
                <w:bCs/>
                <w:color w:val="FFFFFF" w:themeColor="background1"/>
              </w:rPr>
              <w:t>.</w:t>
            </w:r>
            <w:r>
              <w:rPr>
                <w:b/>
                <w:bCs/>
                <w:color w:val="FFFFFF" w:themeColor="background1"/>
              </w:rPr>
              <w:t xml:space="preserve"> </w:t>
            </w:r>
            <w:proofErr w:type="spellStart"/>
            <w:r>
              <w:rPr>
                <w:b/>
                <w:bCs/>
                <w:color w:val="FFFFFF" w:themeColor="background1"/>
              </w:rPr>
              <w:t>Opport</w:t>
            </w:r>
            <w:proofErr w:type="spellEnd"/>
            <w:r w:rsidR="008A11FB">
              <w:rPr>
                <w:b/>
                <w:bCs/>
                <w:color w:val="FFFFFF" w:themeColor="background1"/>
              </w:rPr>
              <w:t>.</w:t>
            </w:r>
          </w:p>
          <w:p w14:paraId="5288FFDE" w14:textId="77777777" w:rsidR="00A018C0" w:rsidRDefault="00A018C0" w:rsidP="008E617D">
            <w:pPr>
              <w:spacing w:after="0"/>
              <w:rPr>
                <w:b/>
                <w:bCs/>
                <w:color w:val="FFFFFF" w:themeColor="background1"/>
              </w:rPr>
            </w:pPr>
            <w:r>
              <w:rPr>
                <w:color w:val="FFFFFF" w:themeColor="background1"/>
              </w:rPr>
              <w:t>(Score)</w:t>
            </w:r>
          </w:p>
        </w:tc>
        <w:tc>
          <w:tcPr>
            <w:tcW w:w="480" w:type="pct"/>
            <w:shd w:val="clear" w:color="auto" w:fill="00407B" w:themeFill="accent1" w:themeFillShade="BF"/>
            <w:vAlign w:val="center"/>
          </w:tcPr>
          <w:p w14:paraId="6CCCC681" w14:textId="77777777" w:rsidR="00A018C0" w:rsidRPr="002C2B0F" w:rsidRDefault="00A018C0" w:rsidP="008E617D">
            <w:pPr>
              <w:spacing w:after="0"/>
              <w:rPr>
                <w:b/>
                <w:bCs/>
                <w:color w:val="FFFFFF" w:themeColor="background1"/>
              </w:rPr>
            </w:pPr>
            <w:r>
              <w:rPr>
                <w:b/>
                <w:bCs/>
                <w:color w:val="FFFFFF" w:themeColor="background1"/>
              </w:rPr>
              <w:t>Overall</w:t>
            </w:r>
          </w:p>
          <w:p w14:paraId="06E8416C" w14:textId="77777777" w:rsidR="00A018C0" w:rsidRDefault="00A018C0" w:rsidP="008E617D">
            <w:pPr>
              <w:spacing w:after="0"/>
              <w:rPr>
                <w:b/>
                <w:bCs/>
                <w:color w:val="FFFFFF" w:themeColor="background1"/>
              </w:rPr>
            </w:pPr>
            <w:r>
              <w:rPr>
                <w:color w:val="FFFFFF" w:themeColor="background1"/>
              </w:rPr>
              <w:t>(Score)</w:t>
            </w:r>
          </w:p>
        </w:tc>
      </w:tr>
      <w:tr w:rsidR="00655249" w14:paraId="681A1626" w14:textId="77777777" w:rsidTr="005677F4">
        <w:trPr>
          <w:trHeight w:val="288"/>
          <w:jc w:val="center"/>
        </w:trPr>
        <w:tc>
          <w:tcPr>
            <w:tcW w:w="873" w:type="pct"/>
            <w:shd w:val="clear" w:color="auto" w:fill="auto"/>
            <w:vAlign w:val="center"/>
          </w:tcPr>
          <w:p w14:paraId="20598880" w14:textId="42D5ADEC" w:rsidR="00951A14" w:rsidRDefault="00951A14" w:rsidP="00DF72DF">
            <w:pPr>
              <w:spacing w:after="0"/>
            </w:pPr>
            <w:r>
              <w:rPr>
                <w:rFonts w:cs="Arial"/>
                <w:color w:val="000000"/>
              </w:rPr>
              <w:t>Below 20</w:t>
            </w:r>
          </w:p>
        </w:tc>
        <w:tc>
          <w:tcPr>
            <w:tcW w:w="459" w:type="pct"/>
            <w:shd w:val="clear" w:color="auto" w:fill="auto"/>
            <w:vAlign w:val="center"/>
          </w:tcPr>
          <w:p w14:paraId="25D6585D" w14:textId="5857BEB0" w:rsidR="00951A14" w:rsidRDefault="00951A14" w:rsidP="00DF72DF">
            <w:pPr>
              <w:spacing w:after="0"/>
              <w:jc w:val="center"/>
            </w:pPr>
            <w:r>
              <w:rPr>
                <w:rFonts w:cs="Arial"/>
                <w:color w:val="000000"/>
              </w:rPr>
              <w:t>78.0%</w:t>
            </w:r>
          </w:p>
        </w:tc>
        <w:tc>
          <w:tcPr>
            <w:tcW w:w="709" w:type="pct"/>
            <w:shd w:val="clear" w:color="auto" w:fill="auto"/>
            <w:vAlign w:val="center"/>
          </w:tcPr>
          <w:p w14:paraId="2B08B4AA" w14:textId="0A466BC3" w:rsidR="00951A14" w:rsidRDefault="00951A14" w:rsidP="00DF72DF">
            <w:pPr>
              <w:spacing w:after="0"/>
              <w:jc w:val="center"/>
            </w:pPr>
            <w:r>
              <w:rPr>
                <w:rFonts w:cs="Arial"/>
                <w:color w:val="000000"/>
              </w:rPr>
              <w:t>76.9%</w:t>
            </w:r>
          </w:p>
        </w:tc>
        <w:tc>
          <w:tcPr>
            <w:tcW w:w="667" w:type="pct"/>
            <w:shd w:val="clear" w:color="auto" w:fill="auto"/>
            <w:vAlign w:val="center"/>
          </w:tcPr>
          <w:p w14:paraId="08079F2D" w14:textId="4AA0D714" w:rsidR="00951A14" w:rsidRDefault="00951A14" w:rsidP="00DF72DF">
            <w:pPr>
              <w:spacing w:after="0"/>
              <w:jc w:val="center"/>
            </w:pPr>
            <w:r>
              <w:rPr>
                <w:rFonts w:cs="Arial"/>
                <w:color w:val="000000"/>
              </w:rPr>
              <w:t>77.2%</w:t>
            </w:r>
          </w:p>
        </w:tc>
        <w:tc>
          <w:tcPr>
            <w:tcW w:w="626" w:type="pct"/>
            <w:shd w:val="clear" w:color="auto" w:fill="auto"/>
            <w:vAlign w:val="center"/>
          </w:tcPr>
          <w:p w14:paraId="2772246A" w14:textId="465AE7F7" w:rsidR="00951A14" w:rsidRDefault="00951A14" w:rsidP="00DF72DF">
            <w:pPr>
              <w:spacing w:after="0"/>
              <w:jc w:val="center"/>
            </w:pPr>
            <w:r>
              <w:rPr>
                <w:rFonts w:cs="Arial"/>
                <w:color w:val="000000"/>
              </w:rPr>
              <w:t>74.6%</w:t>
            </w:r>
          </w:p>
        </w:tc>
        <w:tc>
          <w:tcPr>
            <w:tcW w:w="584" w:type="pct"/>
            <w:shd w:val="clear" w:color="auto" w:fill="auto"/>
            <w:vAlign w:val="center"/>
          </w:tcPr>
          <w:p w14:paraId="60EBD0A5" w14:textId="2881D9BB" w:rsidR="00951A14" w:rsidRDefault="00951A14" w:rsidP="00DF72DF">
            <w:pPr>
              <w:spacing w:after="0"/>
              <w:jc w:val="center"/>
            </w:pPr>
            <w:r>
              <w:rPr>
                <w:rFonts w:cs="Arial"/>
                <w:color w:val="000000"/>
              </w:rPr>
              <w:t>71.6%</w:t>
            </w:r>
          </w:p>
        </w:tc>
        <w:tc>
          <w:tcPr>
            <w:tcW w:w="602" w:type="pct"/>
            <w:shd w:val="clear" w:color="auto" w:fill="auto"/>
            <w:vAlign w:val="center"/>
          </w:tcPr>
          <w:p w14:paraId="51B0377C" w14:textId="26209C7D" w:rsidR="00951A14" w:rsidRPr="00A02D44" w:rsidRDefault="00951A14" w:rsidP="00DF72DF">
            <w:pPr>
              <w:spacing w:after="0"/>
              <w:jc w:val="center"/>
            </w:pPr>
            <w:r w:rsidRPr="00A02D44">
              <w:rPr>
                <w:rFonts w:cs="Arial"/>
                <w:color w:val="000000"/>
              </w:rPr>
              <w:t>66.8%</w:t>
            </w:r>
          </w:p>
        </w:tc>
        <w:tc>
          <w:tcPr>
            <w:tcW w:w="480" w:type="pct"/>
            <w:shd w:val="clear" w:color="auto" w:fill="auto"/>
            <w:vAlign w:val="center"/>
          </w:tcPr>
          <w:p w14:paraId="704D7F50" w14:textId="4C203BA1" w:rsidR="00951A14" w:rsidRPr="00DF72DF" w:rsidRDefault="00951A14" w:rsidP="00DF72DF">
            <w:pPr>
              <w:spacing w:after="0"/>
              <w:jc w:val="center"/>
              <w:rPr>
                <w:b/>
                <w:bCs/>
              </w:rPr>
            </w:pPr>
            <w:r w:rsidRPr="00DF72DF">
              <w:rPr>
                <w:rFonts w:cs="Arial"/>
                <w:b/>
                <w:bCs/>
                <w:color w:val="000000"/>
              </w:rPr>
              <w:t>75.3%</w:t>
            </w:r>
          </w:p>
        </w:tc>
      </w:tr>
      <w:tr w:rsidR="00655249" w14:paraId="3398757B" w14:textId="77777777" w:rsidTr="005677F4">
        <w:trPr>
          <w:trHeight w:val="288"/>
          <w:jc w:val="center"/>
        </w:trPr>
        <w:tc>
          <w:tcPr>
            <w:tcW w:w="873" w:type="pct"/>
            <w:shd w:val="clear" w:color="auto" w:fill="auto"/>
            <w:vAlign w:val="center"/>
          </w:tcPr>
          <w:p w14:paraId="4BD093D5" w14:textId="1ED7DA3E" w:rsidR="00951A14" w:rsidRDefault="00951A14" w:rsidP="00DF72DF">
            <w:pPr>
              <w:spacing w:after="0"/>
            </w:pPr>
            <w:r>
              <w:rPr>
                <w:rFonts w:cs="Arial"/>
                <w:color w:val="000000"/>
              </w:rPr>
              <w:t>20-29</w:t>
            </w:r>
          </w:p>
        </w:tc>
        <w:tc>
          <w:tcPr>
            <w:tcW w:w="459" w:type="pct"/>
            <w:shd w:val="clear" w:color="auto" w:fill="auto"/>
            <w:vAlign w:val="center"/>
          </w:tcPr>
          <w:p w14:paraId="1BC43F07" w14:textId="393B53DC" w:rsidR="00951A14" w:rsidRDefault="00951A14" w:rsidP="00DF72DF">
            <w:pPr>
              <w:spacing w:after="0"/>
              <w:jc w:val="center"/>
            </w:pPr>
            <w:r>
              <w:rPr>
                <w:rFonts w:cs="Arial"/>
                <w:color w:val="000000"/>
              </w:rPr>
              <w:t>84.4%</w:t>
            </w:r>
          </w:p>
        </w:tc>
        <w:tc>
          <w:tcPr>
            <w:tcW w:w="709" w:type="pct"/>
            <w:shd w:val="clear" w:color="auto" w:fill="auto"/>
            <w:vAlign w:val="center"/>
          </w:tcPr>
          <w:p w14:paraId="52B2B18E" w14:textId="1F2FDD38" w:rsidR="00951A14" w:rsidRDefault="00951A14" w:rsidP="00DF72DF">
            <w:pPr>
              <w:spacing w:after="0"/>
              <w:jc w:val="center"/>
            </w:pPr>
            <w:r>
              <w:rPr>
                <w:rFonts w:cs="Arial"/>
                <w:color w:val="000000"/>
              </w:rPr>
              <w:t>84.9%</w:t>
            </w:r>
          </w:p>
        </w:tc>
        <w:tc>
          <w:tcPr>
            <w:tcW w:w="667" w:type="pct"/>
            <w:shd w:val="clear" w:color="auto" w:fill="auto"/>
            <w:vAlign w:val="center"/>
          </w:tcPr>
          <w:p w14:paraId="2C526F67" w14:textId="1767FFCC" w:rsidR="00951A14" w:rsidRDefault="00951A14" w:rsidP="00DF72DF">
            <w:pPr>
              <w:spacing w:after="0"/>
              <w:jc w:val="center"/>
            </w:pPr>
            <w:r>
              <w:rPr>
                <w:rFonts w:cs="Arial"/>
                <w:color w:val="000000"/>
              </w:rPr>
              <w:t>85.2%</w:t>
            </w:r>
          </w:p>
        </w:tc>
        <w:tc>
          <w:tcPr>
            <w:tcW w:w="626" w:type="pct"/>
            <w:shd w:val="clear" w:color="auto" w:fill="auto"/>
            <w:vAlign w:val="center"/>
          </w:tcPr>
          <w:p w14:paraId="71887B96" w14:textId="60195190" w:rsidR="00951A14" w:rsidRDefault="00951A14" w:rsidP="00DF72DF">
            <w:pPr>
              <w:spacing w:after="0"/>
              <w:jc w:val="center"/>
            </w:pPr>
            <w:r>
              <w:rPr>
                <w:rFonts w:cs="Arial"/>
                <w:color w:val="000000"/>
              </w:rPr>
              <w:t>80.7%</w:t>
            </w:r>
          </w:p>
        </w:tc>
        <w:tc>
          <w:tcPr>
            <w:tcW w:w="584" w:type="pct"/>
            <w:shd w:val="clear" w:color="auto" w:fill="auto"/>
            <w:vAlign w:val="center"/>
          </w:tcPr>
          <w:p w14:paraId="1BFA1A09" w14:textId="188A9D19" w:rsidR="00951A14" w:rsidRDefault="00951A14" w:rsidP="00DF72DF">
            <w:pPr>
              <w:spacing w:after="0"/>
              <w:jc w:val="center"/>
            </w:pPr>
            <w:r>
              <w:rPr>
                <w:rFonts w:cs="Arial"/>
                <w:color w:val="000000"/>
              </w:rPr>
              <w:t>80.8%</w:t>
            </w:r>
          </w:p>
        </w:tc>
        <w:tc>
          <w:tcPr>
            <w:tcW w:w="602" w:type="pct"/>
            <w:shd w:val="clear" w:color="auto" w:fill="auto"/>
            <w:vAlign w:val="center"/>
          </w:tcPr>
          <w:p w14:paraId="64C59E83" w14:textId="3A6A969B" w:rsidR="00951A14" w:rsidRPr="00A02D44" w:rsidRDefault="00951A14" w:rsidP="00DF72DF">
            <w:pPr>
              <w:spacing w:after="0"/>
              <w:jc w:val="center"/>
            </w:pPr>
            <w:r w:rsidRPr="00A02D44">
              <w:rPr>
                <w:rFonts w:cs="Arial"/>
                <w:color w:val="000000"/>
              </w:rPr>
              <w:t>77.6%</w:t>
            </w:r>
          </w:p>
        </w:tc>
        <w:tc>
          <w:tcPr>
            <w:tcW w:w="480" w:type="pct"/>
            <w:shd w:val="clear" w:color="auto" w:fill="auto"/>
            <w:vAlign w:val="center"/>
          </w:tcPr>
          <w:p w14:paraId="0C5F003A" w14:textId="0B9C6FA0" w:rsidR="00951A14" w:rsidRPr="00DF72DF" w:rsidRDefault="00951A14" w:rsidP="00DF72DF">
            <w:pPr>
              <w:spacing w:after="0"/>
              <w:jc w:val="center"/>
              <w:rPr>
                <w:b/>
                <w:bCs/>
              </w:rPr>
            </w:pPr>
            <w:r w:rsidRPr="00DF72DF">
              <w:rPr>
                <w:rFonts w:cs="Arial"/>
                <w:b/>
                <w:bCs/>
                <w:color w:val="000000"/>
              </w:rPr>
              <w:t>83.1%</w:t>
            </w:r>
          </w:p>
        </w:tc>
      </w:tr>
      <w:tr w:rsidR="00655249" w14:paraId="2DC4138A" w14:textId="77777777" w:rsidTr="005677F4">
        <w:trPr>
          <w:trHeight w:val="288"/>
          <w:jc w:val="center"/>
        </w:trPr>
        <w:tc>
          <w:tcPr>
            <w:tcW w:w="873" w:type="pct"/>
            <w:shd w:val="clear" w:color="auto" w:fill="auto"/>
            <w:vAlign w:val="center"/>
          </w:tcPr>
          <w:p w14:paraId="7ADFC34D" w14:textId="2F4CC797" w:rsidR="00951A14" w:rsidRDefault="00951A14" w:rsidP="00DF72DF">
            <w:pPr>
              <w:spacing w:after="0"/>
            </w:pPr>
            <w:r>
              <w:rPr>
                <w:rFonts w:cs="Arial"/>
                <w:color w:val="000000"/>
              </w:rPr>
              <w:t>30-39</w:t>
            </w:r>
          </w:p>
        </w:tc>
        <w:tc>
          <w:tcPr>
            <w:tcW w:w="459" w:type="pct"/>
            <w:shd w:val="clear" w:color="auto" w:fill="auto"/>
            <w:vAlign w:val="center"/>
          </w:tcPr>
          <w:p w14:paraId="75545615" w14:textId="340CE44E" w:rsidR="00951A14" w:rsidRDefault="00951A14" w:rsidP="00DF72DF">
            <w:pPr>
              <w:spacing w:after="0"/>
              <w:jc w:val="center"/>
            </w:pPr>
            <w:r>
              <w:rPr>
                <w:rFonts w:cs="Arial"/>
                <w:color w:val="000000"/>
              </w:rPr>
              <w:t>78.1%</w:t>
            </w:r>
          </w:p>
        </w:tc>
        <w:tc>
          <w:tcPr>
            <w:tcW w:w="709" w:type="pct"/>
            <w:shd w:val="clear" w:color="auto" w:fill="auto"/>
            <w:vAlign w:val="center"/>
          </w:tcPr>
          <w:p w14:paraId="3F77603C" w14:textId="4D9318EB" w:rsidR="00951A14" w:rsidRDefault="00951A14" w:rsidP="00DF72DF">
            <w:pPr>
              <w:spacing w:after="0"/>
              <w:jc w:val="center"/>
            </w:pPr>
            <w:r>
              <w:rPr>
                <w:rFonts w:cs="Arial"/>
                <w:color w:val="000000"/>
              </w:rPr>
              <w:t>77.4%</w:t>
            </w:r>
          </w:p>
        </w:tc>
        <w:tc>
          <w:tcPr>
            <w:tcW w:w="667" w:type="pct"/>
            <w:shd w:val="clear" w:color="auto" w:fill="auto"/>
            <w:vAlign w:val="center"/>
          </w:tcPr>
          <w:p w14:paraId="61B3BA55" w14:textId="0BCCED4F" w:rsidR="00951A14" w:rsidRDefault="00951A14" w:rsidP="00DF72DF">
            <w:pPr>
              <w:spacing w:after="0"/>
              <w:jc w:val="center"/>
            </w:pPr>
            <w:r>
              <w:rPr>
                <w:rFonts w:cs="Arial"/>
                <w:color w:val="000000"/>
              </w:rPr>
              <w:t>79.4%</w:t>
            </w:r>
          </w:p>
        </w:tc>
        <w:tc>
          <w:tcPr>
            <w:tcW w:w="626" w:type="pct"/>
            <w:shd w:val="clear" w:color="auto" w:fill="auto"/>
            <w:vAlign w:val="center"/>
          </w:tcPr>
          <w:p w14:paraId="4700353B" w14:textId="02C1CE70" w:rsidR="00951A14" w:rsidRDefault="00951A14" w:rsidP="00DF72DF">
            <w:pPr>
              <w:spacing w:after="0"/>
              <w:jc w:val="center"/>
            </w:pPr>
            <w:r>
              <w:rPr>
                <w:rFonts w:cs="Arial"/>
                <w:color w:val="000000"/>
              </w:rPr>
              <w:t>76.1%</w:t>
            </w:r>
          </w:p>
        </w:tc>
        <w:tc>
          <w:tcPr>
            <w:tcW w:w="584" w:type="pct"/>
            <w:shd w:val="clear" w:color="auto" w:fill="auto"/>
            <w:vAlign w:val="center"/>
          </w:tcPr>
          <w:p w14:paraId="6E06F6EA" w14:textId="18B98A79" w:rsidR="00951A14" w:rsidRDefault="00951A14" w:rsidP="00DF72DF">
            <w:pPr>
              <w:spacing w:after="0"/>
              <w:jc w:val="center"/>
            </w:pPr>
            <w:r>
              <w:rPr>
                <w:rFonts w:cs="Arial"/>
                <w:color w:val="000000"/>
              </w:rPr>
              <w:t>76.7%</w:t>
            </w:r>
          </w:p>
        </w:tc>
        <w:tc>
          <w:tcPr>
            <w:tcW w:w="602" w:type="pct"/>
            <w:shd w:val="clear" w:color="auto" w:fill="auto"/>
            <w:vAlign w:val="center"/>
          </w:tcPr>
          <w:p w14:paraId="1C3B7116" w14:textId="52665227" w:rsidR="00951A14" w:rsidRPr="00A02D44" w:rsidRDefault="00951A14" w:rsidP="00DF72DF">
            <w:pPr>
              <w:spacing w:after="0"/>
              <w:jc w:val="center"/>
            </w:pPr>
            <w:r w:rsidRPr="00A02D44">
              <w:rPr>
                <w:rFonts w:cs="Arial"/>
                <w:color w:val="000000"/>
              </w:rPr>
              <w:t>71.0%</w:t>
            </w:r>
          </w:p>
        </w:tc>
        <w:tc>
          <w:tcPr>
            <w:tcW w:w="480" w:type="pct"/>
            <w:shd w:val="clear" w:color="auto" w:fill="auto"/>
            <w:vAlign w:val="center"/>
          </w:tcPr>
          <w:p w14:paraId="2F6E190F" w14:textId="0B730254" w:rsidR="00951A14" w:rsidRPr="00DF72DF" w:rsidRDefault="00951A14" w:rsidP="00DF72DF">
            <w:pPr>
              <w:spacing w:after="0"/>
              <w:jc w:val="center"/>
              <w:rPr>
                <w:b/>
                <w:bCs/>
              </w:rPr>
            </w:pPr>
            <w:r w:rsidRPr="00DF72DF">
              <w:rPr>
                <w:rFonts w:cs="Arial"/>
                <w:b/>
                <w:bCs/>
                <w:color w:val="000000"/>
              </w:rPr>
              <w:t>77.3%</w:t>
            </w:r>
          </w:p>
        </w:tc>
      </w:tr>
      <w:tr w:rsidR="00655249" w14:paraId="2F8EB93D" w14:textId="77777777" w:rsidTr="005677F4">
        <w:trPr>
          <w:trHeight w:val="288"/>
          <w:jc w:val="center"/>
        </w:trPr>
        <w:tc>
          <w:tcPr>
            <w:tcW w:w="873" w:type="pct"/>
            <w:shd w:val="clear" w:color="auto" w:fill="auto"/>
            <w:vAlign w:val="center"/>
          </w:tcPr>
          <w:p w14:paraId="562E6CB9" w14:textId="48BCC63A" w:rsidR="00951A14" w:rsidRDefault="00951A14" w:rsidP="00DF72DF">
            <w:pPr>
              <w:spacing w:after="0"/>
            </w:pPr>
            <w:r>
              <w:rPr>
                <w:rFonts w:cs="Arial"/>
                <w:color w:val="000000"/>
              </w:rPr>
              <w:t>40-49</w:t>
            </w:r>
          </w:p>
        </w:tc>
        <w:tc>
          <w:tcPr>
            <w:tcW w:w="459" w:type="pct"/>
            <w:shd w:val="clear" w:color="auto" w:fill="auto"/>
            <w:vAlign w:val="center"/>
          </w:tcPr>
          <w:p w14:paraId="4E0DDC02" w14:textId="6D9F65D1" w:rsidR="00951A14" w:rsidRDefault="00951A14" w:rsidP="00DF72DF">
            <w:pPr>
              <w:spacing w:after="0"/>
              <w:jc w:val="center"/>
            </w:pPr>
            <w:r>
              <w:rPr>
                <w:rFonts w:cs="Arial"/>
                <w:color w:val="000000"/>
              </w:rPr>
              <w:t>77.4%</w:t>
            </w:r>
          </w:p>
        </w:tc>
        <w:tc>
          <w:tcPr>
            <w:tcW w:w="709" w:type="pct"/>
            <w:shd w:val="clear" w:color="auto" w:fill="auto"/>
            <w:vAlign w:val="center"/>
          </w:tcPr>
          <w:p w14:paraId="04BE1AA9" w14:textId="511C8124" w:rsidR="00951A14" w:rsidRDefault="00951A14" w:rsidP="00DF72DF">
            <w:pPr>
              <w:spacing w:after="0"/>
              <w:jc w:val="center"/>
            </w:pPr>
            <w:r>
              <w:rPr>
                <w:rFonts w:cs="Arial"/>
                <w:color w:val="000000"/>
              </w:rPr>
              <w:t>79.1%</w:t>
            </w:r>
          </w:p>
        </w:tc>
        <w:tc>
          <w:tcPr>
            <w:tcW w:w="667" w:type="pct"/>
            <w:shd w:val="clear" w:color="auto" w:fill="auto"/>
            <w:vAlign w:val="center"/>
          </w:tcPr>
          <w:p w14:paraId="0C118862" w14:textId="4FB8AC04" w:rsidR="00951A14" w:rsidRDefault="00951A14" w:rsidP="00DF72DF">
            <w:pPr>
              <w:spacing w:after="0"/>
              <w:jc w:val="center"/>
            </w:pPr>
            <w:r>
              <w:rPr>
                <w:rFonts w:cs="Arial"/>
                <w:color w:val="000000"/>
              </w:rPr>
              <w:t>80.6%</w:t>
            </w:r>
          </w:p>
        </w:tc>
        <w:tc>
          <w:tcPr>
            <w:tcW w:w="626" w:type="pct"/>
            <w:shd w:val="clear" w:color="auto" w:fill="auto"/>
            <w:vAlign w:val="center"/>
          </w:tcPr>
          <w:p w14:paraId="17A9D9EA" w14:textId="18795BC2" w:rsidR="00951A14" w:rsidRDefault="00951A14" w:rsidP="00DF72DF">
            <w:pPr>
              <w:spacing w:after="0"/>
              <w:jc w:val="center"/>
            </w:pPr>
            <w:r>
              <w:rPr>
                <w:rFonts w:cs="Arial"/>
                <w:color w:val="000000"/>
              </w:rPr>
              <w:t>77.8%</w:t>
            </w:r>
          </w:p>
        </w:tc>
        <w:tc>
          <w:tcPr>
            <w:tcW w:w="584" w:type="pct"/>
            <w:shd w:val="clear" w:color="auto" w:fill="auto"/>
            <w:vAlign w:val="center"/>
          </w:tcPr>
          <w:p w14:paraId="6A19B654" w14:textId="2101F4E3" w:rsidR="00951A14" w:rsidRDefault="00951A14" w:rsidP="00DF72DF">
            <w:pPr>
              <w:spacing w:after="0"/>
              <w:jc w:val="center"/>
            </w:pPr>
            <w:r>
              <w:rPr>
                <w:rFonts w:cs="Arial"/>
                <w:color w:val="000000"/>
              </w:rPr>
              <w:t>72.7%</w:t>
            </w:r>
          </w:p>
        </w:tc>
        <w:tc>
          <w:tcPr>
            <w:tcW w:w="602" w:type="pct"/>
            <w:shd w:val="clear" w:color="auto" w:fill="auto"/>
            <w:vAlign w:val="center"/>
          </w:tcPr>
          <w:p w14:paraId="7774A9ED" w14:textId="1FD1E5B7" w:rsidR="00951A14" w:rsidRPr="00A02D44" w:rsidRDefault="00951A14" w:rsidP="00DF72DF">
            <w:pPr>
              <w:spacing w:after="0"/>
              <w:jc w:val="center"/>
            </w:pPr>
            <w:r w:rsidRPr="00A02D44">
              <w:rPr>
                <w:rFonts w:cs="Arial"/>
                <w:color w:val="000000"/>
              </w:rPr>
              <w:t>72.6%</w:t>
            </w:r>
          </w:p>
        </w:tc>
        <w:tc>
          <w:tcPr>
            <w:tcW w:w="480" w:type="pct"/>
            <w:shd w:val="clear" w:color="auto" w:fill="auto"/>
            <w:vAlign w:val="center"/>
          </w:tcPr>
          <w:p w14:paraId="51A7DB23" w14:textId="562D02A4" w:rsidR="00951A14" w:rsidRPr="00DF72DF" w:rsidRDefault="00951A14" w:rsidP="00DF72DF">
            <w:pPr>
              <w:spacing w:after="0"/>
              <w:jc w:val="center"/>
              <w:rPr>
                <w:b/>
                <w:bCs/>
              </w:rPr>
            </w:pPr>
            <w:r w:rsidRPr="00DF72DF">
              <w:rPr>
                <w:rFonts w:cs="Arial"/>
                <w:b/>
                <w:bCs/>
                <w:color w:val="000000"/>
              </w:rPr>
              <w:t>77.9%</w:t>
            </w:r>
          </w:p>
        </w:tc>
      </w:tr>
      <w:tr w:rsidR="00655249" w14:paraId="1C4D73AA" w14:textId="77777777" w:rsidTr="005677F4">
        <w:trPr>
          <w:trHeight w:val="288"/>
          <w:jc w:val="center"/>
        </w:trPr>
        <w:tc>
          <w:tcPr>
            <w:tcW w:w="873" w:type="pct"/>
            <w:shd w:val="clear" w:color="auto" w:fill="auto"/>
            <w:vAlign w:val="center"/>
          </w:tcPr>
          <w:p w14:paraId="116525BD" w14:textId="30704467" w:rsidR="00951A14" w:rsidRDefault="00951A14" w:rsidP="00DF72DF">
            <w:pPr>
              <w:spacing w:after="0"/>
            </w:pPr>
            <w:r>
              <w:rPr>
                <w:rFonts w:cs="Arial"/>
                <w:color w:val="000000"/>
              </w:rPr>
              <w:t>50-59</w:t>
            </w:r>
          </w:p>
        </w:tc>
        <w:tc>
          <w:tcPr>
            <w:tcW w:w="459" w:type="pct"/>
            <w:shd w:val="clear" w:color="auto" w:fill="auto"/>
            <w:vAlign w:val="center"/>
          </w:tcPr>
          <w:p w14:paraId="70658F8F" w14:textId="1711E8D5" w:rsidR="00951A14" w:rsidRDefault="00951A14" w:rsidP="00DF72DF">
            <w:pPr>
              <w:spacing w:after="0"/>
              <w:jc w:val="center"/>
            </w:pPr>
            <w:r>
              <w:rPr>
                <w:rFonts w:cs="Arial"/>
                <w:color w:val="000000"/>
              </w:rPr>
              <w:t>76.3%</w:t>
            </w:r>
          </w:p>
        </w:tc>
        <w:tc>
          <w:tcPr>
            <w:tcW w:w="709" w:type="pct"/>
            <w:shd w:val="clear" w:color="auto" w:fill="auto"/>
            <w:vAlign w:val="center"/>
          </w:tcPr>
          <w:p w14:paraId="0341613B" w14:textId="3C63861B" w:rsidR="00951A14" w:rsidRDefault="00951A14" w:rsidP="00DF72DF">
            <w:pPr>
              <w:spacing w:after="0"/>
              <w:jc w:val="center"/>
            </w:pPr>
            <w:r>
              <w:rPr>
                <w:rFonts w:cs="Arial"/>
                <w:color w:val="000000"/>
              </w:rPr>
              <w:t>77.7%</w:t>
            </w:r>
          </w:p>
        </w:tc>
        <w:tc>
          <w:tcPr>
            <w:tcW w:w="667" w:type="pct"/>
            <w:shd w:val="clear" w:color="auto" w:fill="auto"/>
            <w:vAlign w:val="center"/>
          </w:tcPr>
          <w:p w14:paraId="7E3BC6B5" w14:textId="7AABF7C1" w:rsidR="00951A14" w:rsidRDefault="00951A14" w:rsidP="00DF72DF">
            <w:pPr>
              <w:spacing w:after="0"/>
              <w:jc w:val="center"/>
            </w:pPr>
            <w:r>
              <w:rPr>
                <w:rFonts w:cs="Arial"/>
                <w:color w:val="000000"/>
              </w:rPr>
              <w:t>76.9%</w:t>
            </w:r>
          </w:p>
        </w:tc>
        <w:tc>
          <w:tcPr>
            <w:tcW w:w="626" w:type="pct"/>
            <w:shd w:val="clear" w:color="auto" w:fill="auto"/>
            <w:vAlign w:val="center"/>
          </w:tcPr>
          <w:p w14:paraId="56430963" w14:textId="47440B7B" w:rsidR="00951A14" w:rsidRDefault="00951A14" w:rsidP="00DF72DF">
            <w:pPr>
              <w:spacing w:after="0"/>
              <w:jc w:val="center"/>
            </w:pPr>
            <w:r>
              <w:rPr>
                <w:rFonts w:cs="Arial"/>
                <w:color w:val="000000"/>
              </w:rPr>
              <w:t>74.1%</w:t>
            </w:r>
          </w:p>
        </w:tc>
        <w:tc>
          <w:tcPr>
            <w:tcW w:w="584" w:type="pct"/>
            <w:shd w:val="clear" w:color="auto" w:fill="auto"/>
            <w:vAlign w:val="center"/>
          </w:tcPr>
          <w:p w14:paraId="64CC00A4" w14:textId="631C7364" w:rsidR="00951A14" w:rsidRDefault="00951A14" w:rsidP="00DF72DF">
            <w:pPr>
              <w:spacing w:after="0"/>
              <w:jc w:val="center"/>
            </w:pPr>
            <w:r>
              <w:rPr>
                <w:rFonts w:cs="Arial"/>
                <w:color w:val="000000"/>
              </w:rPr>
              <w:t>72.8%</w:t>
            </w:r>
          </w:p>
        </w:tc>
        <w:tc>
          <w:tcPr>
            <w:tcW w:w="602" w:type="pct"/>
            <w:shd w:val="clear" w:color="auto" w:fill="auto"/>
            <w:vAlign w:val="center"/>
          </w:tcPr>
          <w:p w14:paraId="01418014" w14:textId="134D841C" w:rsidR="00951A14" w:rsidRPr="00A02D44" w:rsidRDefault="00951A14" w:rsidP="00DF72DF">
            <w:pPr>
              <w:spacing w:after="0"/>
              <w:jc w:val="center"/>
            </w:pPr>
            <w:r w:rsidRPr="00A02D44">
              <w:rPr>
                <w:rFonts w:cs="Arial"/>
                <w:color w:val="000000"/>
              </w:rPr>
              <w:t>67.2%</w:t>
            </w:r>
          </w:p>
        </w:tc>
        <w:tc>
          <w:tcPr>
            <w:tcW w:w="480" w:type="pct"/>
            <w:shd w:val="clear" w:color="auto" w:fill="auto"/>
            <w:vAlign w:val="center"/>
          </w:tcPr>
          <w:p w14:paraId="48DB3357" w14:textId="17CB3B47" w:rsidR="00951A14" w:rsidRPr="00DF72DF" w:rsidRDefault="00951A14" w:rsidP="00DF72DF">
            <w:pPr>
              <w:spacing w:after="0"/>
              <w:jc w:val="center"/>
              <w:rPr>
                <w:b/>
                <w:bCs/>
              </w:rPr>
            </w:pPr>
            <w:r w:rsidRPr="00DF72DF">
              <w:rPr>
                <w:rFonts w:cs="Arial"/>
                <w:b/>
                <w:bCs/>
                <w:color w:val="000000"/>
              </w:rPr>
              <w:t>75.5%</w:t>
            </w:r>
          </w:p>
        </w:tc>
      </w:tr>
      <w:tr w:rsidR="00655249" w14:paraId="6ED33F08" w14:textId="77777777" w:rsidTr="005677F4">
        <w:trPr>
          <w:trHeight w:val="288"/>
          <w:jc w:val="center"/>
        </w:trPr>
        <w:tc>
          <w:tcPr>
            <w:tcW w:w="873" w:type="pct"/>
            <w:shd w:val="clear" w:color="auto" w:fill="auto"/>
            <w:vAlign w:val="center"/>
          </w:tcPr>
          <w:p w14:paraId="625B04A4" w14:textId="2DD4F98D" w:rsidR="00951A14" w:rsidRDefault="00951A14" w:rsidP="00DF72DF">
            <w:pPr>
              <w:spacing w:after="0"/>
            </w:pPr>
            <w:r>
              <w:rPr>
                <w:rFonts w:cs="Arial"/>
                <w:color w:val="000000"/>
              </w:rPr>
              <w:t>60-69</w:t>
            </w:r>
          </w:p>
        </w:tc>
        <w:tc>
          <w:tcPr>
            <w:tcW w:w="459" w:type="pct"/>
            <w:shd w:val="clear" w:color="auto" w:fill="auto"/>
            <w:vAlign w:val="center"/>
          </w:tcPr>
          <w:p w14:paraId="58CDF725" w14:textId="251DE80E" w:rsidR="00951A14" w:rsidRDefault="00951A14" w:rsidP="00DF72DF">
            <w:pPr>
              <w:spacing w:after="0"/>
              <w:jc w:val="center"/>
            </w:pPr>
            <w:r>
              <w:rPr>
                <w:rFonts w:cs="Arial"/>
                <w:color w:val="000000"/>
              </w:rPr>
              <w:t>80.0%</w:t>
            </w:r>
          </w:p>
        </w:tc>
        <w:tc>
          <w:tcPr>
            <w:tcW w:w="709" w:type="pct"/>
            <w:shd w:val="clear" w:color="auto" w:fill="auto"/>
            <w:vAlign w:val="center"/>
          </w:tcPr>
          <w:p w14:paraId="708F3209" w14:textId="39D1B041" w:rsidR="00951A14" w:rsidRDefault="00951A14" w:rsidP="00DF72DF">
            <w:pPr>
              <w:spacing w:after="0"/>
              <w:jc w:val="center"/>
            </w:pPr>
            <w:r>
              <w:rPr>
                <w:rFonts w:cs="Arial"/>
                <w:color w:val="000000"/>
              </w:rPr>
              <w:t>80.7%</w:t>
            </w:r>
          </w:p>
        </w:tc>
        <w:tc>
          <w:tcPr>
            <w:tcW w:w="667" w:type="pct"/>
            <w:shd w:val="clear" w:color="auto" w:fill="auto"/>
            <w:vAlign w:val="center"/>
          </w:tcPr>
          <w:p w14:paraId="407F7D2E" w14:textId="324CB34E" w:rsidR="00951A14" w:rsidRDefault="00951A14" w:rsidP="00DF72DF">
            <w:pPr>
              <w:spacing w:after="0"/>
              <w:jc w:val="center"/>
            </w:pPr>
            <w:r>
              <w:rPr>
                <w:rFonts w:cs="Arial"/>
                <w:color w:val="000000"/>
              </w:rPr>
              <w:t>75.4%</w:t>
            </w:r>
          </w:p>
        </w:tc>
        <w:tc>
          <w:tcPr>
            <w:tcW w:w="626" w:type="pct"/>
            <w:shd w:val="clear" w:color="auto" w:fill="auto"/>
            <w:vAlign w:val="center"/>
          </w:tcPr>
          <w:p w14:paraId="75F21590" w14:textId="52E8C7C1" w:rsidR="00951A14" w:rsidRDefault="00951A14" w:rsidP="00DF72DF">
            <w:pPr>
              <w:spacing w:after="0"/>
              <w:jc w:val="center"/>
            </w:pPr>
            <w:r>
              <w:rPr>
                <w:rFonts w:cs="Arial"/>
                <w:color w:val="000000"/>
              </w:rPr>
              <w:t>78.9%</w:t>
            </w:r>
          </w:p>
        </w:tc>
        <w:tc>
          <w:tcPr>
            <w:tcW w:w="584" w:type="pct"/>
            <w:shd w:val="clear" w:color="auto" w:fill="auto"/>
            <w:vAlign w:val="center"/>
          </w:tcPr>
          <w:p w14:paraId="63323CEE" w14:textId="5583B5BE" w:rsidR="00951A14" w:rsidRDefault="00951A14" w:rsidP="00DF72DF">
            <w:pPr>
              <w:spacing w:after="0"/>
              <w:jc w:val="center"/>
            </w:pPr>
            <w:r>
              <w:rPr>
                <w:rFonts w:cs="Arial"/>
                <w:color w:val="000000"/>
              </w:rPr>
              <w:t>73.4%</w:t>
            </w:r>
          </w:p>
        </w:tc>
        <w:tc>
          <w:tcPr>
            <w:tcW w:w="602" w:type="pct"/>
            <w:shd w:val="clear" w:color="auto" w:fill="auto"/>
            <w:vAlign w:val="center"/>
          </w:tcPr>
          <w:p w14:paraId="19586DF9" w14:textId="30DFC321" w:rsidR="00951A14" w:rsidRPr="00A02D44" w:rsidRDefault="00951A14" w:rsidP="00DF72DF">
            <w:pPr>
              <w:spacing w:after="0"/>
              <w:jc w:val="center"/>
            </w:pPr>
            <w:r w:rsidRPr="00A02D44">
              <w:rPr>
                <w:rFonts w:cs="Arial"/>
                <w:color w:val="000000"/>
              </w:rPr>
              <w:t>71.8%</w:t>
            </w:r>
          </w:p>
        </w:tc>
        <w:tc>
          <w:tcPr>
            <w:tcW w:w="480" w:type="pct"/>
            <w:shd w:val="clear" w:color="auto" w:fill="auto"/>
            <w:vAlign w:val="center"/>
          </w:tcPr>
          <w:p w14:paraId="707FB86E" w14:textId="6AADC345" w:rsidR="00951A14" w:rsidRPr="00DF72DF" w:rsidRDefault="00951A14" w:rsidP="00DF72DF">
            <w:pPr>
              <w:spacing w:after="0"/>
              <w:jc w:val="center"/>
              <w:rPr>
                <w:b/>
                <w:bCs/>
              </w:rPr>
            </w:pPr>
            <w:r w:rsidRPr="00DF72DF">
              <w:rPr>
                <w:rFonts w:cs="Arial"/>
                <w:b/>
                <w:bCs/>
                <w:color w:val="000000"/>
              </w:rPr>
              <w:t>77.8%</w:t>
            </w:r>
          </w:p>
        </w:tc>
      </w:tr>
      <w:tr w:rsidR="00655249" w14:paraId="32C4F81F" w14:textId="77777777" w:rsidTr="005677F4">
        <w:trPr>
          <w:trHeight w:val="288"/>
          <w:jc w:val="center"/>
        </w:trPr>
        <w:tc>
          <w:tcPr>
            <w:tcW w:w="873" w:type="pct"/>
            <w:shd w:val="clear" w:color="auto" w:fill="auto"/>
            <w:vAlign w:val="center"/>
          </w:tcPr>
          <w:p w14:paraId="3926057A" w14:textId="511D73C9" w:rsidR="00951A14" w:rsidRDefault="00951A14" w:rsidP="00DF72DF">
            <w:pPr>
              <w:spacing w:after="0"/>
            </w:pPr>
            <w:r>
              <w:rPr>
                <w:rFonts w:cs="Arial"/>
                <w:color w:val="000000"/>
              </w:rPr>
              <w:t xml:space="preserve">70 and </w:t>
            </w:r>
            <w:proofErr w:type="gramStart"/>
            <w:r>
              <w:rPr>
                <w:rFonts w:cs="Arial"/>
                <w:color w:val="000000"/>
              </w:rPr>
              <w:t>Above</w:t>
            </w:r>
            <w:proofErr w:type="gramEnd"/>
          </w:p>
        </w:tc>
        <w:tc>
          <w:tcPr>
            <w:tcW w:w="459" w:type="pct"/>
            <w:shd w:val="clear" w:color="auto" w:fill="auto"/>
            <w:vAlign w:val="center"/>
          </w:tcPr>
          <w:p w14:paraId="02ACDEA2" w14:textId="075C2F2A" w:rsidR="00951A14" w:rsidRDefault="00951A14" w:rsidP="00DF72DF">
            <w:pPr>
              <w:spacing w:after="0"/>
              <w:jc w:val="center"/>
            </w:pPr>
            <w:r>
              <w:rPr>
                <w:rFonts w:cs="Arial"/>
                <w:color w:val="000000"/>
              </w:rPr>
              <w:t>80.2%</w:t>
            </w:r>
          </w:p>
        </w:tc>
        <w:tc>
          <w:tcPr>
            <w:tcW w:w="709" w:type="pct"/>
            <w:shd w:val="clear" w:color="auto" w:fill="auto"/>
            <w:vAlign w:val="center"/>
          </w:tcPr>
          <w:p w14:paraId="3CE5A101" w14:textId="308D5A65" w:rsidR="00951A14" w:rsidRDefault="00951A14" w:rsidP="00DF72DF">
            <w:pPr>
              <w:spacing w:after="0"/>
              <w:jc w:val="center"/>
            </w:pPr>
            <w:r>
              <w:rPr>
                <w:rFonts w:cs="Arial"/>
                <w:color w:val="000000"/>
              </w:rPr>
              <w:t>83.3%</w:t>
            </w:r>
          </w:p>
        </w:tc>
        <w:tc>
          <w:tcPr>
            <w:tcW w:w="667" w:type="pct"/>
            <w:shd w:val="clear" w:color="auto" w:fill="auto"/>
            <w:vAlign w:val="center"/>
          </w:tcPr>
          <w:p w14:paraId="505E6706" w14:textId="43878B7B" w:rsidR="00951A14" w:rsidRDefault="00951A14" w:rsidP="00DF72DF">
            <w:pPr>
              <w:spacing w:after="0"/>
              <w:jc w:val="center"/>
            </w:pPr>
            <w:r>
              <w:rPr>
                <w:rFonts w:cs="Arial"/>
                <w:color w:val="000000"/>
              </w:rPr>
              <w:t>82.7%</w:t>
            </w:r>
          </w:p>
        </w:tc>
        <w:tc>
          <w:tcPr>
            <w:tcW w:w="626" w:type="pct"/>
            <w:shd w:val="clear" w:color="auto" w:fill="auto"/>
            <w:vAlign w:val="center"/>
          </w:tcPr>
          <w:p w14:paraId="50A342D8" w14:textId="3C6D948D" w:rsidR="00951A14" w:rsidRDefault="00951A14" w:rsidP="00DF72DF">
            <w:pPr>
              <w:spacing w:after="0"/>
              <w:jc w:val="center"/>
            </w:pPr>
            <w:r>
              <w:rPr>
                <w:rFonts w:cs="Arial"/>
                <w:color w:val="000000"/>
              </w:rPr>
              <w:t>83.3%</w:t>
            </w:r>
          </w:p>
        </w:tc>
        <w:tc>
          <w:tcPr>
            <w:tcW w:w="584" w:type="pct"/>
            <w:shd w:val="clear" w:color="auto" w:fill="auto"/>
            <w:vAlign w:val="center"/>
          </w:tcPr>
          <w:p w14:paraId="2248475D" w14:textId="38E021E0" w:rsidR="00951A14" w:rsidRDefault="00951A14" w:rsidP="00DF72DF">
            <w:pPr>
              <w:spacing w:after="0"/>
              <w:jc w:val="center"/>
            </w:pPr>
            <w:r>
              <w:rPr>
                <w:rFonts w:cs="Arial"/>
                <w:color w:val="000000"/>
              </w:rPr>
              <w:t>88.0%</w:t>
            </w:r>
          </w:p>
        </w:tc>
        <w:tc>
          <w:tcPr>
            <w:tcW w:w="602" w:type="pct"/>
            <w:shd w:val="clear" w:color="auto" w:fill="auto"/>
            <w:vAlign w:val="center"/>
          </w:tcPr>
          <w:p w14:paraId="49E68E08" w14:textId="25F7DCD6" w:rsidR="00951A14" w:rsidRPr="00A02D44" w:rsidRDefault="00951A14" w:rsidP="00DF72DF">
            <w:pPr>
              <w:spacing w:after="0"/>
              <w:jc w:val="center"/>
            </w:pPr>
            <w:r w:rsidRPr="00A02D44">
              <w:rPr>
                <w:rFonts w:cs="Arial"/>
                <w:color w:val="000000"/>
              </w:rPr>
              <w:t>57.1%</w:t>
            </w:r>
          </w:p>
        </w:tc>
        <w:tc>
          <w:tcPr>
            <w:tcW w:w="480" w:type="pct"/>
            <w:shd w:val="clear" w:color="auto" w:fill="auto"/>
            <w:vAlign w:val="center"/>
          </w:tcPr>
          <w:p w14:paraId="2CE39B2E" w14:textId="27291BEA" w:rsidR="00951A14" w:rsidRPr="00DF72DF" w:rsidRDefault="00951A14" w:rsidP="00DF72DF">
            <w:pPr>
              <w:spacing w:after="0"/>
              <w:jc w:val="center"/>
              <w:rPr>
                <w:b/>
                <w:bCs/>
              </w:rPr>
            </w:pPr>
            <w:r w:rsidRPr="00DF72DF">
              <w:rPr>
                <w:rFonts w:cs="Arial"/>
                <w:b/>
                <w:bCs/>
                <w:color w:val="000000"/>
              </w:rPr>
              <w:t>83.0%</w:t>
            </w:r>
          </w:p>
        </w:tc>
      </w:tr>
      <w:tr w:rsidR="00655249" w14:paraId="0CA23A8F" w14:textId="77777777" w:rsidTr="005677F4">
        <w:trPr>
          <w:trHeight w:val="288"/>
          <w:jc w:val="center"/>
        </w:trPr>
        <w:tc>
          <w:tcPr>
            <w:tcW w:w="873" w:type="pct"/>
            <w:shd w:val="clear" w:color="auto" w:fill="auto"/>
            <w:vAlign w:val="center"/>
          </w:tcPr>
          <w:p w14:paraId="496F90E2" w14:textId="7EE3D252" w:rsidR="00951A14" w:rsidRDefault="00951A14" w:rsidP="00DF72DF">
            <w:pPr>
              <w:spacing w:after="0"/>
            </w:pPr>
            <w:r>
              <w:rPr>
                <w:rFonts w:cs="Arial"/>
                <w:color w:val="000000"/>
              </w:rPr>
              <w:t>Not Reported</w:t>
            </w:r>
          </w:p>
        </w:tc>
        <w:tc>
          <w:tcPr>
            <w:tcW w:w="459" w:type="pct"/>
            <w:shd w:val="clear" w:color="auto" w:fill="auto"/>
            <w:vAlign w:val="center"/>
          </w:tcPr>
          <w:p w14:paraId="5815FCDA" w14:textId="768A1C12" w:rsidR="00951A14" w:rsidRDefault="00951A14" w:rsidP="00DF72DF">
            <w:pPr>
              <w:spacing w:after="0"/>
              <w:jc w:val="center"/>
            </w:pPr>
            <w:r>
              <w:rPr>
                <w:rFonts w:cs="Arial"/>
                <w:color w:val="000000"/>
              </w:rPr>
              <w:t>73.0%</w:t>
            </w:r>
          </w:p>
        </w:tc>
        <w:tc>
          <w:tcPr>
            <w:tcW w:w="709" w:type="pct"/>
            <w:shd w:val="clear" w:color="auto" w:fill="auto"/>
            <w:vAlign w:val="center"/>
          </w:tcPr>
          <w:p w14:paraId="5E920D5C" w14:textId="2B63D920" w:rsidR="00951A14" w:rsidRDefault="00951A14" w:rsidP="00DF72DF">
            <w:pPr>
              <w:spacing w:after="0"/>
              <w:jc w:val="center"/>
            </w:pPr>
            <w:r>
              <w:rPr>
                <w:rFonts w:cs="Arial"/>
                <w:color w:val="000000"/>
              </w:rPr>
              <w:t>82.5%</w:t>
            </w:r>
          </w:p>
        </w:tc>
        <w:tc>
          <w:tcPr>
            <w:tcW w:w="667" w:type="pct"/>
            <w:shd w:val="clear" w:color="auto" w:fill="auto"/>
            <w:vAlign w:val="center"/>
          </w:tcPr>
          <w:p w14:paraId="24177E48" w14:textId="41FEC6D9" w:rsidR="00951A14" w:rsidRDefault="00951A14" w:rsidP="00DF72DF">
            <w:pPr>
              <w:spacing w:after="0"/>
              <w:jc w:val="center"/>
            </w:pPr>
            <w:r>
              <w:rPr>
                <w:rFonts w:cs="Arial"/>
                <w:color w:val="000000"/>
              </w:rPr>
              <w:t>80.2%</w:t>
            </w:r>
          </w:p>
        </w:tc>
        <w:tc>
          <w:tcPr>
            <w:tcW w:w="626" w:type="pct"/>
            <w:shd w:val="clear" w:color="auto" w:fill="auto"/>
            <w:vAlign w:val="center"/>
          </w:tcPr>
          <w:p w14:paraId="34544D4C" w14:textId="661F5283" w:rsidR="00951A14" w:rsidRDefault="00951A14" w:rsidP="00DF72DF">
            <w:pPr>
              <w:spacing w:after="0"/>
              <w:jc w:val="center"/>
            </w:pPr>
            <w:r>
              <w:rPr>
                <w:rFonts w:cs="Arial"/>
                <w:color w:val="000000"/>
              </w:rPr>
              <w:t>70.0%</w:t>
            </w:r>
          </w:p>
        </w:tc>
        <w:tc>
          <w:tcPr>
            <w:tcW w:w="584" w:type="pct"/>
            <w:shd w:val="clear" w:color="auto" w:fill="auto"/>
            <w:vAlign w:val="center"/>
          </w:tcPr>
          <w:p w14:paraId="21263ED8" w14:textId="09805EC7" w:rsidR="00951A14" w:rsidRDefault="00951A14" w:rsidP="00DF72DF">
            <w:pPr>
              <w:spacing w:after="0"/>
              <w:jc w:val="center"/>
            </w:pPr>
            <w:r>
              <w:rPr>
                <w:rFonts w:cs="Arial"/>
                <w:color w:val="000000"/>
              </w:rPr>
              <w:t>75.3%</w:t>
            </w:r>
          </w:p>
        </w:tc>
        <w:tc>
          <w:tcPr>
            <w:tcW w:w="602" w:type="pct"/>
            <w:shd w:val="clear" w:color="auto" w:fill="auto"/>
            <w:vAlign w:val="center"/>
          </w:tcPr>
          <w:p w14:paraId="53459CF7" w14:textId="1CC0A7F3" w:rsidR="00951A14" w:rsidRDefault="00951A14" w:rsidP="00DF72DF">
            <w:pPr>
              <w:spacing w:after="0"/>
              <w:jc w:val="center"/>
            </w:pPr>
            <w:r>
              <w:rPr>
                <w:rFonts w:cs="Arial"/>
                <w:color w:val="000000"/>
              </w:rPr>
              <w:t>79.4%</w:t>
            </w:r>
          </w:p>
        </w:tc>
        <w:tc>
          <w:tcPr>
            <w:tcW w:w="480" w:type="pct"/>
            <w:shd w:val="clear" w:color="auto" w:fill="auto"/>
            <w:vAlign w:val="center"/>
          </w:tcPr>
          <w:p w14:paraId="30A387EC" w14:textId="6F209E6C" w:rsidR="00951A14" w:rsidRPr="00DF72DF" w:rsidRDefault="00951A14" w:rsidP="00DF72DF">
            <w:pPr>
              <w:spacing w:after="0"/>
              <w:jc w:val="center"/>
              <w:rPr>
                <w:b/>
                <w:bCs/>
              </w:rPr>
            </w:pPr>
            <w:r w:rsidRPr="00DF72DF">
              <w:rPr>
                <w:rFonts w:cs="Arial"/>
                <w:b/>
                <w:bCs/>
                <w:color w:val="000000"/>
              </w:rPr>
              <w:t>77.2%</w:t>
            </w:r>
          </w:p>
        </w:tc>
      </w:tr>
    </w:tbl>
    <w:p w14:paraId="62B8A2E0" w14:textId="4246D4D3" w:rsidR="00741DBE" w:rsidRDefault="00AB58AC" w:rsidP="00635226">
      <w:pPr>
        <w:pStyle w:val="SectionSub-Headings"/>
      </w:pPr>
      <w:bookmarkStart w:id="33" w:name="_Toc90632194"/>
      <w:r>
        <w:t xml:space="preserve">Survey </w:t>
      </w:r>
      <w:r w:rsidR="00741DBE">
        <w:t>Results by Consumer Location</w:t>
      </w:r>
      <w:bookmarkEnd w:id="33"/>
    </w:p>
    <w:p w14:paraId="098BC2FF" w14:textId="2AFF93FF" w:rsidR="004D5AF3" w:rsidRDefault="007D7FC8" w:rsidP="00635226">
      <w:pPr>
        <w:pStyle w:val="SectionSub-HeadingsTopics"/>
        <w:numPr>
          <w:ilvl w:val="0"/>
          <w:numId w:val="16"/>
        </w:numPr>
      </w:pPr>
      <w:bookmarkStart w:id="34" w:name="_Toc90632195"/>
      <w:r>
        <w:t xml:space="preserve">Survey </w:t>
      </w:r>
      <w:r w:rsidR="00AB58AC">
        <w:t>Responses by Consumer Location</w:t>
      </w:r>
      <w:bookmarkEnd w:id="34"/>
    </w:p>
    <w:p w14:paraId="7A0D378B" w14:textId="5DAB0CF5" w:rsidR="005303B2" w:rsidRDefault="00282CC8" w:rsidP="00B53944">
      <w:r>
        <w:t>Survey participants were asked to report their location</w:t>
      </w:r>
      <w:r w:rsidR="001B604B">
        <w:t xml:space="preserve">. </w:t>
      </w:r>
      <w:r w:rsidR="005303B2">
        <w:t>This information was</w:t>
      </w:r>
      <w:r w:rsidR="001B604B">
        <w:t xml:space="preserve"> compared with the locations of DOR offices to determine</w:t>
      </w:r>
      <w:r w:rsidR="005303B2">
        <w:t xml:space="preserve"> which participants have a local DOR </w:t>
      </w:r>
      <w:r w:rsidR="00B33622">
        <w:t>office,</w:t>
      </w:r>
      <w:r w:rsidR="005303B2">
        <w:t xml:space="preserve"> and which must travel to a different city to visit a DOR office.</w:t>
      </w:r>
      <w:r w:rsidR="00B35319">
        <w:t xml:space="preserve"> The distribution of DOR offices and CSS participants throughout the state of California are compared below (Figure 11, Table 17).</w:t>
      </w:r>
    </w:p>
    <w:p w14:paraId="4A76BB28" w14:textId="5C2265E9" w:rsidR="00871C9C" w:rsidRDefault="00E52DE7" w:rsidP="00871C9C">
      <w:r>
        <w:t xml:space="preserve">In California, DOR has 83 offices </w:t>
      </w:r>
      <w:r w:rsidR="003D6F27">
        <w:t>spanning 7</w:t>
      </w:r>
      <w:r w:rsidR="003F4C2C">
        <w:t>7</w:t>
      </w:r>
      <w:r w:rsidR="003D6F27">
        <w:t xml:space="preserve"> cities. </w:t>
      </w:r>
      <w:r w:rsidR="00AF3335">
        <w:t xml:space="preserve">For the CSS, 839 participants </w:t>
      </w:r>
      <w:r w:rsidR="00153B34">
        <w:t>reported their locations which included</w:t>
      </w:r>
      <w:r w:rsidR="009E0769">
        <w:t xml:space="preserve"> 288 </w:t>
      </w:r>
      <w:r w:rsidR="00F3311D">
        <w:t>different cities. When compared</w:t>
      </w:r>
      <w:r w:rsidR="004A5334">
        <w:t xml:space="preserve"> to DOR offices</w:t>
      </w:r>
      <w:r w:rsidR="00F3311D">
        <w:t xml:space="preserve">, </w:t>
      </w:r>
      <w:r w:rsidR="00F43340">
        <w:t>47.7% of participants shared a city with a DOR office</w:t>
      </w:r>
      <w:r w:rsidR="005958DB">
        <w:t xml:space="preserve">, 50.5% </w:t>
      </w:r>
      <w:r w:rsidR="004A5334">
        <w:t xml:space="preserve">of participants </w:t>
      </w:r>
      <w:r w:rsidR="005958DB">
        <w:t xml:space="preserve">did not share a city with a DOR office, and 2.1% </w:t>
      </w:r>
      <w:r w:rsidR="004A5334">
        <w:t xml:space="preserve">of participants </w:t>
      </w:r>
      <w:r w:rsidR="005958DB">
        <w:t xml:space="preserve">did not </w:t>
      </w:r>
      <w:r w:rsidR="004A5334">
        <w:t>report their city</w:t>
      </w:r>
      <w:r w:rsidR="00F43340">
        <w:t>.</w:t>
      </w:r>
    </w:p>
    <w:p w14:paraId="47F6B8D6" w14:textId="73C74358" w:rsidR="00871C9C" w:rsidRDefault="00652AC8" w:rsidP="002C6E93">
      <w:pPr>
        <w:pStyle w:val="FigureTitle"/>
        <w:ind w:left="1350"/>
      </w:pPr>
      <w:r>
        <w:lastRenderedPageBreak/>
        <w:t xml:space="preserve"> </w:t>
      </w:r>
      <w:r w:rsidR="00E630E4">
        <w:t>Distribution</w:t>
      </w:r>
      <w:r w:rsidR="00871C9C">
        <w:t xml:space="preserve"> of Consumer Satisfaction Survey Participants by Location</w:t>
      </w:r>
      <w:r w:rsidR="00E630E4">
        <w:t xml:space="preserve"> and overlap with DOR District Offices</w:t>
      </w:r>
    </w:p>
    <w:p w14:paraId="5F1DB245" w14:textId="75D5647E" w:rsidR="00871C9C" w:rsidRDefault="00570B75" w:rsidP="00871C9C">
      <w:pPr>
        <w:jc w:val="center"/>
      </w:pPr>
      <w:r>
        <w:rPr>
          <w:noProof/>
        </w:rPr>
        <w:drawing>
          <wp:inline distT="0" distB="0" distL="0" distR="0" wp14:anchorId="1B335FCA" wp14:editId="3CA71F0A">
            <wp:extent cx="6858000" cy="3216392"/>
            <wp:effectExtent l="19050" t="19050" r="19050" b="22225"/>
            <wp:docPr id="24" name="Picture 24" descr="Figure 11 Description:  Location (city) of DOR district offices (A, gray) and CSS participants (B, blue) were plotted on a map of California (generated with Tableau). The percent of survey participants who reported a city with or without a DOR office are illustrated using a bar chart (C). Figure data are listed below in table format (Tabl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11 Description:  Location (city) of DOR district offices (A, gray) and CSS participants (B, blue) were plotted on a map of California (generated with Tableau). The percent of survey participants who reported a city with or without a DOR office are illustrated using a bar chart (C). Figure data are listed below in table format (Tabl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0" cy="3216392"/>
                    </a:xfrm>
                    <a:prstGeom prst="rect">
                      <a:avLst/>
                    </a:prstGeom>
                    <a:noFill/>
                    <a:ln>
                      <a:solidFill>
                        <a:schemeClr val="bg1">
                          <a:lumMod val="85000"/>
                        </a:schemeClr>
                      </a:solidFill>
                    </a:ln>
                  </pic:spPr>
                </pic:pic>
              </a:graphicData>
            </a:graphic>
          </wp:inline>
        </w:drawing>
      </w:r>
    </w:p>
    <w:p w14:paraId="114CFAAE" w14:textId="714133C9" w:rsidR="00871C9C" w:rsidRPr="00450CF5" w:rsidRDefault="00871C9C" w:rsidP="00871C9C">
      <w:pPr>
        <w:pStyle w:val="FigureFootnotes"/>
      </w:pPr>
      <w:r>
        <w:t>Location (city) of DOR district offices (</w:t>
      </w:r>
      <w:r w:rsidRPr="006627ED">
        <w:t>A</w:t>
      </w:r>
      <w:r>
        <w:t xml:space="preserve">, gray) and CSS </w:t>
      </w:r>
      <w:r w:rsidRPr="00450CF5">
        <w:t xml:space="preserve">participants (B, blue) were plotted on a map of California (generated with Tableau). The percent of survey participants who reported a city with or without a DOR office are illustrated using a bar chart (C). Figure data are listed below in table format </w:t>
      </w:r>
      <w:r w:rsidRPr="00702695">
        <w:t xml:space="preserve">(Table </w:t>
      </w:r>
      <w:r w:rsidR="00702695" w:rsidRPr="00702695">
        <w:t>1</w:t>
      </w:r>
      <w:r w:rsidRPr="00702695">
        <w:t>7).</w:t>
      </w:r>
    </w:p>
    <w:p w14:paraId="5139911E" w14:textId="5ADD2B2A" w:rsidR="00871C9C" w:rsidRDefault="00E630E4" w:rsidP="00871C9C">
      <w:pPr>
        <w:pStyle w:val="TableTitle"/>
      </w:pPr>
      <w:r>
        <w:t>Distribution of Consumer Satisfaction Survey Participants by Location and overlap with DOR District Offices</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28"/>
        <w:gridCol w:w="1819"/>
        <w:gridCol w:w="2535"/>
      </w:tblGrid>
      <w:tr w:rsidR="00871C9C" w:rsidRPr="009817A4" w14:paraId="6D53CE30" w14:textId="77777777" w:rsidTr="00416CEA">
        <w:trPr>
          <w:trHeight w:val="431"/>
          <w:jc w:val="center"/>
        </w:trPr>
        <w:tc>
          <w:tcPr>
            <w:tcW w:w="3328" w:type="dxa"/>
            <w:shd w:val="clear" w:color="auto" w:fill="00407B" w:themeFill="accent1" w:themeFillShade="BF"/>
            <w:vAlign w:val="center"/>
          </w:tcPr>
          <w:p w14:paraId="288116AC" w14:textId="5E4E6660" w:rsidR="00871C9C" w:rsidRPr="00126103" w:rsidRDefault="00871C9C" w:rsidP="006B7248">
            <w:pPr>
              <w:spacing w:after="0"/>
              <w:rPr>
                <w:b/>
                <w:bCs/>
                <w:color w:val="FFFFFF" w:themeColor="background1"/>
              </w:rPr>
            </w:pPr>
            <w:r>
              <w:rPr>
                <w:b/>
                <w:bCs/>
                <w:color w:val="FFFFFF" w:themeColor="background1"/>
              </w:rPr>
              <w:t>Participant Location</w:t>
            </w:r>
            <w:r>
              <w:rPr>
                <w:b/>
                <w:bCs/>
                <w:color w:val="FFFFFF" w:themeColor="background1"/>
                <w:vertAlign w:val="superscript"/>
              </w:rPr>
              <w:t>1</w:t>
            </w:r>
          </w:p>
        </w:tc>
        <w:tc>
          <w:tcPr>
            <w:tcW w:w="1819" w:type="dxa"/>
            <w:shd w:val="clear" w:color="auto" w:fill="00407B" w:themeFill="accent1" w:themeFillShade="BF"/>
            <w:vAlign w:val="center"/>
          </w:tcPr>
          <w:p w14:paraId="7B4F981A" w14:textId="3435D322" w:rsidR="00871C9C" w:rsidRPr="009817A4" w:rsidRDefault="00547210" w:rsidP="001E47A3">
            <w:pPr>
              <w:spacing w:after="0"/>
              <w:jc w:val="center"/>
              <w:rPr>
                <w:b/>
                <w:bCs/>
                <w:color w:val="FFFFFF" w:themeColor="background1"/>
              </w:rPr>
            </w:pPr>
            <w:r>
              <w:rPr>
                <w:b/>
                <w:bCs/>
                <w:color w:val="FFFFFF" w:themeColor="background1"/>
              </w:rPr>
              <w:t xml:space="preserve">Participants </w:t>
            </w:r>
            <w:r w:rsidRPr="00547210">
              <w:rPr>
                <w:color w:val="FFFFFF" w:themeColor="background1"/>
              </w:rPr>
              <w:t>(</w:t>
            </w:r>
            <w:r w:rsidR="00871C9C" w:rsidRPr="00547210">
              <w:rPr>
                <w:color w:val="FFFFFF" w:themeColor="background1"/>
              </w:rPr>
              <w:t>Count</w:t>
            </w:r>
            <w:r w:rsidRPr="00547210">
              <w:rPr>
                <w:color w:val="FFFFFF" w:themeColor="background1"/>
              </w:rPr>
              <w:t>)</w:t>
            </w:r>
          </w:p>
        </w:tc>
        <w:tc>
          <w:tcPr>
            <w:tcW w:w="2535" w:type="dxa"/>
            <w:shd w:val="clear" w:color="auto" w:fill="00407B" w:themeFill="accent1" w:themeFillShade="BF"/>
            <w:vAlign w:val="center"/>
          </w:tcPr>
          <w:p w14:paraId="03C87CE4" w14:textId="3D6BF744" w:rsidR="001E47A3" w:rsidRDefault="00547210" w:rsidP="001E47A3">
            <w:pPr>
              <w:spacing w:after="0"/>
              <w:jc w:val="center"/>
              <w:rPr>
                <w:b/>
                <w:bCs/>
                <w:color w:val="FFFFFF" w:themeColor="background1"/>
              </w:rPr>
            </w:pPr>
            <w:r>
              <w:rPr>
                <w:b/>
                <w:bCs/>
                <w:color w:val="FFFFFF" w:themeColor="background1"/>
              </w:rPr>
              <w:t>Participants</w:t>
            </w:r>
          </w:p>
          <w:p w14:paraId="378B128F" w14:textId="2513CDBC" w:rsidR="00871C9C" w:rsidRPr="00C4265F" w:rsidRDefault="00547210" w:rsidP="001E47A3">
            <w:pPr>
              <w:spacing w:after="0"/>
              <w:jc w:val="center"/>
              <w:rPr>
                <w:b/>
                <w:bCs/>
                <w:color w:val="FFFFFF" w:themeColor="background1"/>
              </w:rPr>
            </w:pPr>
            <w:r w:rsidRPr="00547210">
              <w:rPr>
                <w:color w:val="FFFFFF" w:themeColor="background1"/>
              </w:rPr>
              <w:t>(</w:t>
            </w:r>
            <w:r w:rsidR="00871C9C" w:rsidRPr="00547210">
              <w:rPr>
                <w:color w:val="FFFFFF" w:themeColor="background1"/>
              </w:rPr>
              <w:t>Percent of Total</w:t>
            </w:r>
            <w:r w:rsidRPr="00547210">
              <w:rPr>
                <w:color w:val="FFFFFF" w:themeColor="background1"/>
              </w:rPr>
              <w:t>)</w:t>
            </w:r>
          </w:p>
        </w:tc>
      </w:tr>
      <w:tr w:rsidR="00871C9C" w14:paraId="47CF4CAE" w14:textId="77777777" w:rsidTr="00416CEA">
        <w:trPr>
          <w:jc w:val="center"/>
        </w:trPr>
        <w:tc>
          <w:tcPr>
            <w:tcW w:w="3328" w:type="dxa"/>
            <w:vAlign w:val="center"/>
          </w:tcPr>
          <w:p w14:paraId="431A0A43" w14:textId="03E34834" w:rsidR="00871C9C" w:rsidRDefault="00871C9C" w:rsidP="006B7248">
            <w:pPr>
              <w:spacing w:after="0"/>
            </w:pPr>
            <w:r>
              <w:t xml:space="preserve">City </w:t>
            </w:r>
            <w:r w:rsidR="008D3A4D">
              <w:t xml:space="preserve">with </w:t>
            </w:r>
            <w:r>
              <w:t>DOR Office</w:t>
            </w:r>
          </w:p>
        </w:tc>
        <w:tc>
          <w:tcPr>
            <w:tcW w:w="1819" w:type="dxa"/>
            <w:vAlign w:val="center"/>
          </w:tcPr>
          <w:p w14:paraId="59088BDF" w14:textId="77777777" w:rsidR="00871C9C" w:rsidRDefault="00871C9C" w:rsidP="00910702">
            <w:pPr>
              <w:spacing w:after="0"/>
              <w:jc w:val="center"/>
            </w:pPr>
            <w:r>
              <w:t>402</w:t>
            </w:r>
          </w:p>
        </w:tc>
        <w:tc>
          <w:tcPr>
            <w:tcW w:w="2535" w:type="dxa"/>
            <w:vAlign w:val="center"/>
          </w:tcPr>
          <w:p w14:paraId="37EADA8E" w14:textId="0540999A" w:rsidR="00871C9C" w:rsidRDefault="00871C9C" w:rsidP="00910702">
            <w:pPr>
              <w:spacing w:after="0"/>
              <w:jc w:val="center"/>
            </w:pPr>
            <w:r>
              <w:t>47.</w:t>
            </w:r>
            <w:r w:rsidR="002154A4">
              <w:t>3</w:t>
            </w:r>
            <w:r>
              <w:t>%</w:t>
            </w:r>
          </w:p>
        </w:tc>
      </w:tr>
      <w:tr w:rsidR="00871C9C" w14:paraId="32BF6E59" w14:textId="77777777" w:rsidTr="00416CEA">
        <w:trPr>
          <w:jc w:val="center"/>
        </w:trPr>
        <w:tc>
          <w:tcPr>
            <w:tcW w:w="3328" w:type="dxa"/>
            <w:vAlign w:val="center"/>
          </w:tcPr>
          <w:p w14:paraId="76BD99E8" w14:textId="233DA161" w:rsidR="00871C9C" w:rsidRDefault="00871C9C" w:rsidP="006B7248">
            <w:pPr>
              <w:spacing w:after="0"/>
            </w:pPr>
            <w:r>
              <w:t xml:space="preserve">City </w:t>
            </w:r>
            <w:r w:rsidR="008D3A4D">
              <w:t xml:space="preserve">without </w:t>
            </w:r>
            <w:r>
              <w:t>DOR Office</w:t>
            </w:r>
          </w:p>
        </w:tc>
        <w:tc>
          <w:tcPr>
            <w:tcW w:w="1819" w:type="dxa"/>
            <w:vAlign w:val="center"/>
          </w:tcPr>
          <w:p w14:paraId="62C64C4B" w14:textId="77777777" w:rsidR="00871C9C" w:rsidRDefault="00871C9C" w:rsidP="00910702">
            <w:pPr>
              <w:spacing w:after="0"/>
              <w:jc w:val="center"/>
            </w:pPr>
            <w:r>
              <w:t>429</w:t>
            </w:r>
          </w:p>
        </w:tc>
        <w:tc>
          <w:tcPr>
            <w:tcW w:w="2535" w:type="dxa"/>
            <w:vAlign w:val="center"/>
          </w:tcPr>
          <w:p w14:paraId="6C69D28D" w14:textId="77777777" w:rsidR="00871C9C" w:rsidRDefault="00871C9C" w:rsidP="00910702">
            <w:pPr>
              <w:spacing w:after="0"/>
              <w:jc w:val="center"/>
            </w:pPr>
            <w:r>
              <w:t>50.5%</w:t>
            </w:r>
          </w:p>
        </w:tc>
      </w:tr>
      <w:tr w:rsidR="00871C9C" w14:paraId="78130D39" w14:textId="77777777" w:rsidTr="00416CEA">
        <w:trPr>
          <w:jc w:val="center"/>
        </w:trPr>
        <w:tc>
          <w:tcPr>
            <w:tcW w:w="3328" w:type="dxa"/>
            <w:vAlign w:val="center"/>
          </w:tcPr>
          <w:p w14:paraId="74F9215F" w14:textId="77777777" w:rsidR="00871C9C" w:rsidRDefault="00871C9C" w:rsidP="006B7248">
            <w:pPr>
              <w:spacing w:after="0"/>
            </w:pPr>
            <w:r>
              <w:t>City Not Reported</w:t>
            </w:r>
          </w:p>
        </w:tc>
        <w:tc>
          <w:tcPr>
            <w:tcW w:w="1819" w:type="dxa"/>
            <w:vAlign w:val="center"/>
          </w:tcPr>
          <w:p w14:paraId="14823FF0" w14:textId="77777777" w:rsidR="00871C9C" w:rsidRDefault="00871C9C" w:rsidP="00910702">
            <w:pPr>
              <w:spacing w:after="0"/>
              <w:jc w:val="center"/>
            </w:pPr>
            <w:r>
              <w:t>18</w:t>
            </w:r>
          </w:p>
        </w:tc>
        <w:tc>
          <w:tcPr>
            <w:tcW w:w="2535" w:type="dxa"/>
            <w:vAlign w:val="center"/>
          </w:tcPr>
          <w:p w14:paraId="63DB8891" w14:textId="77777777" w:rsidR="00871C9C" w:rsidRDefault="00871C9C" w:rsidP="00910702">
            <w:pPr>
              <w:spacing w:after="0"/>
              <w:jc w:val="center"/>
            </w:pPr>
            <w:r>
              <w:t>2.1%</w:t>
            </w:r>
          </w:p>
        </w:tc>
      </w:tr>
      <w:tr w:rsidR="00871C9C" w:rsidRPr="00910702" w14:paraId="324F97A4" w14:textId="77777777" w:rsidTr="00416CEA">
        <w:trPr>
          <w:jc w:val="center"/>
        </w:trPr>
        <w:tc>
          <w:tcPr>
            <w:tcW w:w="3328" w:type="dxa"/>
            <w:shd w:val="clear" w:color="auto" w:fill="F2F2F2" w:themeFill="background1" w:themeFillShade="F2"/>
            <w:vAlign w:val="center"/>
          </w:tcPr>
          <w:p w14:paraId="0DEF28CA" w14:textId="77777777" w:rsidR="00871C9C" w:rsidRPr="00910702" w:rsidRDefault="00871C9C" w:rsidP="006B7248">
            <w:pPr>
              <w:spacing w:after="0"/>
              <w:rPr>
                <w:b/>
                <w:bCs/>
              </w:rPr>
            </w:pPr>
            <w:r w:rsidRPr="00910702">
              <w:rPr>
                <w:b/>
                <w:bCs/>
              </w:rPr>
              <w:t>Total</w:t>
            </w:r>
          </w:p>
        </w:tc>
        <w:tc>
          <w:tcPr>
            <w:tcW w:w="1819" w:type="dxa"/>
            <w:shd w:val="clear" w:color="auto" w:fill="F2F2F2" w:themeFill="background1" w:themeFillShade="F2"/>
            <w:vAlign w:val="center"/>
          </w:tcPr>
          <w:p w14:paraId="2AFC8235" w14:textId="77777777" w:rsidR="00871C9C" w:rsidRPr="00910702" w:rsidRDefault="00871C9C" w:rsidP="00910702">
            <w:pPr>
              <w:spacing w:after="0"/>
              <w:jc w:val="center"/>
              <w:rPr>
                <w:b/>
                <w:bCs/>
              </w:rPr>
            </w:pPr>
            <w:r w:rsidRPr="00910702">
              <w:rPr>
                <w:b/>
                <w:bCs/>
              </w:rPr>
              <w:t>849</w:t>
            </w:r>
          </w:p>
        </w:tc>
        <w:tc>
          <w:tcPr>
            <w:tcW w:w="2535" w:type="dxa"/>
            <w:shd w:val="clear" w:color="auto" w:fill="F2F2F2" w:themeFill="background1" w:themeFillShade="F2"/>
            <w:vAlign w:val="center"/>
          </w:tcPr>
          <w:p w14:paraId="341C0744" w14:textId="77777777" w:rsidR="00871C9C" w:rsidRPr="00910702" w:rsidRDefault="00871C9C" w:rsidP="00910702">
            <w:pPr>
              <w:spacing w:after="0"/>
              <w:jc w:val="center"/>
              <w:rPr>
                <w:b/>
                <w:bCs/>
              </w:rPr>
            </w:pPr>
            <w:r w:rsidRPr="00910702">
              <w:rPr>
                <w:b/>
                <w:bCs/>
              </w:rPr>
              <w:t>100.0%</w:t>
            </w:r>
          </w:p>
        </w:tc>
      </w:tr>
    </w:tbl>
    <w:p w14:paraId="3279438C" w14:textId="580A89B4" w:rsidR="00871C9C" w:rsidRDefault="00871C9C" w:rsidP="008E5135">
      <w:pPr>
        <w:pStyle w:val="TableFootnotes"/>
        <w:numPr>
          <w:ilvl w:val="0"/>
          <w:numId w:val="21"/>
        </w:numPr>
        <w:ind w:left="1080" w:right="720"/>
      </w:pPr>
      <w:r>
        <w:t xml:space="preserve">Participant </w:t>
      </w:r>
      <w:r w:rsidR="0005040E">
        <w:t>reported l</w:t>
      </w:r>
      <w:r>
        <w:t>ocations were compared to the locations of the DOR district offices</w:t>
      </w:r>
      <w:r w:rsidR="0005040E">
        <w:t xml:space="preserve"> at the city level</w:t>
      </w:r>
      <w:r>
        <w:t>.</w:t>
      </w:r>
    </w:p>
    <w:p w14:paraId="0EF2A5BC" w14:textId="2ECFC3AD" w:rsidR="006E0844" w:rsidRDefault="006E0844" w:rsidP="00635226">
      <w:pPr>
        <w:pStyle w:val="SectionSub-HeadingsTopics"/>
      </w:pPr>
      <w:bookmarkStart w:id="35" w:name="_Toc90632196"/>
      <w:r>
        <w:t>Satisfaction by Consumer Location</w:t>
      </w:r>
      <w:bookmarkEnd w:id="35"/>
    </w:p>
    <w:p w14:paraId="700EEB83" w14:textId="286AFF24" w:rsidR="00E7343F" w:rsidRDefault="003F3A42" w:rsidP="00E7343F">
      <w:r>
        <w:t>Satisfaction scores were compared for survey participants based on their reported location</w:t>
      </w:r>
      <w:r w:rsidR="00F26D81">
        <w:t xml:space="preserve"> below (Table 18).</w:t>
      </w:r>
      <w:r w:rsidR="0027454F">
        <w:t xml:space="preserve"> In general, there was less than a one percent difference in satisfaction scores for Overall DOR Experience, Service Providers, Employment Services, Current Employment, and Employment Opportunities </w:t>
      </w:r>
      <w:r w:rsidR="000262F9">
        <w:t xml:space="preserve">categories </w:t>
      </w:r>
      <w:r w:rsidR="0027454F">
        <w:t xml:space="preserve">between </w:t>
      </w:r>
      <w:r w:rsidR="0027454F">
        <w:lastRenderedPageBreak/>
        <w:t xml:space="preserve">participants who do or do not live a city with a DOR office. Participants with a local DOR office rated their DOR counselors 1.1% lower than participants who do not have a DOR office in their city. The </w:t>
      </w:r>
      <w:r w:rsidR="00E7343F">
        <w:t xml:space="preserve">overall satisfaction scores varied less than one percent between survey participants who did or did not have a local DOR office, which suggests that proximity to a DOR office </w:t>
      </w:r>
      <w:r w:rsidR="0027454F">
        <w:t>h</w:t>
      </w:r>
      <w:r w:rsidR="00E7343F">
        <w:t xml:space="preserve">as minimal influence on </w:t>
      </w:r>
      <w:r w:rsidR="0027454F">
        <w:t xml:space="preserve">a consumer’s </w:t>
      </w:r>
      <w:r w:rsidR="00E7343F">
        <w:t>overall satisfaction.</w:t>
      </w:r>
    </w:p>
    <w:p w14:paraId="6A582D12" w14:textId="14E1ECD4" w:rsidR="00766902" w:rsidRPr="00225002" w:rsidRDefault="00574E21" w:rsidP="00766902">
      <w:pPr>
        <w:pStyle w:val="TableTitle"/>
      </w:pPr>
      <w:r>
        <w:t xml:space="preserve">Comparison of </w:t>
      </w:r>
      <w:r w:rsidR="00766902">
        <w:t>Satisfaction Score for Participants based on their Location relative to DOR offices</w:t>
      </w:r>
    </w:p>
    <w:tbl>
      <w:tblPr>
        <w:tblStyle w:val="TableGrid"/>
        <w:tblW w:w="1090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524"/>
        <w:gridCol w:w="2730"/>
        <w:gridCol w:w="2849"/>
        <w:gridCol w:w="1800"/>
      </w:tblGrid>
      <w:tr w:rsidR="00F75AA0" w:rsidRPr="00A97A3A" w14:paraId="73FB288A" w14:textId="77777777" w:rsidTr="005677F4">
        <w:trPr>
          <w:trHeight w:val="1061"/>
          <w:jc w:val="center"/>
        </w:trPr>
        <w:tc>
          <w:tcPr>
            <w:tcW w:w="3524" w:type="dxa"/>
            <w:shd w:val="clear" w:color="auto" w:fill="00407B" w:themeFill="accent1" w:themeFillShade="BF"/>
            <w:vAlign w:val="center"/>
          </w:tcPr>
          <w:p w14:paraId="2203A727" w14:textId="77777777" w:rsidR="005763C1" w:rsidRDefault="005763C1" w:rsidP="005763C1">
            <w:pPr>
              <w:spacing w:after="0"/>
              <w:rPr>
                <w:b/>
                <w:bCs/>
                <w:color w:val="FFFFFF" w:themeColor="background1"/>
              </w:rPr>
            </w:pPr>
            <w:r>
              <w:rPr>
                <w:b/>
                <w:bCs/>
                <w:color w:val="FFFFFF" w:themeColor="background1"/>
              </w:rPr>
              <w:t xml:space="preserve">CSS Satisfaction </w:t>
            </w:r>
          </w:p>
          <w:p w14:paraId="53C5EC32" w14:textId="5DD72718" w:rsidR="00766902" w:rsidRPr="00A97A3A" w:rsidRDefault="005763C1" w:rsidP="005763C1">
            <w:pPr>
              <w:spacing w:after="0"/>
              <w:rPr>
                <w:b/>
                <w:bCs/>
                <w:color w:val="FFFFFF" w:themeColor="background1"/>
              </w:rPr>
            </w:pPr>
            <w:r>
              <w:rPr>
                <w:b/>
                <w:bCs/>
                <w:color w:val="FFFFFF" w:themeColor="background1"/>
              </w:rPr>
              <w:t>Categories</w:t>
            </w:r>
          </w:p>
        </w:tc>
        <w:tc>
          <w:tcPr>
            <w:tcW w:w="2730" w:type="dxa"/>
            <w:shd w:val="clear" w:color="auto" w:fill="00407B" w:themeFill="accent1" w:themeFillShade="BF"/>
            <w:vAlign w:val="center"/>
          </w:tcPr>
          <w:p w14:paraId="6BEC355C" w14:textId="3CC0077B" w:rsidR="00766902" w:rsidRPr="005763C1" w:rsidRDefault="00623343" w:rsidP="004A429E">
            <w:pPr>
              <w:spacing w:after="0"/>
              <w:jc w:val="center"/>
              <w:rPr>
                <w:b/>
                <w:bCs/>
                <w:color w:val="FFFFFF" w:themeColor="background1"/>
                <w:vertAlign w:val="superscript"/>
              </w:rPr>
            </w:pPr>
            <w:r>
              <w:rPr>
                <w:b/>
                <w:bCs/>
                <w:color w:val="FFFFFF" w:themeColor="background1"/>
              </w:rPr>
              <w:t xml:space="preserve">Participant </w:t>
            </w:r>
            <w:r w:rsidR="00766902" w:rsidRPr="00A97A3A">
              <w:rPr>
                <w:b/>
                <w:bCs/>
                <w:color w:val="FFFFFF" w:themeColor="background1"/>
              </w:rPr>
              <w:t>City with DOR Office</w:t>
            </w:r>
          </w:p>
          <w:p w14:paraId="6B032024" w14:textId="30A5236C" w:rsidR="00D549A9" w:rsidRPr="00D549A9" w:rsidRDefault="00D549A9" w:rsidP="004A429E">
            <w:pPr>
              <w:spacing w:after="0"/>
              <w:jc w:val="center"/>
              <w:rPr>
                <w:color w:val="FFFFFF" w:themeColor="background1"/>
              </w:rPr>
            </w:pPr>
            <w:r>
              <w:rPr>
                <w:color w:val="FFFFFF" w:themeColor="background1"/>
              </w:rPr>
              <w:t>(Satisfaction Score)</w:t>
            </w:r>
          </w:p>
        </w:tc>
        <w:tc>
          <w:tcPr>
            <w:tcW w:w="2849" w:type="dxa"/>
            <w:shd w:val="clear" w:color="auto" w:fill="00407B" w:themeFill="accent1" w:themeFillShade="BF"/>
            <w:vAlign w:val="center"/>
          </w:tcPr>
          <w:p w14:paraId="7D51CBFE" w14:textId="2DEBD745" w:rsidR="00766902" w:rsidRPr="005763C1" w:rsidRDefault="00623343" w:rsidP="004A429E">
            <w:pPr>
              <w:spacing w:after="0"/>
              <w:jc w:val="center"/>
              <w:rPr>
                <w:b/>
                <w:bCs/>
                <w:color w:val="FFFFFF" w:themeColor="background1"/>
                <w:vertAlign w:val="superscript"/>
              </w:rPr>
            </w:pPr>
            <w:r>
              <w:rPr>
                <w:b/>
                <w:bCs/>
                <w:color w:val="FFFFFF" w:themeColor="background1"/>
              </w:rPr>
              <w:t xml:space="preserve">Participant </w:t>
            </w:r>
            <w:r w:rsidR="00766902" w:rsidRPr="00A97A3A">
              <w:rPr>
                <w:b/>
                <w:bCs/>
                <w:color w:val="FFFFFF" w:themeColor="background1"/>
              </w:rPr>
              <w:t>City without DOR Office</w:t>
            </w:r>
          </w:p>
          <w:p w14:paraId="71F4E715" w14:textId="2C0FE30B" w:rsidR="00D549A9" w:rsidRPr="00D549A9" w:rsidRDefault="00D549A9" w:rsidP="004A429E">
            <w:pPr>
              <w:spacing w:after="0"/>
              <w:jc w:val="center"/>
              <w:rPr>
                <w:color w:val="FFFFFF" w:themeColor="background1"/>
              </w:rPr>
            </w:pPr>
            <w:r>
              <w:rPr>
                <w:color w:val="FFFFFF" w:themeColor="background1"/>
              </w:rPr>
              <w:t>(Satisfaction Score)</w:t>
            </w:r>
          </w:p>
        </w:tc>
        <w:tc>
          <w:tcPr>
            <w:tcW w:w="1800" w:type="dxa"/>
            <w:shd w:val="clear" w:color="auto" w:fill="00407B" w:themeFill="accent1" w:themeFillShade="BF"/>
            <w:vAlign w:val="center"/>
          </w:tcPr>
          <w:p w14:paraId="5B5200F2" w14:textId="5CAF5A58" w:rsidR="00D549A9" w:rsidRPr="00F75AA0" w:rsidRDefault="00766902" w:rsidP="004A429E">
            <w:pPr>
              <w:spacing w:after="0"/>
              <w:jc w:val="center"/>
              <w:rPr>
                <w:b/>
                <w:bCs/>
                <w:color w:val="FFFFFF" w:themeColor="background1"/>
              </w:rPr>
            </w:pPr>
            <w:r w:rsidRPr="00A97A3A">
              <w:rPr>
                <w:b/>
                <w:bCs/>
                <w:color w:val="FFFFFF" w:themeColor="background1"/>
              </w:rPr>
              <w:t>Difference</w:t>
            </w:r>
            <w:r w:rsidR="00F75AA0">
              <w:rPr>
                <w:b/>
                <w:bCs/>
                <w:color w:val="FFFFFF" w:themeColor="background1"/>
                <w:vertAlign w:val="superscript"/>
              </w:rPr>
              <w:t>1</w:t>
            </w:r>
          </w:p>
        </w:tc>
      </w:tr>
      <w:tr w:rsidR="00F75AA0" w14:paraId="20FC7F9E" w14:textId="77777777" w:rsidTr="005677F4">
        <w:trPr>
          <w:jc w:val="center"/>
        </w:trPr>
        <w:tc>
          <w:tcPr>
            <w:tcW w:w="3524" w:type="dxa"/>
          </w:tcPr>
          <w:p w14:paraId="054F342B" w14:textId="77777777" w:rsidR="00766902" w:rsidRDefault="00766902" w:rsidP="00687B52">
            <w:pPr>
              <w:spacing w:after="0"/>
            </w:pPr>
            <w:r>
              <w:t>DOR Experience</w:t>
            </w:r>
          </w:p>
        </w:tc>
        <w:tc>
          <w:tcPr>
            <w:tcW w:w="2730" w:type="dxa"/>
          </w:tcPr>
          <w:p w14:paraId="4A90F6D0" w14:textId="77777777" w:rsidR="00766902" w:rsidRDefault="00766902" w:rsidP="00687B52">
            <w:pPr>
              <w:spacing w:after="0"/>
              <w:jc w:val="center"/>
            </w:pPr>
            <w:r>
              <w:t>79.7%</w:t>
            </w:r>
          </w:p>
        </w:tc>
        <w:tc>
          <w:tcPr>
            <w:tcW w:w="2849" w:type="dxa"/>
          </w:tcPr>
          <w:p w14:paraId="3659754F" w14:textId="65794F18" w:rsidR="00766902" w:rsidRDefault="002817F3" w:rsidP="00687B52">
            <w:pPr>
              <w:spacing w:after="0"/>
              <w:jc w:val="center"/>
            </w:pPr>
            <w:r>
              <w:t>79.5</w:t>
            </w:r>
            <w:r w:rsidR="009F165F">
              <w:t>%</w:t>
            </w:r>
          </w:p>
        </w:tc>
        <w:tc>
          <w:tcPr>
            <w:tcW w:w="1800" w:type="dxa"/>
          </w:tcPr>
          <w:p w14:paraId="20F6392F" w14:textId="22FA4441" w:rsidR="00766902" w:rsidRDefault="00766902" w:rsidP="00687B52">
            <w:pPr>
              <w:spacing w:after="0"/>
              <w:jc w:val="center"/>
            </w:pPr>
            <w:r>
              <w:t>0.</w:t>
            </w:r>
            <w:r w:rsidR="00251D90">
              <w:t>2</w:t>
            </w:r>
            <w:r>
              <w:t>%</w:t>
            </w:r>
          </w:p>
        </w:tc>
      </w:tr>
      <w:tr w:rsidR="00F75AA0" w14:paraId="2B176E59" w14:textId="77777777" w:rsidTr="005677F4">
        <w:trPr>
          <w:jc w:val="center"/>
        </w:trPr>
        <w:tc>
          <w:tcPr>
            <w:tcW w:w="3524" w:type="dxa"/>
          </w:tcPr>
          <w:p w14:paraId="11B88514" w14:textId="77777777" w:rsidR="00766902" w:rsidRDefault="00766902" w:rsidP="00687B52">
            <w:pPr>
              <w:spacing w:after="0"/>
            </w:pPr>
            <w:r>
              <w:t>DOR Counselors</w:t>
            </w:r>
          </w:p>
        </w:tc>
        <w:tc>
          <w:tcPr>
            <w:tcW w:w="2730" w:type="dxa"/>
          </w:tcPr>
          <w:p w14:paraId="6ED5F7FA" w14:textId="77777777" w:rsidR="00766902" w:rsidRDefault="00766902" w:rsidP="00687B52">
            <w:pPr>
              <w:spacing w:after="0"/>
              <w:jc w:val="center"/>
            </w:pPr>
            <w:r>
              <w:t>79.7%</w:t>
            </w:r>
          </w:p>
        </w:tc>
        <w:tc>
          <w:tcPr>
            <w:tcW w:w="2849" w:type="dxa"/>
          </w:tcPr>
          <w:p w14:paraId="21971600" w14:textId="2C3C2288" w:rsidR="00766902" w:rsidRDefault="00766902" w:rsidP="00687B52">
            <w:pPr>
              <w:spacing w:after="0"/>
              <w:jc w:val="center"/>
            </w:pPr>
            <w:r>
              <w:t>80.</w:t>
            </w:r>
            <w:r w:rsidR="003B1435">
              <w:t>8</w:t>
            </w:r>
            <w:r>
              <w:t>%</w:t>
            </w:r>
          </w:p>
        </w:tc>
        <w:tc>
          <w:tcPr>
            <w:tcW w:w="1800" w:type="dxa"/>
          </w:tcPr>
          <w:p w14:paraId="3C33D24B" w14:textId="3EF0D4C3" w:rsidR="00766902" w:rsidRDefault="004B0FD7" w:rsidP="00687B52">
            <w:pPr>
              <w:spacing w:after="0"/>
              <w:jc w:val="center"/>
            </w:pPr>
            <w:r>
              <w:t>-1.1</w:t>
            </w:r>
            <w:r w:rsidR="00766902">
              <w:t>%</w:t>
            </w:r>
          </w:p>
        </w:tc>
      </w:tr>
      <w:tr w:rsidR="00F75AA0" w14:paraId="0EF540D1" w14:textId="77777777" w:rsidTr="005677F4">
        <w:trPr>
          <w:jc w:val="center"/>
        </w:trPr>
        <w:tc>
          <w:tcPr>
            <w:tcW w:w="3524" w:type="dxa"/>
          </w:tcPr>
          <w:p w14:paraId="3CF123C6" w14:textId="77777777" w:rsidR="00766902" w:rsidRDefault="00766902" w:rsidP="00687B52">
            <w:pPr>
              <w:spacing w:after="0"/>
            </w:pPr>
            <w:r>
              <w:t>Service Providers</w:t>
            </w:r>
          </w:p>
        </w:tc>
        <w:tc>
          <w:tcPr>
            <w:tcW w:w="2730" w:type="dxa"/>
          </w:tcPr>
          <w:p w14:paraId="09F63BCC" w14:textId="77777777" w:rsidR="00766902" w:rsidRDefault="00766902" w:rsidP="00687B52">
            <w:pPr>
              <w:spacing w:after="0"/>
              <w:jc w:val="center"/>
            </w:pPr>
            <w:r>
              <w:t>80.1%</w:t>
            </w:r>
          </w:p>
        </w:tc>
        <w:tc>
          <w:tcPr>
            <w:tcW w:w="2849" w:type="dxa"/>
          </w:tcPr>
          <w:p w14:paraId="4660C4EB" w14:textId="621350E1" w:rsidR="00766902" w:rsidRDefault="00766902" w:rsidP="00687B52">
            <w:pPr>
              <w:spacing w:after="0"/>
              <w:jc w:val="center"/>
            </w:pPr>
            <w:r>
              <w:t>80.</w:t>
            </w:r>
            <w:r w:rsidR="003B1435">
              <w:t>9</w:t>
            </w:r>
            <w:r>
              <w:t>%</w:t>
            </w:r>
          </w:p>
        </w:tc>
        <w:tc>
          <w:tcPr>
            <w:tcW w:w="1800" w:type="dxa"/>
          </w:tcPr>
          <w:p w14:paraId="096F53FA" w14:textId="069A03EA" w:rsidR="00766902" w:rsidRDefault="004B0FD7" w:rsidP="00687B52">
            <w:pPr>
              <w:spacing w:after="0"/>
              <w:jc w:val="center"/>
            </w:pPr>
            <w:r>
              <w:t>0.8</w:t>
            </w:r>
            <w:r w:rsidR="00766902">
              <w:t>%</w:t>
            </w:r>
          </w:p>
        </w:tc>
      </w:tr>
      <w:tr w:rsidR="00F75AA0" w14:paraId="2238F2D7" w14:textId="77777777" w:rsidTr="005677F4">
        <w:trPr>
          <w:jc w:val="center"/>
        </w:trPr>
        <w:tc>
          <w:tcPr>
            <w:tcW w:w="3524" w:type="dxa"/>
          </w:tcPr>
          <w:p w14:paraId="71C43EBB" w14:textId="77777777" w:rsidR="00766902" w:rsidRDefault="00766902" w:rsidP="00687B52">
            <w:pPr>
              <w:spacing w:after="0"/>
            </w:pPr>
            <w:r>
              <w:t>Employment Services</w:t>
            </w:r>
          </w:p>
        </w:tc>
        <w:tc>
          <w:tcPr>
            <w:tcW w:w="2730" w:type="dxa"/>
          </w:tcPr>
          <w:p w14:paraId="10A77D9A" w14:textId="77777777" w:rsidR="00766902" w:rsidRDefault="00766902" w:rsidP="00687B52">
            <w:pPr>
              <w:spacing w:after="0"/>
              <w:jc w:val="center"/>
            </w:pPr>
            <w:r>
              <w:t>78.0%</w:t>
            </w:r>
          </w:p>
        </w:tc>
        <w:tc>
          <w:tcPr>
            <w:tcW w:w="2849" w:type="dxa"/>
          </w:tcPr>
          <w:p w14:paraId="048A458E" w14:textId="38A5497F" w:rsidR="00766902" w:rsidRDefault="00766902" w:rsidP="00687B52">
            <w:pPr>
              <w:spacing w:after="0"/>
              <w:jc w:val="center"/>
            </w:pPr>
            <w:r>
              <w:t>7</w:t>
            </w:r>
            <w:r w:rsidR="003B1435">
              <w:t>7.3</w:t>
            </w:r>
            <w:r>
              <w:t>%</w:t>
            </w:r>
          </w:p>
        </w:tc>
        <w:tc>
          <w:tcPr>
            <w:tcW w:w="1800" w:type="dxa"/>
          </w:tcPr>
          <w:p w14:paraId="479B0C70" w14:textId="07E57F79" w:rsidR="00766902" w:rsidRDefault="004B0FD7" w:rsidP="00687B52">
            <w:pPr>
              <w:spacing w:after="0"/>
              <w:jc w:val="center"/>
            </w:pPr>
            <w:r>
              <w:t>0.7</w:t>
            </w:r>
            <w:r w:rsidR="00766902">
              <w:t>%</w:t>
            </w:r>
          </w:p>
        </w:tc>
      </w:tr>
      <w:tr w:rsidR="00F75AA0" w14:paraId="7DC26078" w14:textId="77777777" w:rsidTr="005677F4">
        <w:trPr>
          <w:jc w:val="center"/>
        </w:trPr>
        <w:tc>
          <w:tcPr>
            <w:tcW w:w="3524" w:type="dxa"/>
          </w:tcPr>
          <w:p w14:paraId="7DC8E6E3" w14:textId="1344A262" w:rsidR="00766902" w:rsidRDefault="007B1D01" w:rsidP="00687B52">
            <w:pPr>
              <w:spacing w:after="0"/>
            </w:pPr>
            <w:r>
              <w:t xml:space="preserve">Current </w:t>
            </w:r>
            <w:r w:rsidR="00766902">
              <w:t>Employment</w:t>
            </w:r>
          </w:p>
        </w:tc>
        <w:tc>
          <w:tcPr>
            <w:tcW w:w="2730" w:type="dxa"/>
          </w:tcPr>
          <w:p w14:paraId="1F4E88EE" w14:textId="77777777" w:rsidR="00766902" w:rsidRDefault="00766902" w:rsidP="00687B52">
            <w:pPr>
              <w:spacing w:after="0"/>
              <w:jc w:val="center"/>
            </w:pPr>
            <w:r>
              <w:t>76.3%</w:t>
            </w:r>
          </w:p>
        </w:tc>
        <w:tc>
          <w:tcPr>
            <w:tcW w:w="2849" w:type="dxa"/>
          </w:tcPr>
          <w:p w14:paraId="22E7CCAF" w14:textId="60BD8036" w:rsidR="00766902" w:rsidRDefault="00766902" w:rsidP="00687B52">
            <w:pPr>
              <w:spacing w:after="0"/>
              <w:jc w:val="center"/>
            </w:pPr>
            <w:r>
              <w:t>7</w:t>
            </w:r>
            <w:r w:rsidR="003B1435">
              <w:t>6.1</w:t>
            </w:r>
            <w:r>
              <w:t>%</w:t>
            </w:r>
          </w:p>
        </w:tc>
        <w:tc>
          <w:tcPr>
            <w:tcW w:w="1800" w:type="dxa"/>
          </w:tcPr>
          <w:p w14:paraId="31A40E39" w14:textId="4DD4D79A" w:rsidR="00766902" w:rsidRDefault="00E03182" w:rsidP="00687B52">
            <w:pPr>
              <w:spacing w:after="0"/>
              <w:jc w:val="center"/>
            </w:pPr>
            <w:r>
              <w:t>0.2</w:t>
            </w:r>
            <w:r w:rsidR="00766902">
              <w:t>%</w:t>
            </w:r>
          </w:p>
        </w:tc>
      </w:tr>
      <w:tr w:rsidR="00F75AA0" w14:paraId="0F23E595" w14:textId="77777777" w:rsidTr="005677F4">
        <w:trPr>
          <w:jc w:val="center"/>
        </w:trPr>
        <w:tc>
          <w:tcPr>
            <w:tcW w:w="3524" w:type="dxa"/>
          </w:tcPr>
          <w:p w14:paraId="24FBCB8A" w14:textId="77777777" w:rsidR="00766902" w:rsidRDefault="00766902" w:rsidP="00687B52">
            <w:pPr>
              <w:spacing w:after="0"/>
            </w:pPr>
            <w:r>
              <w:t>Employment Opportunities</w:t>
            </w:r>
          </w:p>
        </w:tc>
        <w:tc>
          <w:tcPr>
            <w:tcW w:w="2730" w:type="dxa"/>
          </w:tcPr>
          <w:p w14:paraId="6ABC2EFE" w14:textId="77777777" w:rsidR="00766902" w:rsidRDefault="00766902" w:rsidP="00687B52">
            <w:pPr>
              <w:spacing w:after="0"/>
              <w:jc w:val="center"/>
            </w:pPr>
            <w:r>
              <w:t>72.3%</w:t>
            </w:r>
          </w:p>
        </w:tc>
        <w:tc>
          <w:tcPr>
            <w:tcW w:w="2849" w:type="dxa"/>
          </w:tcPr>
          <w:p w14:paraId="5063B983" w14:textId="30508818" w:rsidR="00766902" w:rsidRDefault="006C4D9A" w:rsidP="00687B52">
            <w:pPr>
              <w:spacing w:after="0"/>
              <w:jc w:val="center"/>
            </w:pPr>
            <w:r>
              <w:t>72.4</w:t>
            </w:r>
            <w:r w:rsidR="00766902">
              <w:t>%</w:t>
            </w:r>
          </w:p>
        </w:tc>
        <w:tc>
          <w:tcPr>
            <w:tcW w:w="1800" w:type="dxa"/>
          </w:tcPr>
          <w:p w14:paraId="1CD0BE5E" w14:textId="52EBA9C7" w:rsidR="00766902" w:rsidRDefault="006C4D9A" w:rsidP="00687B52">
            <w:pPr>
              <w:spacing w:after="0"/>
              <w:jc w:val="center"/>
            </w:pPr>
            <w:r>
              <w:t>-0.1</w:t>
            </w:r>
            <w:r w:rsidR="00766902">
              <w:t>%</w:t>
            </w:r>
          </w:p>
        </w:tc>
      </w:tr>
      <w:tr w:rsidR="00F75AA0" w:rsidRPr="004365CB" w14:paraId="26541381" w14:textId="77777777" w:rsidTr="005677F4">
        <w:trPr>
          <w:jc w:val="center"/>
        </w:trPr>
        <w:tc>
          <w:tcPr>
            <w:tcW w:w="3524" w:type="dxa"/>
            <w:shd w:val="clear" w:color="auto" w:fill="F2F2F2" w:themeFill="background1" w:themeFillShade="F2"/>
          </w:tcPr>
          <w:p w14:paraId="6F2B38E7" w14:textId="77777777" w:rsidR="00766902" w:rsidRPr="004365CB" w:rsidRDefault="00766902" w:rsidP="00687B52">
            <w:pPr>
              <w:spacing w:after="0"/>
              <w:rPr>
                <w:b/>
                <w:bCs/>
              </w:rPr>
            </w:pPr>
            <w:r w:rsidRPr="004365CB">
              <w:rPr>
                <w:b/>
                <w:bCs/>
              </w:rPr>
              <w:t>Overall</w:t>
            </w:r>
          </w:p>
        </w:tc>
        <w:tc>
          <w:tcPr>
            <w:tcW w:w="2730" w:type="dxa"/>
            <w:shd w:val="clear" w:color="auto" w:fill="F2F2F2" w:themeFill="background1" w:themeFillShade="F2"/>
          </w:tcPr>
          <w:p w14:paraId="6832E376" w14:textId="77777777" w:rsidR="00766902" w:rsidRPr="004365CB" w:rsidRDefault="00766902" w:rsidP="00687B52">
            <w:pPr>
              <w:spacing w:after="0"/>
              <w:jc w:val="center"/>
              <w:rPr>
                <w:b/>
                <w:bCs/>
              </w:rPr>
            </w:pPr>
            <w:r>
              <w:rPr>
                <w:b/>
                <w:bCs/>
              </w:rPr>
              <w:t>78.6%</w:t>
            </w:r>
          </w:p>
        </w:tc>
        <w:tc>
          <w:tcPr>
            <w:tcW w:w="2849" w:type="dxa"/>
            <w:shd w:val="clear" w:color="auto" w:fill="F2F2F2" w:themeFill="background1" w:themeFillShade="F2"/>
          </w:tcPr>
          <w:p w14:paraId="034D154A" w14:textId="0650E3E3" w:rsidR="00766902" w:rsidRPr="004365CB" w:rsidRDefault="00101FAC" w:rsidP="00687B52">
            <w:pPr>
              <w:spacing w:after="0"/>
              <w:jc w:val="center"/>
              <w:rPr>
                <w:b/>
                <w:bCs/>
              </w:rPr>
            </w:pPr>
            <w:r>
              <w:rPr>
                <w:b/>
                <w:bCs/>
              </w:rPr>
              <w:t>79</w:t>
            </w:r>
            <w:r w:rsidR="002817F3">
              <w:rPr>
                <w:b/>
                <w:bCs/>
              </w:rPr>
              <w:t>.0</w:t>
            </w:r>
            <w:r w:rsidR="00910702">
              <w:rPr>
                <w:b/>
                <w:bCs/>
              </w:rPr>
              <w:t>%</w:t>
            </w:r>
          </w:p>
        </w:tc>
        <w:tc>
          <w:tcPr>
            <w:tcW w:w="1800" w:type="dxa"/>
            <w:shd w:val="clear" w:color="auto" w:fill="F2F2F2" w:themeFill="background1" w:themeFillShade="F2"/>
          </w:tcPr>
          <w:p w14:paraId="3F366F2E" w14:textId="026FEAFB" w:rsidR="00766902" w:rsidRPr="004365CB" w:rsidRDefault="00910702" w:rsidP="00687B52">
            <w:pPr>
              <w:spacing w:after="0"/>
              <w:jc w:val="center"/>
              <w:rPr>
                <w:b/>
                <w:bCs/>
              </w:rPr>
            </w:pPr>
            <w:r>
              <w:rPr>
                <w:b/>
                <w:bCs/>
              </w:rPr>
              <w:t>-0.4</w:t>
            </w:r>
            <w:r w:rsidR="00766902">
              <w:rPr>
                <w:b/>
                <w:bCs/>
              </w:rPr>
              <w:t>%</w:t>
            </w:r>
          </w:p>
        </w:tc>
      </w:tr>
    </w:tbl>
    <w:p w14:paraId="43BDEB9D" w14:textId="48030427" w:rsidR="00766902" w:rsidRPr="00F23A0D" w:rsidRDefault="00766902" w:rsidP="008E5135">
      <w:pPr>
        <w:pStyle w:val="TableFootnotes"/>
        <w:numPr>
          <w:ilvl w:val="0"/>
          <w:numId w:val="20"/>
        </w:numPr>
        <w:ind w:left="1080" w:right="720"/>
      </w:pPr>
      <w:r>
        <w:t xml:space="preserve">Difference is calculated as the satisfaction score of individuals whose city does have a DOR office minus the satisfaction score of individuals whose city does not have a DOR office. </w:t>
      </w:r>
    </w:p>
    <w:p w14:paraId="60871D21" w14:textId="371B9043" w:rsidR="00C21E8C" w:rsidRDefault="00137FA7" w:rsidP="00635226">
      <w:pPr>
        <w:pStyle w:val="SectionSub-Headings"/>
      </w:pPr>
      <w:bookmarkStart w:id="36" w:name="_Toc90632197"/>
      <w:r>
        <w:t>Employment Barriers and Consumer S</w:t>
      </w:r>
      <w:r w:rsidR="00ED5E03">
        <w:t>a</w:t>
      </w:r>
      <w:r>
        <w:t>tisfaction</w:t>
      </w:r>
      <w:bookmarkEnd w:id="36"/>
    </w:p>
    <w:p w14:paraId="44D09D55" w14:textId="2EA5BD8F" w:rsidR="00C21E8C" w:rsidRDefault="00224BED" w:rsidP="00635226">
      <w:pPr>
        <w:pStyle w:val="SectionSub-HeadingsTopics"/>
        <w:numPr>
          <w:ilvl w:val="0"/>
          <w:numId w:val="12"/>
        </w:numPr>
      </w:pPr>
      <w:bookmarkStart w:id="37" w:name="_Toc90632198"/>
      <w:r>
        <w:t xml:space="preserve">Survey </w:t>
      </w:r>
      <w:r w:rsidR="00B733A5">
        <w:t xml:space="preserve">Responses by Consumer </w:t>
      </w:r>
      <w:r w:rsidR="00C21E8C">
        <w:t>Unemployment Reasons</w:t>
      </w:r>
      <w:bookmarkEnd w:id="37"/>
    </w:p>
    <w:p w14:paraId="46ED685F" w14:textId="12BDB459" w:rsidR="00866F7C" w:rsidRDefault="009466E7" w:rsidP="00866F7C">
      <w:pPr>
        <w:spacing w:before="240"/>
      </w:pPr>
      <w:r w:rsidRPr="00D624B7">
        <w:t xml:space="preserve">Survey participants were asked to identify reasons or causes </w:t>
      </w:r>
      <w:r w:rsidR="003B2CAF">
        <w:t>that contributed to their</w:t>
      </w:r>
      <w:r w:rsidRPr="00D624B7">
        <w:t xml:space="preserve"> unemployment </w:t>
      </w:r>
      <w:r w:rsidR="003B2CAF">
        <w:t>status</w:t>
      </w:r>
      <w:r w:rsidRPr="00D624B7">
        <w:t xml:space="preserve">. </w:t>
      </w:r>
      <w:r w:rsidR="00C21E8C" w:rsidRPr="00D624B7">
        <w:t xml:space="preserve">The frequency </w:t>
      </w:r>
      <w:r w:rsidR="00E6049C">
        <w:t>employment barriers</w:t>
      </w:r>
      <w:r w:rsidR="00C21E8C" w:rsidRPr="00D624B7">
        <w:t xml:space="preserve"> </w:t>
      </w:r>
      <w:r w:rsidR="00866F7C">
        <w:t xml:space="preserve">were </w:t>
      </w:r>
      <w:r w:rsidR="00E6049C">
        <w:t>r</w:t>
      </w:r>
      <w:r w:rsidR="00DA32D6" w:rsidRPr="00D624B7">
        <w:t>eported</w:t>
      </w:r>
      <w:r w:rsidR="00C21E8C" w:rsidRPr="00D624B7">
        <w:t xml:space="preserve"> by survey participants </w:t>
      </w:r>
      <w:r w:rsidR="000102D2" w:rsidRPr="00D624B7">
        <w:t>are</w:t>
      </w:r>
      <w:r w:rsidR="00C21E8C" w:rsidRPr="00D624B7">
        <w:t xml:space="preserve"> listed belo</w:t>
      </w:r>
      <w:r w:rsidR="00C21E8C" w:rsidRPr="00702695">
        <w:t>w (Figure 12, Table 1</w:t>
      </w:r>
      <w:r w:rsidR="00676952" w:rsidRPr="00702695">
        <w:t>9</w:t>
      </w:r>
      <w:r w:rsidR="00C21E8C" w:rsidRPr="00702695">
        <w:t>).</w:t>
      </w:r>
      <w:r w:rsidR="00866F7C">
        <w:t xml:space="preserve"> </w:t>
      </w:r>
    </w:p>
    <w:p w14:paraId="550C812E" w14:textId="7F337F99" w:rsidR="00C21E8C" w:rsidRDefault="00C21E8C" w:rsidP="00866F7C">
      <w:pPr>
        <w:spacing w:before="240"/>
      </w:pPr>
      <w:r w:rsidRPr="00445750">
        <w:t xml:space="preserve">Of the 849 survey participants, 76.1% (646) identified a total of 1,385 employment barriers. </w:t>
      </w:r>
      <w:r>
        <w:t xml:space="preserve">On average, each respondent reported two reasons for being unemployed. </w:t>
      </w:r>
      <w:r w:rsidRPr="009E7C3D">
        <w:rPr>
          <w:i/>
          <w:iCs/>
        </w:rPr>
        <w:t xml:space="preserve">Currently a </w:t>
      </w:r>
      <w:proofErr w:type="gramStart"/>
      <w:r w:rsidRPr="009E7C3D">
        <w:rPr>
          <w:i/>
          <w:iCs/>
        </w:rPr>
        <w:t>Student</w:t>
      </w:r>
      <w:proofErr w:type="gramEnd"/>
      <w:r w:rsidRPr="00445750">
        <w:t xml:space="preserve"> (22.7%, 314), </w:t>
      </w:r>
      <w:r w:rsidRPr="009E7C3D">
        <w:rPr>
          <w:i/>
          <w:iCs/>
        </w:rPr>
        <w:t>Still Looking</w:t>
      </w:r>
      <w:r w:rsidR="00BB24DC">
        <w:rPr>
          <w:i/>
          <w:iCs/>
        </w:rPr>
        <w:t xml:space="preserve"> for Employment</w:t>
      </w:r>
      <w:r w:rsidRPr="00445750">
        <w:t xml:space="preserve"> (18.4%, 255), and </w:t>
      </w:r>
      <w:r w:rsidRPr="009E7C3D">
        <w:rPr>
          <w:i/>
          <w:iCs/>
        </w:rPr>
        <w:t>Needs Additional Assistance</w:t>
      </w:r>
      <w:r w:rsidRPr="00445750">
        <w:t xml:space="preserve"> (12.2%, 169) were the most commonly reported unemployment reasons</w:t>
      </w:r>
      <w:r>
        <w:t xml:space="preserve">. </w:t>
      </w:r>
    </w:p>
    <w:p w14:paraId="7C146243" w14:textId="7EB8141F" w:rsidR="00C21E8C" w:rsidRDefault="00C21E8C" w:rsidP="00C03CB0">
      <w:pPr>
        <w:pStyle w:val="FigureTitle"/>
      </w:pPr>
      <w:r w:rsidRPr="00C03CB0">
        <w:lastRenderedPageBreak/>
        <w:t>Unemployment</w:t>
      </w:r>
      <w:r>
        <w:t xml:space="preserve"> Reasons Reported</w:t>
      </w:r>
    </w:p>
    <w:p w14:paraId="350A9ED9" w14:textId="77777777" w:rsidR="00C21E8C" w:rsidRDefault="00C21E8C" w:rsidP="00C21E8C">
      <w:pPr>
        <w:tabs>
          <w:tab w:val="left" w:pos="3510"/>
        </w:tabs>
        <w:jc w:val="center"/>
      </w:pPr>
      <w:r w:rsidRPr="00E13212">
        <w:rPr>
          <w:noProof/>
          <w:color w:val="000000"/>
        </w:rPr>
        <w:drawing>
          <wp:inline distT="0" distB="0" distL="0" distR="0" wp14:anchorId="249771B0" wp14:editId="431519E8">
            <wp:extent cx="6549656" cy="3819525"/>
            <wp:effectExtent l="0" t="0" r="3810" b="9525"/>
            <wp:docPr id="11" name="Chart 11" descr="Figure 12 Description:  The percent of total unemployment reasons reported (1,385) by participants is illustrated using a bar chart. Figure data are listed in table format below (Tabl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7CC412" w14:textId="34FE6211" w:rsidR="00C21E8C" w:rsidRDefault="00903D5B" w:rsidP="002C6E93">
      <w:pPr>
        <w:pStyle w:val="FigureFootnotes"/>
        <w:ind w:left="1260"/>
      </w:pPr>
      <w:r>
        <w:t>The percent of total unemployment reasons reported</w:t>
      </w:r>
      <w:r w:rsidR="00B01BB8">
        <w:t xml:space="preserve"> (1,385) </w:t>
      </w:r>
      <w:r w:rsidR="00DB698C">
        <w:t xml:space="preserve">by participants </w:t>
      </w:r>
      <w:r w:rsidR="00B01BB8">
        <w:t>is illustrated using a b</w:t>
      </w:r>
      <w:r w:rsidR="00C21E8C">
        <w:t>ar chart</w:t>
      </w:r>
      <w:r w:rsidR="00B01BB8">
        <w:t xml:space="preserve">. </w:t>
      </w:r>
      <w:r w:rsidR="00C21E8C">
        <w:t xml:space="preserve">Figure data </w:t>
      </w:r>
      <w:r w:rsidR="00DB698C">
        <w:t>are</w:t>
      </w:r>
      <w:r w:rsidR="00C21E8C">
        <w:t xml:space="preserve"> listed in table format </w:t>
      </w:r>
      <w:r w:rsidR="00C21E8C" w:rsidRPr="00450CF5">
        <w:t xml:space="preserve">below </w:t>
      </w:r>
      <w:r w:rsidR="00C21E8C" w:rsidRPr="00702695">
        <w:t xml:space="preserve">(Table </w:t>
      </w:r>
      <w:r w:rsidR="00DB698C" w:rsidRPr="00702695">
        <w:t>19</w:t>
      </w:r>
      <w:r w:rsidR="00C21E8C" w:rsidRPr="00702695">
        <w:t>).</w:t>
      </w:r>
    </w:p>
    <w:p w14:paraId="147ACD32" w14:textId="1141DD5E" w:rsidR="00C21E8C" w:rsidRPr="00445750" w:rsidRDefault="00C21E8C" w:rsidP="00C21E8C">
      <w:pPr>
        <w:pStyle w:val="TableTitle"/>
      </w:pPr>
      <w:r>
        <w:t xml:space="preserve">Unemployment Reasons Reported </w:t>
      </w:r>
    </w:p>
    <w:tbl>
      <w:tblPr>
        <w:tblStyle w:val="TableGrid"/>
        <w:tblW w:w="9239" w:type="dxa"/>
        <w:jc w:val="center"/>
        <w:tblLayout w:type="fixed"/>
        <w:tblLook w:val="04A0" w:firstRow="1" w:lastRow="0" w:firstColumn="1" w:lastColumn="0" w:noHBand="0" w:noVBand="1"/>
      </w:tblPr>
      <w:tblGrid>
        <w:gridCol w:w="5041"/>
        <w:gridCol w:w="1710"/>
        <w:gridCol w:w="2488"/>
      </w:tblGrid>
      <w:tr w:rsidR="00C21E8C" w:rsidRPr="007B1D01" w14:paraId="6E2C81F1" w14:textId="77777777" w:rsidTr="008F7509">
        <w:trPr>
          <w:trHeight w:val="782"/>
          <w:jc w:val="center"/>
        </w:trPr>
        <w:tc>
          <w:tcPr>
            <w:tcW w:w="5041" w:type="dxa"/>
            <w:shd w:val="clear" w:color="auto" w:fill="00407B" w:themeFill="accent1" w:themeFillShade="BF"/>
            <w:noWrap/>
            <w:vAlign w:val="center"/>
            <w:hideMark/>
          </w:tcPr>
          <w:p w14:paraId="461EA4F2" w14:textId="77777777" w:rsidR="00C21E8C" w:rsidRPr="007B1D01" w:rsidRDefault="00C21E8C" w:rsidP="007B1D01">
            <w:pPr>
              <w:spacing w:after="0"/>
              <w:rPr>
                <w:rFonts w:eastAsia="Times New Roman" w:cs="Arial"/>
                <w:b/>
                <w:bCs/>
                <w:color w:val="FFFFFF" w:themeColor="background1"/>
              </w:rPr>
            </w:pPr>
            <w:r w:rsidRPr="007B1D01">
              <w:rPr>
                <w:rFonts w:eastAsia="Times New Roman" w:cs="Arial"/>
                <w:b/>
                <w:bCs/>
                <w:color w:val="FFFFFF" w:themeColor="background1"/>
              </w:rPr>
              <w:t>Unemployment Reasons</w:t>
            </w:r>
          </w:p>
        </w:tc>
        <w:tc>
          <w:tcPr>
            <w:tcW w:w="1710" w:type="dxa"/>
            <w:shd w:val="clear" w:color="auto" w:fill="00407B" w:themeFill="accent1" w:themeFillShade="BF"/>
            <w:vAlign w:val="center"/>
          </w:tcPr>
          <w:p w14:paraId="20AAB115" w14:textId="77777777" w:rsidR="00C21E8C" w:rsidRPr="007B1D01" w:rsidRDefault="00C21E8C" w:rsidP="007B1D01">
            <w:pPr>
              <w:spacing w:after="0"/>
              <w:jc w:val="center"/>
              <w:rPr>
                <w:rFonts w:eastAsia="Times New Roman" w:cs="Arial"/>
                <w:b/>
                <w:bCs/>
                <w:color w:val="FFFFFF" w:themeColor="background1"/>
              </w:rPr>
            </w:pPr>
            <w:r w:rsidRPr="007B1D01">
              <w:rPr>
                <w:rFonts w:eastAsia="Times New Roman" w:cs="Arial"/>
                <w:b/>
                <w:bCs/>
                <w:color w:val="FFFFFF" w:themeColor="background1"/>
              </w:rPr>
              <w:t>Responses</w:t>
            </w:r>
          </w:p>
          <w:p w14:paraId="4F582BF3" w14:textId="77777777" w:rsidR="00C21E8C" w:rsidRPr="007B1D01" w:rsidRDefault="00C21E8C" w:rsidP="007B1D01">
            <w:pPr>
              <w:spacing w:after="0"/>
              <w:jc w:val="center"/>
              <w:rPr>
                <w:rFonts w:eastAsia="Times New Roman" w:cs="Arial"/>
                <w:color w:val="FFFFFF" w:themeColor="background1"/>
              </w:rPr>
            </w:pPr>
            <w:r w:rsidRPr="007B1D01">
              <w:rPr>
                <w:rFonts w:eastAsia="Times New Roman" w:cs="Arial"/>
                <w:color w:val="FFFFFF" w:themeColor="background1"/>
              </w:rPr>
              <w:t>(Count)</w:t>
            </w:r>
          </w:p>
        </w:tc>
        <w:tc>
          <w:tcPr>
            <w:tcW w:w="2488" w:type="dxa"/>
            <w:shd w:val="clear" w:color="auto" w:fill="00407B" w:themeFill="accent1" w:themeFillShade="BF"/>
            <w:vAlign w:val="center"/>
          </w:tcPr>
          <w:p w14:paraId="049AE166" w14:textId="77777777" w:rsidR="00C21E8C" w:rsidRPr="007B1D01" w:rsidRDefault="00C21E8C" w:rsidP="007B1D01">
            <w:pPr>
              <w:spacing w:after="0"/>
              <w:jc w:val="center"/>
              <w:rPr>
                <w:rFonts w:eastAsia="Times New Roman" w:cs="Arial"/>
                <w:b/>
                <w:bCs/>
                <w:color w:val="FFFFFF" w:themeColor="background1"/>
              </w:rPr>
            </w:pPr>
            <w:r w:rsidRPr="007B1D01">
              <w:rPr>
                <w:rFonts w:eastAsia="Times New Roman" w:cs="Arial"/>
                <w:b/>
                <w:bCs/>
                <w:color w:val="FFFFFF" w:themeColor="background1"/>
              </w:rPr>
              <w:t>Responses</w:t>
            </w:r>
          </w:p>
          <w:p w14:paraId="44C5AA8B" w14:textId="77777777" w:rsidR="00C21E8C" w:rsidRPr="007B1D01" w:rsidRDefault="00C21E8C" w:rsidP="007B1D01">
            <w:pPr>
              <w:spacing w:after="0"/>
              <w:jc w:val="center"/>
              <w:rPr>
                <w:rFonts w:eastAsia="Times New Roman" w:cs="Arial"/>
                <w:color w:val="FFFFFF" w:themeColor="background1"/>
              </w:rPr>
            </w:pPr>
            <w:r w:rsidRPr="007B1D01">
              <w:rPr>
                <w:rFonts w:eastAsia="Times New Roman" w:cs="Arial"/>
                <w:color w:val="FFFFFF" w:themeColor="background1"/>
              </w:rPr>
              <w:t>(Percent of Total)</w:t>
            </w:r>
          </w:p>
        </w:tc>
      </w:tr>
      <w:tr w:rsidR="00C21E8C" w:rsidRPr="007B1D01" w14:paraId="3D7ABC84" w14:textId="77777777" w:rsidTr="008F7509">
        <w:trPr>
          <w:trHeight w:val="230"/>
          <w:jc w:val="center"/>
        </w:trPr>
        <w:tc>
          <w:tcPr>
            <w:tcW w:w="5041" w:type="dxa"/>
            <w:noWrap/>
            <w:hideMark/>
          </w:tcPr>
          <w:p w14:paraId="3C81E686" w14:textId="77777777" w:rsidR="00C21E8C" w:rsidRPr="007B1D01" w:rsidRDefault="00C21E8C" w:rsidP="00907AE1">
            <w:pPr>
              <w:spacing w:after="0"/>
              <w:rPr>
                <w:rFonts w:eastAsia="Times New Roman" w:cs="Arial"/>
              </w:rPr>
            </w:pPr>
            <w:r w:rsidRPr="007B1D01">
              <w:rPr>
                <w:rFonts w:eastAsia="Times New Roman" w:cs="Arial"/>
              </w:rPr>
              <w:t xml:space="preserve">Currently a </w:t>
            </w:r>
            <w:proofErr w:type="gramStart"/>
            <w:r w:rsidRPr="007B1D01">
              <w:rPr>
                <w:rFonts w:eastAsia="Times New Roman" w:cs="Arial"/>
              </w:rPr>
              <w:t>Student</w:t>
            </w:r>
            <w:proofErr w:type="gramEnd"/>
          </w:p>
        </w:tc>
        <w:tc>
          <w:tcPr>
            <w:tcW w:w="1710" w:type="dxa"/>
          </w:tcPr>
          <w:p w14:paraId="5E7572C7" w14:textId="77777777" w:rsidR="00C21E8C" w:rsidRPr="007B1D01" w:rsidRDefault="00C21E8C" w:rsidP="006843B1">
            <w:pPr>
              <w:spacing w:after="0"/>
              <w:jc w:val="center"/>
              <w:rPr>
                <w:rFonts w:eastAsia="Times New Roman" w:cs="Arial"/>
              </w:rPr>
            </w:pPr>
            <w:r w:rsidRPr="007B1D01">
              <w:rPr>
                <w:rFonts w:cs="Arial"/>
              </w:rPr>
              <w:t>314</w:t>
            </w:r>
          </w:p>
        </w:tc>
        <w:tc>
          <w:tcPr>
            <w:tcW w:w="2488" w:type="dxa"/>
          </w:tcPr>
          <w:p w14:paraId="5AC11CCD" w14:textId="77777777" w:rsidR="00C21E8C" w:rsidRPr="007B1D01" w:rsidRDefault="00C21E8C" w:rsidP="006843B1">
            <w:pPr>
              <w:spacing w:after="0"/>
              <w:jc w:val="center"/>
              <w:rPr>
                <w:rFonts w:eastAsia="Times New Roman" w:cs="Arial"/>
              </w:rPr>
            </w:pPr>
            <w:r w:rsidRPr="007B1D01">
              <w:rPr>
                <w:rFonts w:cs="Arial"/>
              </w:rPr>
              <w:t>22.7%</w:t>
            </w:r>
          </w:p>
        </w:tc>
      </w:tr>
      <w:tr w:rsidR="00C21E8C" w:rsidRPr="007B1D01" w14:paraId="0707AD29" w14:textId="77777777" w:rsidTr="008F7509">
        <w:trPr>
          <w:trHeight w:val="230"/>
          <w:jc w:val="center"/>
        </w:trPr>
        <w:tc>
          <w:tcPr>
            <w:tcW w:w="5041" w:type="dxa"/>
            <w:noWrap/>
            <w:hideMark/>
          </w:tcPr>
          <w:p w14:paraId="289ED7D7" w14:textId="1BE23DF7" w:rsidR="00C21E8C" w:rsidRPr="007B1D01" w:rsidRDefault="00C21E8C" w:rsidP="00907AE1">
            <w:pPr>
              <w:spacing w:after="0"/>
              <w:rPr>
                <w:rFonts w:eastAsia="Times New Roman" w:cs="Arial"/>
              </w:rPr>
            </w:pPr>
            <w:r w:rsidRPr="007B1D01">
              <w:rPr>
                <w:rFonts w:eastAsia="Times New Roman" w:cs="Arial"/>
              </w:rPr>
              <w:t>Still Looking</w:t>
            </w:r>
            <w:r w:rsidR="008F7509">
              <w:rPr>
                <w:rFonts w:eastAsia="Times New Roman" w:cs="Arial"/>
              </w:rPr>
              <w:t xml:space="preserve"> for Employment</w:t>
            </w:r>
          </w:p>
        </w:tc>
        <w:tc>
          <w:tcPr>
            <w:tcW w:w="1710" w:type="dxa"/>
          </w:tcPr>
          <w:p w14:paraId="70CB1C4F" w14:textId="77777777" w:rsidR="00C21E8C" w:rsidRPr="007B1D01" w:rsidRDefault="00C21E8C" w:rsidP="006843B1">
            <w:pPr>
              <w:spacing w:after="0"/>
              <w:jc w:val="center"/>
              <w:rPr>
                <w:rFonts w:eastAsia="Times New Roman" w:cs="Arial"/>
              </w:rPr>
            </w:pPr>
            <w:r w:rsidRPr="007B1D01">
              <w:rPr>
                <w:rFonts w:cs="Arial"/>
              </w:rPr>
              <w:t>255</w:t>
            </w:r>
          </w:p>
        </w:tc>
        <w:tc>
          <w:tcPr>
            <w:tcW w:w="2488" w:type="dxa"/>
          </w:tcPr>
          <w:p w14:paraId="3B09EE4C" w14:textId="77777777" w:rsidR="00C21E8C" w:rsidRPr="007B1D01" w:rsidRDefault="00C21E8C" w:rsidP="006843B1">
            <w:pPr>
              <w:spacing w:after="0"/>
              <w:jc w:val="center"/>
              <w:rPr>
                <w:rFonts w:eastAsia="Times New Roman" w:cs="Arial"/>
              </w:rPr>
            </w:pPr>
            <w:r w:rsidRPr="007B1D01">
              <w:rPr>
                <w:rFonts w:cs="Arial"/>
              </w:rPr>
              <w:t>18.4%</w:t>
            </w:r>
          </w:p>
        </w:tc>
      </w:tr>
      <w:tr w:rsidR="00C21E8C" w:rsidRPr="007B1D01" w14:paraId="39EA6997" w14:textId="77777777" w:rsidTr="008F7509">
        <w:trPr>
          <w:trHeight w:val="230"/>
          <w:jc w:val="center"/>
        </w:trPr>
        <w:tc>
          <w:tcPr>
            <w:tcW w:w="5041" w:type="dxa"/>
            <w:noWrap/>
            <w:hideMark/>
          </w:tcPr>
          <w:p w14:paraId="4C8A9F50" w14:textId="77777777" w:rsidR="00C21E8C" w:rsidRPr="007B1D01" w:rsidRDefault="00C21E8C" w:rsidP="00907AE1">
            <w:pPr>
              <w:spacing w:after="0"/>
              <w:rPr>
                <w:rFonts w:eastAsia="Times New Roman" w:cs="Arial"/>
              </w:rPr>
            </w:pPr>
            <w:r w:rsidRPr="007B1D01">
              <w:rPr>
                <w:rFonts w:eastAsia="Times New Roman" w:cs="Arial"/>
              </w:rPr>
              <w:t>Need Additional Help</w:t>
            </w:r>
          </w:p>
        </w:tc>
        <w:tc>
          <w:tcPr>
            <w:tcW w:w="1710" w:type="dxa"/>
          </w:tcPr>
          <w:p w14:paraId="7D0E9A59" w14:textId="77777777" w:rsidR="00C21E8C" w:rsidRPr="007B1D01" w:rsidRDefault="00C21E8C" w:rsidP="006843B1">
            <w:pPr>
              <w:spacing w:after="0"/>
              <w:jc w:val="center"/>
              <w:rPr>
                <w:rFonts w:eastAsia="Times New Roman" w:cs="Arial"/>
              </w:rPr>
            </w:pPr>
            <w:r w:rsidRPr="007B1D01">
              <w:rPr>
                <w:rFonts w:cs="Arial"/>
              </w:rPr>
              <w:t>169</w:t>
            </w:r>
          </w:p>
        </w:tc>
        <w:tc>
          <w:tcPr>
            <w:tcW w:w="2488" w:type="dxa"/>
          </w:tcPr>
          <w:p w14:paraId="344443D1" w14:textId="77777777" w:rsidR="00C21E8C" w:rsidRPr="007B1D01" w:rsidRDefault="00C21E8C" w:rsidP="006843B1">
            <w:pPr>
              <w:spacing w:after="0"/>
              <w:jc w:val="center"/>
              <w:rPr>
                <w:rFonts w:eastAsia="Times New Roman" w:cs="Arial"/>
              </w:rPr>
            </w:pPr>
            <w:r w:rsidRPr="007B1D01">
              <w:rPr>
                <w:rFonts w:cs="Arial"/>
              </w:rPr>
              <w:t>12.2%</w:t>
            </w:r>
          </w:p>
        </w:tc>
      </w:tr>
      <w:tr w:rsidR="00C21E8C" w:rsidRPr="007B1D01" w14:paraId="2ACE209A" w14:textId="77777777" w:rsidTr="008F7509">
        <w:trPr>
          <w:trHeight w:val="230"/>
          <w:jc w:val="center"/>
        </w:trPr>
        <w:tc>
          <w:tcPr>
            <w:tcW w:w="5041" w:type="dxa"/>
            <w:noWrap/>
            <w:hideMark/>
          </w:tcPr>
          <w:p w14:paraId="70E19653" w14:textId="77777777" w:rsidR="00C21E8C" w:rsidRPr="007B1D01" w:rsidRDefault="00C21E8C" w:rsidP="00907AE1">
            <w:pPr>
              <w:spacing w:after="0"/>
              <w:rPr>
                <w:rFonts w:eastAsia="Times New Roman" w:cs="Arial"/>
              </w:rPr>
            </w:pPr>
            <w:r w:rsidRPr="007B1D01">
              <w:rPr>
                <w:rFonts w:eastAsia="Times New Roman" w:cs="Arial"/>
              </w:rPr>
              <w:t>Lack of DOR Assistance</w:t>
            </w:r>
          </w:p>
        </w:tc>
        <w:tc>
          <w:tcPr>
            <w:tcW w:w="1710" w:type="dxa"/>
          </w:tcPr>
          <w:p w14:paraId="1950F181" w14:textId="77777777" w:rsidR="00C21E8C" w:rsidRPr="007B1D01" w:rsidRDefault="00C21E8C" w:rsidP="006843B1">
            <w:pPr>
              <w:spacing w:after="0"/>
              <w:jc w:val="center"/>
              <w:rPr>
                <w:rFonts w:eastAsia="Times New Roman" w:cs="Arial"/>
              </w:rPr>
            </w:pPr>
            <w:r w:rsidRPr="007B1D01">
              <w:rPr>
                <w:rFonts w:cs="Arial"/>
              </w:rPr>
              <w:t>121</w:t>
            </w:r>
          </w:p>
        </w:tc>
        <w:tc>
          <w:tcPr>
            <w:tcW w:w="2488" w:type="dxa"/>
          </w:tcPr>
          <w:p w14:paraId="514DA55F" w14:textId="77777777" w:rsidR="00C21E8C" w:rsidRPr="007B1D01" w:rsidRDefault="00C21E8C" w:rsidP="006843B1">
            <w:pPr>
              <w:spacing w:after="0"/>
              <w:jc w:val="center"/>
              <w:rPr>
                <w:rFonts w:eastAsia="Times New Roman" w:cs="Arial"/>
              </w:rPr>
            </w:pPr>
            <w:r w:rsidRPr="007B1D01">
              <w:rPr>
                <w:rFonts w:cs="Arial"/>
              </w:rPr>
              <w:t>8.7%</w:t>
            </w:r>
          </w:p>
        </w:tc>
      </w:tr>
      <w:tr w:rsidR="00C21E8C" w:rsidRPr="007B1D01" w14:paraId="3979089A" w14:textId="77777777" w:rsidTr="008F7509">
        <w:trPr>
          <w:trHeight w:val="230"/>
          <w:jc w:val="center"/>
        </w:trPr>
        <w:tc>
          <w:tcPr>
            <w:tcW w:w="5041" w:type="dxa"/>
            <w:noWrap/>
            <w:hideMark/>
          </w:tcPr>
          <w:p w14:paraId="40C58DC9" w14:textId="77777777" w:rsidR="00C21E8C" w:rsidRPr="007B1D01" w:rsidRDefault="00C21E8C" w:rsidP="00907AE1">
            <w:pPr>
              <w:spacing w:after="0"/>
              <w:rPr>
                <w:rFonts w:eastAsia="Times New Roman" w:cs="Arial"/>
              </w:rPr>
            </w:pPr>
            <w:r w:rsidRPr="007B1D01">
              <w:rPr>
                <w:rFonts w:eastAsia="Times New Roman" w:cs="Arial"/>
              </w:rPr>
              <w:t>Prevented by Disability</w:t>
            </w:r>
          </w:p>
        </w:tc>
        <w:tc>
          <w:tcPr>
            <w:tcW w:w="1710" w:type="dxa"/>
          </w:tcPr>
          <w:p w14:paraId="75DD29B0" w14:textId="77777777" w:rsidR="00C21E8C" w:rsidRPr="007B1D01" w:rsidRDefault="00C21E8C" w:rsidP="006843B1">
            <w:pPr>
              <w:spacing w:after="0"/>
              <w:jc w:val="center"/>
              <w:rPr>
                <w:rFonts w:eastAsia="Times New Roman" w:cs="Arial"/>
              </w:rPr>
            </w:pPr>
            <w:r w:rsidRPr="007B1D01">
              <w:rPr>
                <w:rFonts w:cs="Arial"/>
              </w:rPr>
              <w:t>112</w:t>
            </w:r>
          </w:p>
        </w:tc>
        <w:tc>
          <w:tcPr>
            <w:tcW w:w="2488" w:type="dxa"/>
          </w:tcPr>
          <w:p w14:paraId="409544B1" w14:textId="77777777" w:rsidR="00C21E8C" w:rsidRPr="007B1D01" w:rsidRDefault="00C21E8C" w:rsidP="006843B1">
            <w:pPr>
              <w:spacing w:after="0"/>
              <w:jc w:val="center"/>
              <w:rPr>
                <w:rFonts w:eastAsia="Times New Roman" w:cs="Arial"/>
              </w:rPr>
            </w:pPr>
            <w:r w:rsidRPr="007B1D01">
              <w:rPr>
                <w:rFonts w:cs="Arial"/>
              </w:rPr>
              <w:t>8.1%</w:t>
            </w:r>
          </w:p>
        </w:tc>
      </w:tr>
      <w:tr w:rsidR="00C21E8C" w:rsidRPr="007B1D01" w14:paraId="3D098D22" w14:textId="77777777" w:rsidTr="008F7509">
        <w:trPr>
          <w:trHeight w:val="230"/>
          <w:jc w:val="center"/>
        </w:trPr>
        <w:tc>
          <w:tcPr>
            <w:tcW w:w="5041" w:type="dxa"/>
            <w:noWrap/>
            <w:hideMark/>
          </w:tcPr>
          <w:p w14:paraId="734BCEAA" w14:textId="001B54E7" w:rsidR="00C21E8C" w:rsidRPr="007B1D01" w:rsidRDefault="00C21E8C" w:rsidP="00907AE1">
            <w:pPr>
              <w:spacing w:after="0"/>
              <w:rPr>
                <w:rFonts w:eastAsia="Times New Roman" w:cs="Arial"/>
              </w:rPr>
            </w:pPr>
            <w:r w:rsidRPr="007B1D01">
              <w:rPr>
                <w:rFonts w:eastAsia="Times New Roman" w:cs="Arial"/>
              </w:rPr>
              <w:t>Not Ready</w:t>
            </w:r>
            <w:r w:rsidR="008F7509">
              <w:rPr>
                <w:rFonts w:eastAsia="Times New Roman" w:cs="Arial"/>
              </w:rPr>
              <w:t xml:space="preserve"> for Employment</w:t>
            </w:r>
          </w:p>
        </w:tc>
        <w:tc>
          <w:tcPr>
            <w:tcW w:w="1710" w:type="dxa"/>
          </w:tcPr>
          <w:p w14:paraId="3E443DFA" w14:textId="77777777" w:rsidR="00C21E8C" w:rsidRPr="007B1D01" w:rsidRDefault="00C21E8C" w:rsidP="006843B1">
            <w:pPr>
              <w:spacing w:after="0"/>
              <w:jc w:val="center"/>
              <w:rPr>
                <w:rFonts w:eastAsia="Times New Roman" w:cs="Arial"/>
              </w:rPr>
            </w:pPr>
            <w:r w:rsidRPr="007B1D01">
              <w:rPr>
                <w:rFonts w:cs="Arial"/>
              </w:rPr>
              <w:t>98</w:t>
            </w:r>
          </w:p>
        </w:tc>
        <w:tc>
          <w:tcPr>
            <w:tcW w:w="2488" w:type="dxa"/>
          </w:tcPr>
          <w:p w14:paraId="5B0A8127" w14:textId="77777777" w:rsidR="00C21E8C" w:rsidRPr="007B1D01" w:rsidRDefault="00C21E8C" w:rsidP="006843B1">
            <w:pPr>
              <w:spacing w:after="0"/>
              <w:jc w:val="center"/>
              <w:rPr>
                <w:rFonts w:eastAsia="Times New Roman" w:cs="Arial"/>
              </w:rPr>
            </w:pPr>
            <w:r w:rsidRPr="007B1D01">
              <w:rPr>
                <w:rFonts w:cs="Arial"/>
              </w:rPr>
              <w:t>7.1%</w:t>
            </w:r>
          </w:p>
        </w:tc>
      </w:tr>
      <w:tr w:rsidR="00C21E8C" w:rsidRPr="007B1D01" w14:paraId="3936D51B" w14:textId="77777777" w:rsidTr="008F7509">
        <w:trPr>
          <w:trHeight w:val="230"/>
          <w:jc w:val="center"/>
        </w:trPr>
        <w:tc>
          <w:tcPr>
            <w:tcW w:w="5041" w:type="dxa"/>
            <w:noWrap/>
            <w:hideMark/>
          </w:tcPr>
          <w:p w14:paraId="327834A2" w14:textId="003BE125" w:rsidR="00C21E8C" w:rsidRPr="007B1D01" w:rsidRDefault="008F7509" w:rsidP="00907AE1">
            <w:pPr>
              <w:spacing w:after="0"/>
              <w:rPr>
                <w:rFonts w:eastAsia="Times New Roman" w:cs="Arial"/>
              </w:rPr>
            </w:pPr>
            <w:r>
              <w:rPr>
                <w:rFonts w:eastAsia="Times New Roman" w:cs="Arial"/>
              </w:rPr>
              <w:t xml:space="preserve">Prevented by </w:t>
            </w:r>
            <w:r w:rsidR="00C21E8C" w:rsidRPr="007B1D01">
              <w:rPr>
                <w:rFonts w:eastAsia="Times New Roman" w:cs="Arial"/>
              </w:rPr>
              <w:t>Transportation Issues</w:t>
            </w:r>
          </w:p>
        </w:tc>
        <w:tc>
          <w:tcPr>
            <w:tcW w:w="1710" w:type="dxa"/>
          </w:tcPr>
          <w:p w14:paraId="4887F82D" w14:textId="77777777" w:rsidR="00C21E8C" w:rsidRPr="007B1D01" w:rsidRDefault="00C21E8C" w:rsidP="006843B1">
            <w:pPr>
              <w:spacing w:after="0"/>
              <w:jc w:val="center"/>
              <w:rPr>
                <w:rFonts w:eastAsia="Times New Roman" w:cs="Arial"/>
              </w:rPr>
            </w:pPr>
            <w:r w:rsidRPr="007B1D01">
              <w:rPr>
                <w:rFonts w:cs="Arial"/>
              </w:rPr>
              <w:t>83</w:t>
            </w:r>
          </w:p>
        </w:tc>
        <w:tc>
          <w:tcPr>
            <w:tcW w:w="2488" w:type="dxa"/>
          </w:tcPr>
          <w:p w14:paraId="2348C192" w14:textId="77777777" w:rsidR="00C21E8C" w:rsidRPr="007B1D01" w:rsidRDefault="00C21E8C" w:rsidP="006843B1">
            <w:pPr>
              <w:spacing w:after="0"/>
              <w:jc w:val="center"/>
              <w:rPr>
                <w:rFonts w:eastAsia="Times New Roman" w:cs="Arial"/>
              </w:rPr>
            </w:pPr>
            <w:r w:rsidRPr="007B1D01">
              <w:rPr>
                <w:rFonts w:cs="Arial"/>
              </w:rPr>
              <w:t>6.0%</w:t>
            </w:r>
          </w:p>
        </w:tc>
      </w:tr>
      <w:tr w:rsidR="00C21E8C" w:rsidRPr="007B1D01" w14:paraId="7656F3BC" w14:textId="77777777" w:rsidTr="008F7509">
        <w:trPr>
          <w:trHeight w:val="230"/>
          <w:jc w:val="center"/>
        </w:trPr>
        <w:tc>
          <w:tcPr>
            <w:tcW w:w="5041" w:type="dxa"/>
            <w:noWrap/>
            <w:hideMark/>
          </w:tcPr>
          <w:p w14:paraId="079A4933" w14:textId="370615E5" w:rsidR="00C21E8C" w:rsidRPr="007B1D01" w:rsidRDefault="008F7509" w:rsidP="00907AE1">
            <w:pPr>
              <w:spacing w:after="0"/>
              <w:rPr>
                <w:rFonts w:eastAsia="Times New Roman" w:cs="Arial"/>
              </w:rPr>
            </w:pPr>
            <w:r>
              <w:rPr>
                <w:rFonts w:eastAsia="Times New Roman" w:cs="Arial"/>
              </w:rPr>
              <w:t>Lack</w:t>
            </w:r>
            <w:r w:rsidR="00C21E8C" w:rsidRPr="007B1D01">
              <w:rPr>
                <w:rFonts w:eastAsia="Times New Roman" w:cs="Arial"/>
              </w:rPr>
              <w:t xml:space="preserve"> of Desired Jobs</w:t>
            </w:r>
            <w:r>
              <w:rPr>
                <w:rFonts w:eastAsia="Times New Roman" w:cs="Arial"/>
              </w:rPr>
              <w:t xml:space="preserve"> Available</w:t>
            </w:r>
          </w:p>
        </w:tc>
        <w:tc>
          <w:tcPr>
            <w:tcW w:w="1710" w:type="dxa"/>
          </w:tcPr>
          <w:p w14:paraId="44F6DB94" w14:textId="77777777" w:rsidR="00C21E8C" w:rsidRPr="007B1D01" w:rsidRDefault="00C21E8C" w:rsidP="006843B1">
            <w:pPr>
              <w:spacing w:after="0"/>
              <w:jc w:val="center"/>
              <w:rPr>
                <w:rFonts w:eastAsia="Times New Roman" w:cs="Arial"/>
              </w:rPr>
            </w:pPr>
            <w:r w:rsidRPr="007B1D01">
              <w:rPr>
                <w:rFonts w:cs="Arial"/>
              </w:rPr>
              <w:t>81</w:t>
            </w:r>
          </w:p>
        </w:tc>
        <w:tc>
          <w:tcPr>
            <w:tcW w:w="2488" w:type="dxa"/>
          </w:tcPr>
          <w:p w14:paraId="4D52A37E" w14:textId="77777777" w:rsidR="00C21E8C" w:rsidRPr="007B1D01" w:rsidRDefault="00C21E8C" w:rsidP="006843B1">
            <w:pPr>
              <w:spacing w:after="0"/>
              <w:jc w:val="center"/>
              <w:rPr>
                <w:rFonts w:eastAsia="Times New Roman" w:cs="Arial"/>
              </w:rPr>
            </w:pPr>
            <w:r w:rsidRPr="007B1D01">
              <w:rPr>
                <w:rFonts w:cs="Arial"/>
              </w:rPr>
              <w:t>5.8%</w:t>
            </w:r>
          </w:p>
        </w:tc>
      </w:tr>
      <w:tr w:rsidR="00C21E8C" w:rsidRPr="007B1D01" w14:paraId="64C09FD6" w14:textId="77777777" w:rsidTr="008F7509">
        <w:trPr>
          <w:trHeight w:val="230"/>
          <w:jc w:val="center"/>
        </w:trPr>
        <w:tc>
          <w:tcPr>
            <w:tcW w:w="5041" w:type="dxa"/>
            <w:noWrap/>
            <w:hideMark/>
          </w:tcPr>
          <w:p w14:paraId="00D160C5" w14:textId="7313F2E9" w:rsidR="00C21E8C" w:rsidRPr="007B1D01" w:rsidRDefault="008F7509" w:rsidP="00907AE1">
            <w:pPr>
              <w:spacing w:after="0"/>
              <w:rPr>
                <w:rFonts w:eastAsia="Times New Roman" w:cs="Arial"/>
              </w:rPr>
            </w:pPr>
            <w:r>
              <w:rPr>
                <w:rFonts w:eastAsia="Times New Roman" w:cs="Arial"/>
              </w:rPr>
              <w:t>Lack</w:t>
            </w:r>
            <w:r w:rsidR="00C21E8C" w:rsidRPr="007B1D01">
              <w:rPr>
                <w:rFonts w:eastAsia="Times New Roman" w:cs="Arial"/>
              </w:rPr>
              <w:t xml:space="preserve"> of IPE-consistent Jobs</w:t>
            </w:r>
            <w:r>
              <w:rPr>
                <w:rFonts w:eastAsia="Times New Roman" w:cs="Arial"/>
              </w:rPr>
              <w:t xml:space="preserve"> Available</w:t>
            </w:r>
          </w:p>
        </w:tc>
        <w:tc>
          <w:tcPr>
            <w:tcW w:w="1710" w:type="dxa"/>
          </w:tcPr>
          <w:p w14:paraId="7B7A2793" w14:textId="77777777" w:rsidR="00C21E8C" w:rsidRPr="007B1D01" w:rsidRDefault="00C21E8C" w:rsidP="006843B1">
            <w:pPr>
              <w:spacing w:after="0"/>
              <w:jc w:val="center"/>
              <w:rPr>
                <w:rFonts w:eastAsia="Times New Roman" w:cs="Arial"/>
              </w:rPr>
            </w:pPr>
            <w:r w:rsidRPr="007B1D01">
              <w:rPr>
                <w:rFonts w:cs="Arial"/>
              </w:rPr>
              <w:t>68</w:t>
            </w:r>
          </w:p>
        </w:tc>
        <w:tc>
          <w:tcPr>
            <w:tcW w:w="2488" w:type="dxa"/>
          </w:tcPr>
          <w:p w14:paraId="184D3395" w14:textId="77777777" w:rsidR="00C21E8C" w:rsidRPr="007B1D01" w:rsidRDefault="00C21E8C" w:rsidP="006843B1">
            <w:pPr>
              <w:spacing w:after="0"/>
              <w:jc w:val="center"/>
              <w:rPr>
                <w:rFonts w:eastAsia="Times New Roman" w:cs="Arial"/>
              </w:rPr>
            </w:pPr>
            <w:r w:rsidRPr="007B1D01">
              <w:rPr>
                <w:rFonts w:cs="Arial"/>
              </w:rPr>
              <w:t>4.9%</w:t>
            </w:r>
          </w:p>
        </w:tc>
      </w:tr>
      <w:tr w:rsidR="00C21E8C" w:rsidRPr="007B1D01" w14:paraId="784A971B" w14:textId="77777777" w:rsidTr="008F7509">
        <w:trPr>
          <w:trHeight w:val="230"/>
          <w:jc w:val="center"/>
        </w:trPr>
        <w:tc>
          <w:tcPr>
            <w:tcW w:w="5041" w:type="dxa"/>
            <w:noWrap/>
            <w:hideMark/>
          </w:tcPr>
          <w:p w14:paraId="4CC0C43C" w14:textId="48F78248" w:rsidR="00C21E8C" w:rsidRPr="007B1D01" w:rsidRDefault="00C21E8C" w:rsidP="00907AE1">
            <w:pPr>
              <w:spacing w:after="0"/>
              <w:rPr>
                <w:rFonts w:eastAsia="Times New Roman" w:cs="Arial"/>
              </w:rPr>
            </w:pPr>
            <w:r w:rsidRPr="007B1D01">
              <w:rPr>
                <w:rFonts w:eastAsia="Times New Roman" w:cs="Arial"/>
              </w:rPr>
              <w:t>Retain</w:t>
            </w:r>
            <w:r w:rsidR="008F7509">
              <w:rPr>
                <w:rFonts w:eastAsia="Times New Roman" w:cs="Arial"/>
              </w:rPr>
              <w:t xml:space="preserve">ing </w:t>
            </w:r>
            <w:r w:rsidRPr="007B1D01">
              <w:rPr>
                <w:rFonts w:eastAsia="Times New Roman" w:cs="Arial"/>
              </w:rPr>
              <w:t>SSI/SSDI Benefits</w:t>
            </w:r>
          </w:p>
        </w:tc>
        <w:tc>
          <w:tcPr>
            <w:tcW w:w="1710" w:type="dxa"/>
          </w:tcPr>
          <w:p w14:paraId="1A35166E" w14:textId="77777777" w:rsidR="00C21E8C" w:rsidRPr="007B1D01" w:rsidRDefault="00C21E8C" w:rsidP="006843B1">
            <w:pPr>
              <w:spacing w:after="0"/>
              <w:jc w:val="center"/>
              <w:rPr>
                <w:rFonts w:eastAsia="Times New Roman" w:cs="Arial"/>
              </w:rPr>
            </w:pPr>
            <w:r w:rsidRPr="007B1D01">
              <w:rPr>
                <w:rFonts w:cs="Arial"/>
              </w:rPr>
              <w:t>43</w:t>
            </w:r>
          </w:p>
        </w:tc>
        <w:tc>
          <w:tcPr>
            <w:tcW w:w="2488" w:type="dxa"/>
          </w:tcPr>
          <w:p w14:paraId="01AA2B45" w14:textId="77777777" w:rsidR="00C21E8C" w:rsidRPr="007B1D01" w:rsidRDefault="00C21E8C" w:rsidP="006843B1">
            <w:pPr>
              <w:spacing w:after="0"/>
              <w:jc w:val="center"/>
              <w:rPr>
                <w:rFonts w:eastAsia="Times New Roman" w:cs="Arial"/>
              </w:rPr>
            </w:pPr>
            <w:r w:rsidRPr="007B1D01">
              <w:rPr>
                <w:rFonts w:cs="Arial"/>
              </w:rPr>
              <w:t>3.1%</w:t>
            </w:r>
          </w:p>
        </w:tc>
      </w:tr>
      <w:tr w:rsidR="00C21E8C" w:rsidRPr="007B1D01" w14:paraId="562C6491" w14:textId="77777777" w:rsidTr="008F7509">
        <w:trPr>
          <w:trHeight w:val="230"/>
          <w:jc w:val="center"/>
        </w:trPr>
        <w:tc>
          <w:tcPr>
            <w:tcW w:w="5041" w:type="dxa"/>
            <w:noWrap/>
            <w:hideMark/>
          </w:tcPr>
          <w:p w14:paraId="6093EAFB" w14:textId="2A0DB035" w:rsidR="00C21E8C" w:rsidRPr="007B1D01" w:rsidRDefault="008F7509" w:rsidP="00907AE1">
            <w:pPr>
              <w:spacing w:after="0"/>
              <w:rPr>
                <w:rFonts w:eastAsia="Times New Roman" w:cs="Arial"/>
              </w:rPr>
            </w:pPr>
            <w:r>
              <w:rPr>
                <w:rFonts w:eastAsia="Times New Roman" w:cs="Arial"/>
              </w:rPr>
              <w:t xml:space="preserve">Prevented by </w:t>
            </w:r>
            <w:r w:rsidR="00C21E8C" w:rsidRPr="007B1D01">
              <w:rPr>
                <w:rFonts w:eastAsia="Times New Roman" w:cs="Arial"/>
              </w:rPr>
              <w:t>Family Issues</w:t>
            </w:r>
          </w:p>
        </w:tc>
        <w:tc>
          <w:tcPr>
            <w:tcW w:w="1710" w:type="dxa"/>
          </w:tcPr>
          <w:p w14:paraId="25AA9473" w14:textId="77777777" w:rsidR="00C21E8C" w:rsidRPr="007B1D01" w:rsidRDefault="00C21E8C" w:rsidP="006843B1">
            <w:pPr>
              <w:spacing w:after="0"/>
              <w:jc w:val="center"/>
              <w:rPr>
                <w:rFonts w:eastAsia="Times New Roman" w:cs="Arial"/>
              </w:rPr>
            </w:pPr>
            <w:r w:rsidRPr="007B1D01">
              <w:rPr>
                <w:rFonts w:cs="Arial"/>
              </w:rPr>
              <w:t>41</w:t>
            </w:r>
          </w:p>
        </w:tc>
        <w:tc>
          <w:tcPr>
            <w:tcW w:w="2488" w:type="dxa"/>
          </w:tcPr>
          <w:p w14:paraId="1C0DBD85" w14:textId="77777777" w:rsidR="00C21E8C" w:rsidRPr="007B1D01" w:rsidRDefault="00C21E8C" w:rsidP="006843B1">
            <w:pPr>
              <w:spacing w:after="0"/>
              <w:jc w:val="center"/>
              <w:rPr>
                <w:rFonts w:eastAsia="Times New Roman" w:cs="Arial"/>
              </w:rPr>
            </w:pPr>
            <w:r w:rsidRPr="007B1D01">
              <w:rPr>
                <w:rFonts w:cs="Arial"/>
              </w:rPr>
              <w:t>3.0%</w:t>
            </w:r>
          </w:p>
        </w:tc>
      </w:tr>
      <w:tr w:rsidR="00C21E8C" w:rsidRPr="007B1D01" w14:paraId="7B9680BF" w14:textId="77777777" w:rsidTr="008F7509">
        <w:trPr>
          <w:trHeight w:val="230"/>
          <w:jc w:val="center"/>
        </w:trPr>
        <w:tc>
          <w:tcPr>
            <w:tcW w:w="5041" w:type="dxa"/>
            <w:noWrap/>
            <w:hideMark/>
          </w:tcPr>
          <w:p w14:paraId="001AF2EF" w14:textId="77777777" w:rsidR="00C21E8C" w:rsidRPr="007B1D01" w:rsidRDefault="00C21E8C" w:rsidP="00907AE1">
            <w:pPr>
              <w:spacing w:after="0"/>
              <w:rPr>
                <w:rFonts w:eastAsia="Times New Roman" w:cs="Arial"/>
                <w:b/>
                <w:bCs/>
              </w:rPr>
            </w:pPr>
            <w:r w:rsidRPr="007B1D01">
              <w:rPr>
                <w:rFonts w:eastAsia="Times New Roman" w:cs="Arial"/>
                <w:b/>
                <w:bCs/>
              </w:rPr>
              <w:t>Total</w:t>
            </w:r>
          </w:p>
        </w:tc>
        <w:tc>
          <w:tcPr>
            <w:tcW w:w="1710" w:type="dxa"/>
          </w:tcPr>
          <w:p w14:paraId="24E66FA7" w14:textId="77777777" w:rsidR="00C21E8C" w:rsidRPr="007B1D01" w:rsidRDefault="00C21E8C" w:rsidP="006843B1">
            <w:pPr>
              <w:spacing w:after="0"/>
              <w:jc w:val="center"/>
              <w:rPr>
                <w:rFonts w:eastAsia="Times New Roman" w:cs="Arial"/>
                <w:b/>
                <w:bCs/>
              </w:rPr>
            </w:pPr>
            <w:r w:rsidRPr="007B1D01">
              <w:rPr>
                <w:rFonts w:eastAsia="Times New Roman" w:cs="Arial"/>
                <w:b/>
                <w:bCs/>
              </w:rPr>
              <w:t>1,385</w:t>
            </w:r>
          </w:p>
        </w:tc>
        <w:tc>
          <w:tcPr>
            <w:tcW w:w="2488" w:type="dxa"/>
          </w:tcPr>
          <w:p w14:paraId="37560F52" w14:textId="77777777" w:rsidR="00C21E8C" w:rsidRPr="007B1D01" w:rsidRDefault="00C21E8C" w:rsidP="006843B1">
            <w:pPr>
              <w:spacing w:after="0"/>
              <w:jc w:val="center"/>
              <w:rPr>
                <w:rFonts w:eastAsia="Times New Roman" w:cs="Arial"/>
                <w:b/>
                <w:bCs/>
              </w:rPr>
            </w:pPr>
            <w:r w:rsidRPr="007B1D01">
              <w:rPr>
                <w:rFonts w:eastAsia="Times New Roman" w:cs="Arial"/>
                <w:b/>
                <w:bCs/>
              </w:rPr>
              <w:t>100%</w:t>
            </w:r>
          </w:p>
        </w:tc>
      </w:tr>
    </w:tbl>
    <w:p w14:paraId="4B13E65C" w14:textId="1FA62534" w:rsidR="00C21E8C" w:rsidRDefault="00722161" w:rsidP="0027454F">
      <w:pPr>
        <w:pStyle w:val="SectionSub-HeadingsTopics"/>
        <w:keepNext/>
      </w:pPr>
      <w:bookmarkStart w:id="38" w:name="_Toc90632199"/>
      <w:r>
        <w:lastRenderedPageBreak/>
        <w:t xml:space="preserve">Satisfaction by </w:t>
      </w:r>
      <w:r w:rsidR="00E01DA2">
        <w:t xml:space="preserve">Consumer </w:t>
      </w:r>
      <w:r>
        <w:t>Unemployment Reasons</w:t>
      </w:r>
      <w:bookmarkEnd w:id="38"/>
    </w:p>
    <w:p w14:paraId="55793947" w14:textId="61FFD3A3" w:rsidR="00C21E8C" w:rsidRDefault="00F847FA" w:rsidP="00C21E8C">
      <w:r>
        <w:t>T</w:t>
      </w:r>
      <w:r w:rsidR="00C21E8C">
        <w:t xml:space="preserve">o determine if the presence of an employment barrier influenced a consumer’s overall satisfaction with DOR, the satisfaction scores were compared between participants who did or did not report unemployment reasons </w:t>
      </w:r>
      <w:r w:rsidR="00C21E8C" w:rsidRPr="00702695">
        <w:t xml:space="preserve">(Table </w:t>
      </w:r>
      <w:r w:rsidR="00590A25" w:rsidRPr="00702695">
        <w:t>2</w:t>
      </w:r>
      <w:r w:rsidR="00676952" w:rsidRPr="00702695">
        <w:t>0</w:t>
      </w:r>
      <w:r w:rsidR="00C21E8C" w:rsidRPr="00702695">
        <w:t>).</w:t>
      </w:r>
      <w:r w:rsidR="00C21E8C">
        <w:t xml:space="preserve"> </w:t>
      </w:r>
    </w:p>
    <w:p w14:paraId="26973B2D" w14:textId="7B5029B6" w:rsidR="00C21E8C" w:rsidRDefault="00C21E8C" w:rsidP="00C21E8C">
      <w:r>
        <w:t xml:space="preserve">The overall satisfaction score from participants </w:t>
      </w:r>
      <w:r w:rsidR="00145646">
        <w:t>who reported at</w:t>
      </w:r>
      <w:r>
        <w:t xml:space="preserve"> least one </w:t>
      </w:r>
      <w:r w:rsidR="00145646">
        <w:t>un</w:t>
      </w:r>
      <w:r>
        <w:t>employment r</w:t>
      </w:r>
      <w:r w:rsidR="00145646">
        <w:t>eason</w:t>
      </w:r>
      <w:r>
        <w:t xml:space="preserve"> was 9.5% lower than that of participants who did not report any unemployment reasons. In fact, all categories were rated lower by participants with employment barriers, with the largest discrepancy for satisfaction with employment and improved employment opportunities, which were rated significantly lower (-16.2% and -15.5%, respectively) compared to participants who did not report unemployment reasons. </w:t>
      </w:r>
    </w:p>
    <w:p w14:paraId="6A2A9851" w14:textId="6C905C1E" w:rsidR="00C21E8C" w:rsidRDefault="00574E21" w:rsidP="00C21E8C">
      <w:pPr>
        <w:pStyle w:val="TableTitle"/>
      </w:pPr>
      <w:r>
        <w:t xml:space="preserve">Comparison of </w:t>
      </w:r>
      <w:r w:rsidR="00C21E8C">
        <w:t xml:space="preserve">Satisfaction Scores from Survey Participants who did or did not Report Unemployment Reasons </w:t>
      </w:r>
    </w:p>
    <w:tbl>
      <w:tblPr>
        <w:tblStyle w:val="TableGrid"/>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43" w:type="dxa"/>
          <w:right w:w="43" w:type="dxa"/>
        </w:tblCellMar>
        <w:tblLook w:val="04A0" w:firstRow="1" w:lastRow="0" w:firstColumn="1" w:lastColumn="0" w:noHBand="0" w:noVBand="1"/>
      </w:tblPr>
      <w:tblGrid>
        <w:gridCol w:w="3415"/>
        <w:gridCol w:w="2610"/>
        <w:gridCol w:w="3060"/>
        <w:gridCol w:w="1705"/>
      </w:tblGrid>
      <w:tr w:rsidR="00C21E8C" w:rsidRPr="00A97A3A" w14:paraId="0ED11E05" w14:textId="77777777" w:rsidTr="00676952">
        <w:trPr>
          <w:trHeight w:val="1430"/>
          <w:jc w:val="center"/>
        </w:trPr>
        <w:tc>
          <w:tcPr>
            <w:tcW w:w="1582" w:type="pct"/>
            <w:shd w:val="clear" w:color="auto" w:fill="00407B" w:themeFill="accent1" w:themeFillShade="BF"/>
            <w:vAlign w:val="center"/>
          </w:tcPr>
          <w:p w14:paraId="7F2242AC" w14:textId="6CE5604E" w:rsidR="00C21E8C" w:rsidRPr="00A97A3A" w:rsidRDefault="00C21E8C" w:rsidP="00907AE1">
            <w:pPr>
              <w:spacing w:after="0"/>
              <w:rPr>
                <w:b/>
                <w:bCs/>
                <w:color w:val="FFFFFF" w:themeColor="background1"/>
              </w:rPr>
            </w:pPr>
            <w:r>
              <w:rPr>
                <w:b/>
                <w:bCs/>
                <w:color w:val="FFFFFF" w:themeColor="background1"/>
              </w:rPr>
              <w:t>Categor</w:t>
            </w:r>
            <w:r w:rsidR="00A36B4A">
              <w:rPr>
                <w:b/>
                <w:bCs/>
                <w:color w:val="FFFFFF" w:themeColor="background1"/>
              </w:rPr>
              <w:t>y</w:t>
            </w:r>
          </w:p>
        </w:tc>
        <w:tc>
          <w:tcPr>
            <w:tcW w:w="1209" w:type="pct"/>
            <w:shd w:val="clear" w:color="auto" w:fill="00407B" w:themeFill="accent1" w:themeFillShade="BF"/>
            <w:vAlign w:val="center"/>
          </w:tcPr>
          <w:p w14:paraId="6064CC39" w14:textId="0B7BF04D" w:rsidR="00C21E8C" w:rsidRPr="00A57DEA" w:rsidRDefault="00F76906" w:rsidP="00F76906">
            <w:pPr>
              <w:spacing w:after="0"/>
              <w:jc w:val="center"/>
              <w:rPr>
                <w:b/>
                <w:bCs/>
                <w:color w:val="FFFFFF" w:themeColor="background1"/>
                <w:vertAlign w:val="superscript"/>
              </w:rPr>
            </w:pPr>
            <w:r>
              <w:rPr>
                <w:b/>
                <w:bCs/>
                <w:color w:val="FFFFFF" w:themeColor="background1"/>
              </w:rPr>
              <w:t>Reported</w:t>
            </w:r>
            <w:r w:rsidR="00C21E8C">
              <w:rPr>
                <w:b/>
                <w:bCs/>
                <w:color w:val="FFFFFF" w:themeColor="background1"/>
              </w:rPr>
              <w:t xml:space="preserve"> Unemployment Reasons</w:t>
            </w:r>
          </w:p>
          <w:p w14:paraId="15FB9DC5" w14:textId="77777777" w:rsidR="00C21E8C" w:rsidRPr="00855F2E" w:rsidRDefault="00C21E8C" w:rsidP="00F76906">
            <w:pPr>
              <w:spacing w:after="0"/>
              <w:jc w:val="center"/>
              <w:rPr>
                <w:color w:val="FFFFFF" w:themeColor="background1"/>
              </w:rPr>
            </w:pPr>
            <w:r>
              <w:rPr>
                <w:color w:val="FFFFFF" w:themeColor="background1"/>
              </w:rPr>
              <w:t>(Satisfaction Score)</w:t>
            </w:r>
          </w:p>
        </w:tc>
        <w:tc>
          <w:tcPr>
            <w:tcW w:w="1418" w:type="pct"/>
            <w:shd w:val="clear" w:color="auto" w:fill="00407B" w:themeFill="accent1" w:themeFillShade="BF"/>
            <w:vAlign w:val="center"/>
          </w:tcPr>
          <w:p w14:paraId="70E05A17" w14:textId="319F7288" w:rsidR="00C21E8C" w:rsidRPr="00A57DEA" w:rsidRDefault="00F65C14" w:rsidP="00F76906">
            <w:pPr>
              <w:spacing w:after="0"/>
              <w:jc w:val="center"/>
              <w:rPr>
                <w:b/>
                <w:bCs/>
                <w:color w:val="FFFFFF" w:themeColor="background1"/>
                <w:vertAlign w:val="superscript"/>
              </w:rPr>
            </w:pPr>
            <w:r>
              <w:rPr>
                <w:b/>
                <w:bCs/>
                <w:color w:val="FFFFFF" w:themeColor="background1"/>
              </w:rPr>
              <w:t xml:space="preserve">Did Not Report </w:t>
            </w:r>
            <w:r w:rsidR="00C21E8C">
              <w:rPr>
                <w:b/>
                <w:bCs/>
                <w:color w:val="FFFFFF" w:themeColor="background1"/>
              </w:rPr>
              <w:t>Unemployment Reason</w:t>
            </w:r>
            <w:r w:rsidR="001057E5">
              <w:rPr>
                <w:b/>
                <w:bCs/>
                <w:color w:val="FFFFFF" w:themeColor="background1"/>
              </w:rPr>
              <w:t>s</w:t>
            </w:r>
          </w:p>
          <w:p w14:paraId="69ED2827" w14:textId="77777777" w:rsidR="00C21E8C" w:rsidRPr="00855F2E" w:rsidRDefault="00C21E8C" w:rsidP="00F76906">
            <w:pPr>
              <w:spacing w:after="0"/>
              <w:jc w:val="center"/>
              <w:rPr>
                <w:color w:val="FFFFFF" w:themeColor="background1"/>
              </w:rPr>
            </w:pPr>
            <w:r>
              <w:rPr>
                <w:color w:val="FFFFFF" w:themeColor="background1"/>
              </w:rPr>
              <w:t>(Satisfaction Score)</w:t>
            </w:r>
          </w:p>
        </w:tc>
        <w:tc>
          <w:tcPr>
            <w:tcW w:w="790" w:type="pct"/>
            <w:shd w:val="clear" w:color="auto" w:fill="00407B" w:themeFill="accent1" w:themeFillShade="BF"/>
            <w:vAlign w:val="center"/>
          </w:tcPr>
          <w:p w14:paraId="53EB8EC6" w14:textId="23516B10" w:rsidR="00C21E8C" w:rsidRPr="005876C1" w:rsidRDefault="00C21E8C" w:rsidP="001057E5">
            <w:pPr>
              <w:spacing w:after="0"/>
              <w:jc w:val="center"/>
              <w:rPr>
                <w:b/>
                <w:bCs/>
                <w:color w:val="FFFFFF" w:themeColor="background1"/>
                <w:vertAlign w:val="superscript"/>
              </w:rPr>
            </w:pPr>
            <w:r>
              <w:rPr>
                <w:b/>
                <w:bCs/>
                <w:color w:val="FFFFFF" w:themeColor="background1"/>
              </w:rPr>
              <w:t>Difference</w:t>
            </w:r>
            <w:r w:rsidR="007F31CB">
              <w:rPr>
                <w:b/>
                <w:bCs/>
                <w:color w:val="FFFFFF" w:themeColor="background1"/>
                <w:vertAlign w:val="superscript"/>
              </w:rPr>
              <w:t>1</w:t>
            </w:r>
          </w:p>
        </w:tc>
      </w:tr>
      <w:tr w:rsidR="00C21E8C" w14:paraId="06392D95" w14:textId="77777777" w:rsidTr="00676952">
        <w:trPr>
          <w:jc w:val="center"/>
        </w:trPr>
        <w:tc>
          <w:tcPr>
            <w:tcW w:w="1582" w:type="pct"/>
            <w:vAlign w:val="center"/>
          </w:tcPr>
          <w:p w14:paraId="0779625D" w14:textId="77777777" w:rsidR="00C21E8C" w:rsidRDefault="00C21E8C" w:rsidP="00907AE1">
            <w:pPr>
              <w:spacing w:after="0"/>
            </w:pPr>
            <w:r>
              <w:t>DOR Experience</w:t>
            </w:r>
          </w:p>
        </w:tc>
        <w:tc>
          <w:tcPr>
            <w:tcW w:w="1209" w:type="pct"/>
            <w:vAlign w:val="center"/>
          </w:tcPr>
          <w:p w14:paraId="56BF3445" w14:textId="77777777" w:rsidR="00C21E8C" w:rsidRDefault="00C21E8C" w:rsidP="00907AE1">
            <w:pPr>
              <w:spacing w:after="0"/>
              <w:jc w:val="center"/>
            </w:pPr>
            <w:r>
              <w:t>77.3%</w:t>
            </w:r>
          </w:p>
        </w:tc>
        <w:tc>
          <w:tcPr>
            <w:tcW w:w="1418" w:type="pct"/>
            <w:vAlign w:val="center"/>
          </w:tcPr>
          <w:p w14:paraId="00451489" w14:textId="77777777" w:rsidR="00C21E8C" w:rsidRDefault="00C21E8C" w:rsidP="00907AE1">
            <w:pPr>
              <w:spacing w:after="0"/>
              <w:jc w:val="center"/>
            </w:pPr>
            <w:r>
              <w:t>86.0%</w:t>
            </w:r>
          </w:p>
        </w:tc>
        <w:tc>
          <w:tcPr>
            <w:tcW w:w="790" w:type="pct"/>
            <w:vAlign w:val="center"/>
          </w:tcPr>
          <w:p w14:paraId="75317A99" w14:textId="77777777" w:rsidR="00C21E8C" w:rsidRDefault="00C21E8C" w:rsidP="00907AE1">
            <w:pPr>
              <w:spacing w:after="0"/>
              <w:jc w:val="center"/>
            </w:pPr>
            <w:r>
              <w:t>-8.7%</w:t>
            </w:r>
          </w:p>
        </w:tc>
      </w:tr>
      <w:tr w:rsidR="00C21E8C" w14:paraId="4E61A2AB" w14:textId="77777777" w:rsidTr="00676952">
        <w:trPr>
          <w:jc w:val="center"/>
        </w:trPr>
        <w:tc>
          <w:tcPr>
            <w:tcW w:w="1582" w:type="pct"/>
            <w:vAlign w:val="center"/>
          </w:tcPr>
          <w:p w14:paraId="5A966181" w14:textId="77777777" w:rsidR="00C21E8C" w:rsidRDefault="00C21E8C" w:rsidP="00907AE1">
            <w:pPr>
              <w:spacing w:after="0"/>
            </w:pPr>
            <w:r>
              <w:t>DOR Counselors</w:t>
            </w:r>
          </w:p>
        </w:tc>
        <w:tc>
          <w:tcPr>
            <w:tcW w:w="1209" w:type="pct"/>
            <w:vAlign w:val="center"/>
          </w:tcPr>
          <w:p w14:paraId="56276A6D" w14:textId="77777777" w:rsidR="00C21E8C" w:rsidRDefault="00C21E8C" w:rsidP="00907AE1">
            <w:pPr>
              <w:spacing w:after="0"/>
              <w:jc w:val="center"/>
            </w:pPr>
            <w:r>
              <w:t>78.1%</w:t>
            </w:r>
          </w:p>
        </w:tc>
        <w:tc>
          <w:tcPr>
            <w:tcW w:w="1418" w:type="pct"/>
            <w:vAlign w:val="center"/>
          </w:tcPr>
          <w:p w14:paraId="412ACC43" w14:textId="77777777" w:rsidR="00C21E8C" w:rsidRDefault="00C21E8C" w:rsidP="00907AE1">
            <w:pPr>
              <w:spacing w:after="0"/>
              <w:jc w:val="center"/>
            </w:pPr>
            <w:r>
              <w:t>86.8%</w:t>
            </w:r>
          </w:p>
        </w:tc>
        <w:tc>
          <w:tcPr>
            <w:tcW w:w="790" w:type="pct"/>
            <w:vAlign w:val="center"/>
          </w:tcPr>
          <w:p w14:paraId="21EAF910" w14:textId="616F8BA1" w:rsidR="00C21E8C" w:rsidRDefault="00C21E8C" w:rsidP="00907AE1">
            <w:pPr>
              <w:spacing w:after="0"/>
              <w:jc w:val="center"/>
            </w:pPr>
            <w:r>
              <w:t>-8.</w:t>
            </w:r>
            <w:r w:rsidR="00145646">
              <w:t>7</w:t>
            </w:r>
            <w:r>
              <w:t>%</w:t>
            </w:r>
          </w:p>
        </w:tc>
      </w:tr>
      <w:tr w:rsidR="00C21E8C" w14:paraId="7F1E1E10" w14:textId="77777777" w:rsidTr="00676952">
        <w:trPr>
          <w:jc w:val="center"/>
        </w:trPr>
        <w:tc>
          <w:tcPr>
            <w:tcW w:w="1582" w:type="pct"/>
            <w:vAlign w:val="center"/>
          </w:tcPr>
          <w:p w14:paraId="12AA5B62" w14:textId="77777777" w:rsidR="00C21E8C" w:rsidRDefault="00C21E8C" w:rsidP="00907AE1">
            <w:pPr>
              <w:spacing w:after="0"/>
            </w:pPr>
            <w:r>
              <w:t>Service Providers</w:t>
            </w:r>
          </w:p>
        </w:tc>
        <w:tc>
          <w:tcPr>
            <w:tcW w:w="1209" w:type="pct"/>
            <w:vAlign w:val="center"/>
          </w:tcPr>
          <w:p w14:paraId="2C80693D" w14:textId="77777777" w:rsidR="00C21E8C" w:rsidRDefault="00C21E8C" w:rsidP="00907AE1">
            <w:pPr>
              <w:spacing w:after="0"/>
              <w:jc w:val="center"/>
            </w:pPr>
            <w:r>
              <w:t>78.7%</w:t>
            </w:r>
          </w:p>
        </w:tc>
        <w:tc>
          <w:tcPr>
            <w:tcW w:w="1418" w:type="pct"/>
            <w:vAlign w:val="center"/>
          </w:tcPr>
          <w:p w14:paraId="55520A32" w14:textId="77777777" w:rsidR="00C21E8C" w:rsidRDefault="00C21E8C" w:rsidP="00907AE1">
            <w:pPr>
              <w:spacing w:after="0"/>
              <w:jc w:val="center"/>
            </w:pPr>
            <w:r>
              <w:t>86.2%</w:t>
            </w:r>
          </w:p>
        </w:tc>
        <w:tc>
          <w:tcPr>
            <w:tcW w:w="790" w:type="pct"/>
            <w:vAlign w:val="center"/>
          </w:tcPr>
          <w:p w14:paraId="475E137B" w14:textId="77777777" w:rsidR="00C21E8C" w:rsidRDefault="00C21E8C" w:rsidP="00907AE1">
            <w:pPr>
              <w:spacing w:after="0"/>
              <w:jc w:val="center"/>
            </w:pPr>
            <w:r>
              <w:t>-7.5%</w:t>
            </w:r>
          </w:p>
        </w:tc>
      </w:tr>
      <w:tr w:rsidR="00C21E8C" w14:paraId="2881C710" w14:textId="77777777" w:rsidTr="00676952">
        <w:trPr>
          <w:jc w:val="center"/>
        </w:trPr>
        <w:tc>
          <w:tcPr>
            <w:tcW w:w="1582" w:type="pct"/>
            <w:vAlign w:val="center"/>
          </w:tcPr>
          <w:p w14:paraId="4174377C" w14:textId="77777777" w:rsidR="00C21E8C" w:rsidRDefault="00C21E8C" w:rsidP="00907AE1">
            <w:pPr>
              <w:spacing w:after="0"/>
            </w:pPr>
            <w:r>
              <w:t>Employment Services</w:t>
            </w:r>
          </w:p>
        </w:tc>
        <w:tc>
          <w:tcPr>
            <w:tcW w:w="1209" w:type="pct"/>
            <w:vAlign w:val="center"/>
          </w:tcPr>
          <w:p w14:paraId="22816AA3" w14:textId="77777777" w:rsidR="00C21E8C" w:rsidRPr="00F75AA0" w:rsidRDefault="00C21E8C" w:rsidP="00907AE1">
            <w:pPr>
              <w:spacing w:after="0"/>
              <w:jc w:val="center"/>
            </w:pPr>
            <w:r w:rsidRPr="00F75AA0">
              <w:t>75.4%</w:t>
            </w:r>
          </w:p>
        </w:tc>
        <w:tc>
          <w:tcPr>
            <w:tcW w:w="1418" w:type="pct"/>
            <w:vAlign w:val="center"/>
          </w:tcPr>
          <w:p w14:paraId="59E4B9D8" w14:textId="77777777" w:rsidR="00C21E8C" w:rsidRPr="00F75AA0" w:rsidRDefault="00C21E8C" w:rsidP="00907AE1">
            <w:pPr>
              <w:spacing w:after="0"/>
              <w:jc w:val="center"/>
            </w:pPr>
            <w:r w:rsidRPr="00F75AA0">
              <w:t>84.1%</w:t>
            </w:r>
          </w:p>
        </w:tc>
        <w:tc>
          <w:tcPr>
            <w:tcW w:w="790" w:type="pct"/>
            <w:vAlign w:val="center"/>
          </w:tcPr>
          <w:p w14:paraId="36BA6A03" w14:textId="77777777" w:rsidR="00C21E8C" w:rsidRDefault="00C21E8C" w:rsidP="00907AE1">
            <w:pPr>
              <w:spacing w:after="0"/>
              <w:jc w:val="center"/>
            </w:pPr>
            <w:r>
              <w:t>-8.7%</w:t>
            </w:r>
          </w:p>
        </w:tc>
      </w:tr>
      <w:tr w:rsidR="00C21E8C" w14:paraId="1351DE2B" w14:textId="77777777" w:rsidTr="00676952">
        <w:trPr>
          <w:jc w:val="center"/>
        </w:trPr>
        <w:tc>
          <w:tcPr>
            <w:tcW w:w="1582" w:type="pct"/>
            <w:vAlign w:val="center"/>
          </w:tcPr>
          <w:p w14:paraId="15BE7FB7" w14:textId="168C7CA9" w:rsidR="00C21E8C" w:rsidRDefault="007B1D01" w:rsidP="00907AE1">
            <w:pPr>
              <w:spacing w:after="0"/>
            </w:pPr>
            <w:r>
              <w:t xml:space="preserve">Current </w:t>
            </w:r>
            <w:r w:rsidR="00C21E8C">
              <w:t>Employment</w:t>
            </w:r>
          </w:p>
        </w:tc>
        <w:tc>
          <w:tcPr>
            <w:tcW w:w="1209" w:type="pct"/>
            <w:vAlign w:val="center"/>
          </w:tcPr>
          <w:p w14:paraId="48364D39" w14:textId="77777777" w:rsidR="00C21E8C" w:rsidRPr="00F75AA0" w:rsidRDefault="00C21E8C" w:rsidP="00907AE1">
            <w:pPr>
              <w:spacing w:after="0"/>
              <w:jc w:val="center"/>
              <w:rPr>
                <w:color w:val="auto"/>
              </w:rPr>
            </w:pPr>
            <w:r w:rsidRPr="00F75AA0">
              <w:rPr>
                <w:color w:val="auto"/>
              </w:rPr>
              <w:t>69.9%</w:t>
            </w:r>
          </w:p>
        </w:tc>
        <w:tc>
          <w:tcPr>
            <w:tcW w:w="1418" w:type="pct"/>
            <w:vAlign w:val="center"/>
          </w:tcPr>
          <w:p w14:paraId="663D50F5" w14:textId="77777777" w:rsidR="00C21E8C" w:rsidRPr="00F75AA0" w:rsidRDefault="00C21E8C" w:rsidP="00907AE1">
            <w:pPr>
              <w:spacing w:after="0"/>
              <w:jc w:val="center"/>
            </w:pPr>
            <w:r w:rsidRPr="00F75AA0">
              <w:t>86.1%</w:t>
            </w:r>
          </w:p>
        </w:tc>
        <w:tc>
          <w:tcPr>
            <w:tcW w:w="790" w:type="pct"/>
            <w:vAlign w:val="center"/>
          </w:tcPr>
          <w:p w14:paraId="5957AB42" w14:textId="77777777" w:rsidR="00C21E8C" w:rsidRDefault="00C21E8C" w:rsidP="00907AE1">
            <w:pPr>
              <w:spacing w:after="0"/>
              <w:jc w:val="center"/>
            </w:pPr>
            <w:r>
              <w:t>-16.2%</w:t>
            </w:r>
          </w:p>
        </w:tc>
      </w:tr>
      <w:tr w:rsidR="00C21E8C" w14:paraId="1C8D92D0" w14:textId="77777777" w:rsidTr="00676952">
        <w:trPr>
          <w:jc w:val="center"/>
        </w:trPr>
        <w:tc>
          <w:tcPr>
            <w:tcW w:w="1582" w:type="pct"/>
            <w:vAlign w:val="center"/>
          </w:tcPr>
          <w:p w14:paraId="46C4CD45" w14:textId="77777777" w:rsidR="00C21E8C" w:rsidRDefault="00C21E8C" w:rsidP="00907AE1">
            <w:pPr>
              <w:spacing w:after="0"/>
            </w:pPr>
            <w:r>
              <w:t>Employment Opportunities</w:t>
            </w:r>
          </w:p>
        </w:tc>
        <w:tc>
          <w:tcPr>
            <w:tcW w:w="1209" w:type="pct"/>
            <w:vAlign w:val="center"/>
          </w:tcPr>
          <w:p w14:paraId="0703AC02" w14:textId="77777777" w:rsidR="00C21E8C" w:rsidRPr="00F75AA0" w:rsidRDefault="00C21E8C" w:rsidP="00907AE1">
            <w:pPr>
              <w:spacing w:after="0"/>
              <w:jc w:val="center"/>
            </w:pPr>
            <w:r w:rsidRPr="00F75AA0">
              <w:t>71.0%</w:t>
            </w:r>
          </w:p>
        </w:tc>
        <w:tc>
          <w:tcPr>
            <w:tcW w:w="1418" w:type="pct"/>
            <w:vAlign w:val="center"/>
          </w:tcPr>
          <w:p w14:paraId="32EA7755" w14:textId="77777777" w:rsidR="00C21E8C" w:rsidRPr="00F75AA0" w:rsidRDefault="00C21E8C" w:rsidP="00907AE1">
            <w:pPr>
              <w:spacing w:after="0"/>
              <w:jc w:val="center"/>
            </w:pPr>
            <w:r w:rsidRPr="00F75AA0">
              <w:t>86.5%</w:t>
            </w:r>
          </w:p>
        </w:tc>
        <w:tc>
          <w:tcPr>
            <w:tcW w:w="790" w:type="pct"/>
            <w:vAlign w:val="center"/>
          </w:tcPr>
          <w:p w14:paraId="67F0D0F7" w14:textId="77777777" w:rsidR="00C21E8C" w:rsidRDefault="00C21E8C" w:rsidP="00907AE1">
            <w:pPr>
              <w:spacing w:after="0"/>
              <w:jc w:val="center"/>
            </w:pPr>
            <w:r>
              <w:t>-15.5%</w:t>
            </w:r>
          </w:p>
        </w:tc>
      </w:tr>
      <w:tr w:rsidR="00C21E8C" w:rsidRPr="004365CB" w14:paraId="1F12559A" w14:textId="77777777" w:rsidTr="00676952">
        <w:trPr>
          <w:jc w:val="center"/>
        </w:trPr>
        <w:tc>
          <w:tcPr>
            <w:tcW w:w="1582" w:type="pct"/>
            <w:shd w:val="clear" w:color="auto" w:fill="F2F2F2" w:themeFill="background1" w:themeFillShade="F2"/>
            <w:vAlign w:val="center"/>
          </w:tcPr>
          <w:p w14:paraId="7E45EB6F" w14:textId="77777777" w:rsidR="00C21E8C" w:rsidRPr="004365CB" w:rsidRDefault="00C21E8C" w:rsidP="00907AE1">
            <w:pPr>
              <w:spacing w:after="0"/>
              <w:rPr>
                <w:b/>
                <w:bCs/>
              </w:rPr>
            </w:pPr>
            <w:r w:rsidRPr="004365CB">
              <w:rPr>
                <w:b/>
                <w:bCs/>
              </w:rPr>
              <w:t>Overall</w:t>
            </w:r>
          </w:p>
        </w:tc>
        <w:tc>
          <w:tcPr>
            <w:tcW w:w="1209" w:type="pct"/>
            <w:shd w:val="clear" w:color="auto" w:fill="F2F2F2" w:themeFill="background1" w:themeFillShade="F2"/>
            <w:vAlign w:val="center"/>
          </w:tcPr>
          <w:p w14:paraId="5B65F22A" w14:textId="77777777" w:rsidR="00C21E8C" w:rsidRPr="004365CB" w:rsidRDefault="00C21E8C" w:rsidP="00907AE1">
            <w:pPr>
              <w:spacing w:after="0"/>
              <w:jc w:val="center"/>
              <w:rPr>
                <w:b/>
                <w:bCs/>
              </w:rPr>
            </w:pPr>
            <w:r>
              <w:rPr>
                <w:b/>
                <w:bCs/>
              </w:rPr>
              <w:t>76.3%</w:t>
            </w:r>
          </w:p>
        </w:tc>
        <w:tc>
          <w:tcPr>
            <w:tcW w:w="1418" w:type="pct"/>
            <w:shd w:val="clear" w:color="auto" w:fill="F2F2F2" w:themeFill="background1" w:themeFillShade="F2"/>
            <w:vAlign w:val="center"/>
          </w:tcPr>
          <w:p w14:paraId="71082460" w14:textId="77777777" w:rsidR="00C21E8C" w:rsidRPr="004365CB" w:rsidRDefault="00C21E8C" w:rsidP="00907AE1">
            <w:pPr>
              <w:spacing w:after="0"/>
              <w:jc w:val="center"/>
              <w:rPr>
                <w:b/>
                <w:bCs/>
              </w:rPr>
            </w:pPr>
            <w:r>
              <w:rPr>
                <w:b/>
                <w:bCs/>
              </w:rPr>
              <w:t>85.9%</w:t>
            </w:r>
          </w:p>
        </w:tc>
        <w:tc>
          <w:tcPr>
            <w:tcW w:w="790" w:type="pct"/>
            <w:shd w:val="clear" w:color="auto" w:fill="F2F2F2" w:themeFill="background1" w:themeFillShade="F2"/>
            <w:vAlign w:val="center"/>
          </w:tcPr>
          <w:p w14:paraId="60685F06" w14:textId="77777777" w:rsidR="00C21E8C" w:rsidRDefault="00C21E8C" w:rsidP="00907AE1">
            <w:pPr>
              <w:spacing w:after="0"/>
              <w:jc w:val="center"/>
              <w:rPr>
                <w:b/>
                <w:bCs/>
              </w:rPr>
            </w:pPr>
            <w:r>
              <w:rPr>
                <w:b/>
                <w:bCs/>
              </w:rPr>
              <w:t>-9.5%</w:t>
            </w:r>
          </w:p>
        </w:tc>
      </w:tr>
    </w:tbl>
    <w:p w14:paraId="1D6AC86B" w14:textId="07E3FD64" w:rsidR="00C21E8C" w:rsidRDefault="00C21E8C" w:rsidP="008E5135">
      <w:pPr>
        <w:pStyle w:val="TableFootnotes"/>
        <w:numPr>
          <w:ilvl w:val="0"/>
          <w:numId w:val="22"/>
        </w:numPr>
        <w:ind w:left="1080" w:right="720"/>
      </w:pPr>
      <w:r>
        <w:t xml:space="preserve">Difference is calculated as the satisfaction score of individuals </w:t>
      </w:r>
      <w:r w:rsidR="00873A04">
        <w:t>who reported at least one unemployment reason</w:t>
      </w:r>
      <w:r>
        <w:t xml:space="preserve"> minus the satisfaction score of individuals </w:t>
      </w:r>
      <w:r w:rsidR="00873A04">
        <w:t xml:space="preserve">who did not report </w:t>
      </w:r>
      <w:r w:rsidR="0044216C">
        <w:t>any unemployment reasons</w:t>
      </w:r>
      <w:r>
        <w:t xml:space="preserve">. </w:t>
      </w:r>
    </w:p>
    <w:p w14:paraId="3A7EC0F5" w14:textId="77777777" w:rsidR="00B736E8" w:rsidRDefault="00B736E8" w:rsidP="00635226">
      <w:pPr>
        <w:pStyle w:val="SectionSub-Headings"/>
      </w:pPr>
      <w:bookmarkStart w:id="39" w:name="_Toc90632200"/>
      <w:r>
        <w:t>Additional Feedback</w:t>
      </w:r>
      <w:bookmarkEnd w:id="39"/>
    </w:p>
    <w:p w14:paraId="021D39CE" w14:textId="1164A31A" w:rsidR="00AD628F" w:rsidRDefault="00B736E8" w:rsidP="00B736E8">
      <w:r>
        <w:t xml:space="preserve">Survey participants were able to </w:t>
      </w:r>
      <w:r w:rsidR="00C51E2B">
        <w:t>submit</w:t>
      </w:r>
      <w:r>
        <w:t xml:space="preserve"> additional feedback and suggestions for improvements. </w:t>
      </w:r>
      <w:r w:rsidR="00AD628F">
        <w:t xml:space="preserve">There were </w:t>
      </w:r>
      <w:r w:rsidR="00954789">
        <w:t>348 comments received</w:t>
      </w:r>
      <w:r w:rsidR="005A3B72">
        <w:t xml:space="preserve"> from participants</w:t>
      </w:r>
      <w:r w:rsidR="0035254F">
        <w:t xml:space="preserve"> which disc</w:t>
      </w:r>
      <w:r w:rsidR="003E0EB5">
        <w:t>ussed 14 common topics</w:t>
      </w:r>
      <w:r w:rsidR="005A3B72">
        <w:t xml:space="preserve"> regards four common themes</w:t>
      </w:r>
      <w:r w:rsidR="00384ACF">
        <w:t xml:space="preserve"> </w:t>
      </w:r>
      <w:r w:rsidR="00384ACF" w:rsidRPr="00702695">
        <w:t>(Tabl</w:t>
      </w:r>
      <w:r w:rsidR="00F847FA" w:rsidRPr="00702695">
        <w:t>e 21</w:t>
      </w:r>
      <w:r w:rsidR="00384ACF" w:rsidRPr="00702695">
        <w:t>).</w:t>
      </w:r>
      <w:r w:rsidR="00384ACF">
        <w:t xml:space="preserve"> </w:t>
      </w:r>
    </w:p>
    <w:p w14:paraId="714F4321" w14:textId="334A0240" w:rsidR="00470A72" w:rsidRDefault="00740E38" w:rsidP="00B736E8">
      <w:r>
        <w:t>C</w:t>
      </w:r>
      <w:r w:rsidR="007C0C13">
        <w:t xml:space="preserve">onsumers </w:t>
      </w:r>
      <w:r w:rsidR="00ED41E0">
        <w:t>wrote comments about</w:t>
      </w:r>
      <w:r w:rsidR="00517272">
        <w:t xml:space="preserve"> </w:t>
      </w:r>
      <w:r w:rsidR="009D49FD">
        <w:t xml:space="preserve">their overall experience at DOR which included </w:t>
      </w:r>
      <w:r>
        <w:t>thanking DOR</w:t>
      </w:r>
      <w:r w:rsidR="00517272">
        <w:t xml:space="preserve">, </w:t>
      </w:r>
      <w:r w:rsidR="00C45C7C">
        <w:t xml:space="preserve">requesting additional information, </w:t>
      </w:r>
      <w:r>
        <w:t xml:space="preserve">being impacted by the </w:t>
      </w:r>
      <w:r w:rsidR="00C45C7C">
        <w:t xml:space="preserve">coronavirus pandemic, and </w:t>
      </w:r>
      <w:r>
        <w:t>discussing general topics</w:t>
      </w:r>
      <w:r w:rsidR="007C0C13">
        <w:t xml:space="preserve">. </w:t>
      </w:r>
      <w:r w:rsidR="005979F5">
        <w:t xml:space="preserve">Consistent with their </w:t>
      </w:r>
      <w:r w:rsidR="00B23B33">
        <w:t>overall</w:t>
      </w:r>
      <w:r w:rsidR="007F10B7">
        <w:t xml:space="preserve"> DOR</w:t>
      </w:r>
      <w:r w:rsidR="00B23B33">
        <w:t xml:space="preserve"> satisfaction,</w:t>
      </w:r>
      <w:r w:rsidR="00ED3B8C">
        <w:t xml:space="preserve"> consumer</w:t>
      </w:r>
      <w:r w:rsidR="002D3FBA">
        <w:t>s</w:t>
      </w:r>
      <w:r w:rsidR="003A1D90">
        <w:t xml:space="preserve"> </w:t>
      </w:r>
      <w:r w:rsidR="00ED3B8C">
        <w:t>praise</w:t>
      </w:r>
      <w:r w:rsidR="002D3FBA">
        <w:t>d</w:t>
      </w:r>
      <w:r w:rsidR="00ED3B8C">
        <w:t xml:space="preserve"> DOR</w:t>
      </w:r>
      <w:r w:rsidR="002D3FBA">
        <w:t xml:space="preserve"> and counselors in their feedback</w:t>
      </w:r>
      <w:r w:rsidR="003A1D90">
        <w:t>, represent</w:t>
      </w:r>
      <w:r w:rsidR="00716196">
        <w:t>ing</w:t>
      </w:r>
      <w:r w:rsidR="003A1D90">
        <w:t xml:space="preserve"> 35.1% </w:t>
      </w:r>
      <w:r w:rsidR="00716196">
        <w:t>and 6.0% of all comments received, respectively.</w:t>
      </w:r>
      <w:r w:rsidR="00470A72">
        <w:t xml:space="preserve"> </w:t>
      </w:r>
      <w:r w:rsidR="00E94B71">
        <w:t>T</w:t>
      </w:r>
      <w:r w:rsidR="00470A72">
        <w:t xml:space="preserve">he </w:t>
      </w:r>
      <w:r w:rsidR="007218DD">
        <w:t xml:space="preserve">onset of the </w:t>
      </w:r>
      <w:r w:rsidR="00E94B71">
        <w:t>c</w:t>
      </w:r>
      <w:r w:rsidR="00470A72">
        <w:t xml:space="preserve">oronavirus pandemic in </w:t>
      </w:r>
      <w:r w:rsidR="00F148E4">
        <w:t xml:space="preserve">early </w:t>
      </w:r>
      <w:r w:rsidR="00470A72">
        <w:t>20</w:t>
      </w:r>
      <w:r w:rsidR="00145646">
        <w:t>20</w:t>
      </w:r>
      <w:r w:rsidR="00470A72">
        <w:t xml:space="preserve"> </w:t>
      </w:r>
      <w:r w:rsidR="00F148E4">
        <w:t xml:space="preserve">may have impacted the experiences of consumers </w:t>
      </w:r>
      <w:r w:rsidR="00566356">
        <w:t xml:space="preserve">who were </w:t>
      </w:r>
      <w:r w:rsidR="00566356">
        <w:lastRenderedPageBreak/>
        <w:t xml:space="preserve">surveyed for the SFY 2020-21 CSS. </w:t>
      </w:r>
      <w:proofErr w:type="gramStart"/>
      <w:r w:rsidR="009A4B83">
        <w:t xml:space="preserve">At this </w:t>
      </w:r>
      <w:r w:rsidR="00702695">
        <w:t>time</w:t>
      </w:r>
      <w:proofErr w:type="gramEnd"/>
      <w:r w:rsidR="00702695">
        <w:t>,</w:t>
      </w:r>
      <w:r w:rsidR="009A4B83">
        <w:t xml:space="preserve"> we are </w:t>
      </w:r>
      <w:r w:rsidR="003713E6">
        <w:t>un</w:t>
      </w:r>
      <w:r w:rsidR="009A4B83">
        <w:t xml:space="preserve">able to </w:t>
      </w:r>
      <w:r w:rsidR="003713E6">
        <w:t>determine</w:t>
      </w:r>
      <w:r w:rsidR="009A4B83">
        <w:t xml:space="preserve"> the effects of the pandemic on consumer satisfaction ratings. However</w:t>
      </w:r>
      <w:r w:rsidR="00566356">
        <w:t xml:space="preserve">, </w:t>
      </w:r>
      <w:r w:rsidR="00D42195">
        <w:t xml:space="preserve">12.6% of comments received </w:t>
      </w:r>
      <w:r w:rsidR="009A4B83">
        <w:t xml:space="preserve">from survey participants </w:t>
      </w:r>
      <w:r w:rsidR="00D42195">
        <w:t>discussed issues related to the coronavirus pandemic</w:t>
      </w:r>
      <w:r w:rsidR="009A4B83">
        <w:t xml:space="preserve"> including </w:t>
      </w:r>
      <w:r w:rsidR="00B67425">
        <w:t xml:space="preserve">health risks, </w:t>
      </w:r>
      <w:r w:rsidR="009A4B83">
        <w:t xml:space="preserve">virtual communication, </w:t>
      </w:r>
      <w:r w:rsidR="00B67425">
        <w:t>shutdowns, and school closures</w:t>
      </w:r>
      <w:r w:rsidR="00D42195">
        <w:t>.</w:t>
      </w:r>
      <w:r w:rsidR="00E94B71">
        <w:t xml:space="preserve"> </w:t>
      </w:r>
    </w:p>
    <w:p w14:paraId="7CACB563" w14:textId="414AAFE0" w:rsidR="00B92439" w:rsidRDefault="00DC7C4F" w:rsidP="00B736E8">
      <w:r>
        <w:t xml:space="preserve">Comments about DOR counselors </w:t>
      </w:r>
      <w:r w:rsidR="00803451">
        <w:t xml:space="preserve">mentioned a need for timely and consistent communication most frequently (18.4%), followed by </w:t>
      </w:r>
      <w:r w:rsidR="00CF636A">
        <w:t xml:space="preserve">management of consumer’s record of service (9.5%), </w:t>
      </w:r>
      <w:r w:rsidR="00900405">
        <w:t>their ability to understand consumer needs (7.8%)</w:t>
      </w:r>
      <w:r w:rsidR="00305392">
        <w:t>, praise (6.0%)</w:t>
      </w:r>
      <w:r w:rsidR="0078140A">
        <w:t>, and respect (3.7%).</w:t>
      </w:r>
      <w:r w:rsidR="0061462B">
        <w:t xml:space="preserve"> </w:t>
      </w:r>
      <w:r w:rsidR="0028714C">
        <w:t xml:space="preserve">Additional feedback regarding employment services </w:t>
      </w:r>
      <w:r w:rsidR="00551DF2">
        <w:t>consist</w:t>
      </w:r>
      <w:r w:rsidR="00145646">
        <w:t>ed</w:t>
      </w:r>
      <w:r w:rsidR="00551DF2">
        <w:t xml:space="preserve"> of identifying employment opportunities and </w:t>
      </w:r>
      <w:r w:rsidR="00B92439">
        <w:t>accessing employment services, these topics represented 17.0% and 13.5% of all comments received, respectively.</w:t>
      </w:r>
      <w:r w:rsidR="0061462B">
        <w:t xml:space="preserve"> </w:t>
      </w:r>
      <w:r w:rsidR="00B92439">
        <w:t xml:space="preserve">Consumers </w:t>
      </w:r>
      <w:r w:rsidR="005D76F6">
        <w:t xml:space="preserve">also wrote about needing additional support from DOR, </w:t>
      </w:r>
      <w:r w:rsidR="004A542F">
        <w:t>which included student services</w:t>
      </w:r>
      <w:r w:rsidR="00145646">
        <w:t xml:space="preserve"> (12.1%)</w:t>
      </w:r>
      <w:r w:rsidR="004A542F">
        <w:t>, transportation needs</w:t>
      </w:r>
      <w:r w:rsidR="00145646">
        <w:t xml:space="preserve"> (3.7%)</w:t>
      </w:r>
      <w:r w:rsidR="004A542F">
        <w:t>, and financial support</w:t>
      </w:r>
      <w:r w:rsidR="00145646">
        <w:t xml:space="preserve"> (4.3%)</w:t>
      </w:r>
      <w:r w:rsidR="004A542F">
        <w:t>.</w:t>
      </w:r>
    </w:p>
    <w:p w14:paraId="18EFFEDA" w14:textId="77777777" w:rsidR="00B736E8" w:rsidRPr="00630690" w:rsidRDefault="00B736E8" w:rsidP="00B736E8">
      <w:pPr>
        <w:pStyle w:val="TableTitle"/>
      </w:pPr>
      <w:r>
        <w:t>Themes Identified in the Feedback from Consumer Satisfaction Survey Participants</w:t>
      </w:r>
    </w:p>
    <w:tbl>
      <w:tblPr>
        <w:tblStyle w:val="TableGrid"/>
        <w:tblW w:w="8512" w:type="dxa"/>
        <w:jc w:val="center"/>
        <w:tblLayout w:type="fixed"/>
        <w:tblLook w:val="04A0" w:firstRow="1" w:lastRow="0" w:firstColumn="1" w:lastColumn="0" w:noHBand="0" w:noVBand="1"/>
      </w:tblPr>
      <w:tblGrid>
        <w:gridCol w:w="6082"/>
        <w:gridCol w:w="2430"/>
      </w:tblGrid>
      <w:tr w:rsidR="008E3F79" w:rsidRPr="00CE5BE6" w14:paraId="3D4DA240" w14:textId="77777777" w:rsidTr="008E3F79">
        <w:trPr>
          <w:trHeight w:val="773"/>
          <w:jc w:val="center"/>
        </w:trPr>
        <w:tc>
          <w:tcPr>
            <w:tcW w:w="6082" w:type="dxa"/>
            <w:shd w:val="clear" w:color="auto" w:fill="00407B" w:themeFill="accent1" w:themeFillShade="BF"/>
            <w:noWrap/>
          </w:tcPr>
          <w:p w14:paraId="4A10A160" w14:textId="778A7946" w:rsidR="008E3F79" w:rsidRPr="00CE5BE6" w:rsidRDefault="008E3F79" w:rsidP="006B7248">
            <w:pPr>
              <w:spacing w:after="0"/>
              <w:rPr>
                <w:rFonts w:eastAsia="Times New Roman" w:cs="Arial"/>
                <w:b/>
                <w:bCs/>
                <w:color w:val="FFFFFF" w:themeColor="background1"/>
              </w:rPr>
            </w:pPr>
            <w:r>
              <w:rPr>
                <w:rFonts w:eastAsia="Times New Roman" w:cs="Arial"/>
                <w:b/>
                <w:bCs/>
                <w:color w:val="FFFFFF" w:themeColor="background1"/>
              </w:rPr>
              <w:t>CSS Feedback Themes and Topics</w:t>
            </w:r>
          </w:p>
        </w:tc>
        <w:tc>
          <w:tcPr>
            <w:tcW w:w="2430" w:type="dxa"/>
            <w:shd w:val="clear" w:color="auto" w:fill="00407B" w:themeFill="accent1" w:themeFillShade="BF"/>
          </w:tcPr>
          <w:p w14:paraId="01CD0A1E" w14:textId="77777777" w:rsidR="008E3F79" w:rsidRPr="007C2C39" w:rsidRDefault="008E3F79" w:rsidP="001D78B6">
            <w:pPr>
              <w:spacing w:after="0"/>
              <w:jc w:val="center"/>
              <w:rPr>
                <w:rFonts w:eastAsia="Times New Roman" w:cs="Arial"/>
                <w:b/>
                <w:bCs/>
                <w:color w:val="FFFFFF" w:themeColor="background1"/>
                <w:vertAlign w:val="superscript"/>
              </w:rPr>
            </w:pPr>
            <w:r>
              <w:rPr>
                <w:rFonts w:eastAsia="Times New Roman" w:cs="Arial"/>
                <w:b/>
                <w:bCs/>
                <w:color w:val="FFFFFF" w:themeColor="background1"/>
              </w:rPr>
              <w:t>Comments</w:t>
            </w:r>
            <w:r>
              <w:rPr>
                <w:rFonts w:eastAsia="Times New Roman" w:cs="Arial"/>
                <w:b/>
                <w:bCs/>
                <w:color w:val="FFFFFF" w:themeColor="background1"/>
                <w:vertAlign w:val="superscript"/>
              </w:rPr>
              <w:t>2</w:t>
            </w:r>
          </w:p>
          <w:p w14:paraId="3209CEC1" w14:textId="77777777" w:rsidR="008E3F79" w:rsidRPr="007D6C61" w:rsidRDefault="008E3F79" w:rsidP="001D78B6">
            <w:pPr>
              <w:spacing w:after="0"/>
              <w:jc w:val="center"/>
              <w:rPr>
                <w:rFonts w:eastAsia="Times New Roman" w:cs="Arial"/>
                <w:color w:val="FFFFFF" w:themeColor="background1"/>
              </w:rPr>
            </w:pPr>
            <w:r w:rsidRPr="007D6C61">
              <w:rPr>
                <w:rFonts w:eastAsia="Times New Roman" w:cs="Arial"/>
                <w:color w:val="FFFFFF" w:themeColor="background1"/>
              </w:rPr>
              <w:t>(Percent of Total)</w:t>
            </w:r>
          </w:p>
        </w:tc>
      </w:tr>
      <w:tr w:rsidR="008E3F79" w:rsidRPr="00FF7208" w14:paraId="603AA625" w14:textId="77777777" w:rsidTr="008E3F79">
        <w:trPr>
          <w:trHeight w:val="288"/>
          <w:jc w:val="center"/>
        </w:trPr>
        <w:tc>
          <w:tcPr>
            <w:tcW w:w="6082" w:type="dxa"/>
            <w:shd w:val="clear" w:color="auto" w:fill="F2F2F2" w:themeFill="background1" w:themeFillShade="F2"/>
            <w:noWrap/>
            <w:hideMark/>
          </w:tcPr>
          <w:p w14:paraId="66563D73" w14:textId="77777777" w:rsidR="008E3F79" w:rsidRPr="00FF7208" w:rsidRDefault="008E3F79" w:rsidP="006B7248">
            <w:pPr>
              <w:spacing w:after="0"/>
              <w:rPr>
                <w:rFonts w:eastAsia="Times New Roman" w:cs="Arial"/>
                <w:b/>
                <w:bCs/>
                <w:i/>
                <w:iCs/>
              </w:rPr>
            </w:pPr>
            <w:r w:rsidRPr="00FF7208">
              <w:rPr>
                <w:rFonts w:eastAsia="Times New Roman" w:cs="Arial"/>
                <w:b/>
                <w:bCs/>
                <w:i/>
                <w:iCs/>
              </w:rPr>
              <w:t>Theme: Overall DOR Experience</w:t>
            </w:r>
          </w:p>
        </w:tc>
        <w:tc>
          <w:tcPr>
            <w:tcW w:w="2430" w:type="dxa"/>
            <w:shd w:val="clear" w:color="auto" w:fill="F2F2F2" w:themeFill="background1" w:themeFillShade="F2"/>
          </w:tcPr>
          <w:p w14:paraId="781F34D4" w14:textId="77777777" w:rsidR="008E3F79" w:rsidRPr="00FF7208" w:rsidRDefault="008E3F79" w:rsidP="006B7248">
            <w:pPr>
              <w:spacing w:after="0"/>
              <w:rPr>
                <w:rFonts w:eastAsia="Times New Roman" w:cs="Arial"/>
                <w:b/>
                <w:bCs/>
                <w:i/>
                <w:iCs/>
              </w:rPr>
            </w:pPr>
          </w:p>
        </w:tc>
      </w:tr>
      <w:tr w:rsidR="008E3F79" w:rsidRPr="00F05374" w14:paraId="44241FB1" w14:textId="77777777" w:rsidTr="008E3F79">
        <w:trPr>
          <w:trHeight w:val="288"/>
          <w:jc w:val="center"/>
        </w:trPr>
        <w:tc>
          <w:tcPr>
            <w:tcW w:w="6082" w:type="dxa"/>
            <w:noWrap/>
            <w:hideMark/>
          </w:tcPr>
          <w:p w14:paraId="4504C078" w14:textId="77777777" w:rsidR="008E3F79" w:rsidRPr="00F05374" w:rsidRDefault="008E3F79" w:rsidP="00F847FA">
            <w:pPr>
              <w:spacing w:after="0"/>
              <w:ind w:left="432" w:hanging="282"/>
            </w:pPr>
            <w:r w:rsidRPr="00F05374">
              <w:t>Praise for DOR</w:t>
            </w:r>
          </w:p>
        </w:tc>
        <w:tc>
          <w:tcPr>
            <w:tcW w:w="2430" w:type="dxa"/>
          </w:tcPr>
          <w:p w14:paraId="7A024529" w14:textId="77777777" w:rsidR="008E3F79" w:rsidRPr="00F05374" w:rsidRDefault="008E3F79" w:rsidP="006B7248">
            <w:pPr>
              <w:spacing w:after="0"/>
              <w:jc w:val="center"/>
              <w:rPr>
                <w:rFonts w:eastAsia="Times New Roman" w:cs="Arial"/>
              </w:rPr>
            </w:pPr>
            <w:r>
              <w:rPr>
                <w:rFonts w:cs="Arial"/>
                <w:color w:val="000000"/>
              </w:rPr>
              <w:t>35.1%</w:t>
            </w:r>
          </w:p>
        </w:tc>
      </w:tr>
      <w:tr w:rsidR="008E3F79" w:rsidRPr="00F05374" w14:paraId="3D6CFCC7" w14:textId="77777777" w:rsidTr="008E3F79">
        <w:trPr>
          <w:trHeight w:val="288"/>
          <w:jc w:val="center"/>
        </w:trPr>
        <w:tc>
          <w:tcPr>
            <w:tcW w:w="6082" w:type="dxa"/>
            <w:noWrap/>
            <w:hideMark/>
          </w:tcPr>
          <w:p w14:paraId="38E0B56C" w14:textId="77777777" w:rsidR="008E3F79" w:rsidRPr="00F05374" w:rsidRDefault="008E3F79" w:rsidP="00F847FA">
            <w:pPr>
              <w:spacing w:after="0"/>
              <w:ind w:left="432" w:hanging="282"/>
            </w:pPr>
            <w:r w:rsidRPr="00F05374">
              <w:t>Providing Information about DOR Applications</w:t>
            </w:r>
          </w:p>
        </w:tc>
        <w:tc>
          <w:tcPr>
            <w:tcW w:w="2430" w:type="dxa"/>
          </w:tcPr>
          <w:p w14:paraId="5D9F2576" w14:textId="77777777" w:rsidR="008E3F79" w:rsidRPr="00F05374" w:rsidRDefault="008E3F79" w:rsidP="006B7248">
            <w:pPr>
              <w:spacing w:after="0"/>
              <w:jc w:val="center"/>
              <w:rPr>
                <w:rFonts w:eastAsia="Times New Roman" w:cs="Arial"/>
              </w:rPr>
            </w:pPr>
            <w:r>
              <w:rPr>
                <w:rFonts w:cs="Arial"/>
                <w:color w:val="000000"/>
              </w:rPr>
              <w:t>3.4%</w:t>
            </w:r>
          </w:p>
        </w:tc>
      </w:tr>
      <w:tr w:rsidR="008E3F79" w:rsidRPr="00F05374" w14:paraId="37A67C99" w14:textId="77777777" w:rsidTr="008E3F79">
        <w:trPr>
          <w:trHeight w:val="288"/>
          <w:jc w:val="center"/>
        </w:trPr>
        <w:tc>
          <w:tcPr>
            <w:tcW w:w="6082" w:type="dxa"/>
            <w:noWrap/>
            <w:hideMark/>
          </w:tcPr>
          <w:p w14:paraId="192A4120" w14:textId="77777777" w:rsidR="008E3F79" w:rsidRPr="00F05374" w:rsidRDefault="008E3F79" w:rsidP="00F847FA">
            <w:pPr>
              <w:spacing w:after="0"/>
              <w:ind w:left="432" w:hanging="282"/>
            </w:pPr>
            <w:r w:rsidRPr="00F05374">
              <w:t>Impacts of the Coronavirus Pandemic</w:t>
            </w:r>
          </w:p>
        </w:tc>
        <w:tc>
          <w:tcPr>
            <w:tcW w:w="2430" w:type="dxa"/>
          </w:tcPr>
          <w:p w14:paraId="7FCB5C72" w14:textId="77777777" w:rsidR="008E3F79" w:rsidRPr="00F05374" w:rsidRDefault="008E3F79" w:rsidP="006B7248">
            <w:pPr>
              <w:spacing w:after="0"/>
              <w:jc w:val="center"/>
              <w:rPr>
                <w:rFonts w:eastAsia="Times New Roman" w:cs="Arial"/>
              </w:rPr>
            </w:pPr>
            <w:r>
              <w:rPr>
                <w:rFonts w:cs="Arial"/>
                <w:color w:val="000000"/>
              </w:rPr>
              <w:t>12.6%</w:t>
            </w:r>
          </w:p>
        </w:tc>
      </w:tr>
      <w:tr w:rsidR="008E3F79" w:rsidRPr="00F05374" w14:paraId="241254F8" w14:textId="77777777" w:rsidTr="008E3F79">
        <w:trPr>
          <w:trHeight w:val="288"/>
          <w:jc w:val="center"/>
        </w:trPr>
        <w:tc>
          <w:tcPr>
            <w:tcW w:w="6082" w:type="dxa"/>
            <w:noWrap/>
            <w:hideMark/>
          </w:tcPr>
          <w:p w14:paraId="0906C4BD" w14:textId="77777777" w:rsidR="008E3F79" w:rsidRPr="00F05374" w:rsidRDefault="008E3F79" w:rsidP="00F847FA">
            <w:pPr>
              <w:spacing w:after="0"/>
              <w:ind w:left="432" w:hanging="282"/>
            </w:pPr>
            <w:r w:rsidRPr="00F05374">
              <w:t>Other General Feedback</w:t>
            </w:r>
          </w:p>
        </w:tc>
        <w:tc>
          <w:tcPr>
            <w:tcW w:w="2430" w:type="dxa"/>
          </w:tcPr>
          <w:p w14:paraId="61F23619" w14:textId="77777777" w:rsidR="008E3F79" w:rsidRPr="00F05374" w:rsidRDefault="008E3F79" w:rsidP="006B7248">
            <w:pPr>
              <w:spacing w:after="0"/>
              <w:jc w:val="center"/>
              <w:rPr>
                <w:rFonts w:eastAsia="Times New Roman" w:cs="Arial"/>
              </w:rPr>
            </w:pPr>
            <w:r>
              <w:rPr>
                <w:rFonts w:cs="Arial"/>
                <w:color w:val="000000"/>
              </w:rPr>
              <w:t>3.7%</w:t>
            </w:r>
          </w:p>
        </w:tc>
      </w:tr>
      <w:tr w:rsidR="008E3F79" w:rsidRPr="00FF7208" w14:paraId="3CC33427" w14:textId="77777777" w:rsidTr="008E3F79">
        <w:trPr>
          <w:trHeight w:val="288"/>
          <w:jc w:val="center"/>
        </w:trPr>
        <w:tc>
          <w:tcPr>
            <w:tcW w:w="6082" w:type="dxa"/>
            <w:shd w:val="clear" w:color="auto" w:fill="F2F2F2" w:themeFill="background1" w:themeFillShade="F2"/>
            <w:noWrap/>
            <w:hideMark/>
          </w:tcPr>
          <w:p w14:paraId="6E52798B" w14:textId="77777777" w:rsidR="008E3F79" w:rsidRPr="00FF7208" w:rsidRDefault="008E3F79" w:rsidP="006B7248">
            <w:pPr>
              <w:spacing w:after="0"/>
              <w:rPr>
                <w:rFonts w:eastAsia="Times New Roman" w:cs="Arial"/>
                <w:b/>
                <w:bCs/>
                <w:i/>
                <w:iCs/>
              </w:rPr>
            </w:pPr>
            <w:r w:rsidRPr="00FF7208">
              <w:rPr>
                <w:rFonts w:eastAsia="Times New Roman" w:cs="Arial"/>
                <w:b/>
                <w:bCs/>
                <w:i/>
                <w:iCs/>
              </w:rPr>
              <w:t>Theme: Interacting with DOR Counselors</w:t>
            </w:r>
          </w:p>
        </w:tc>
        <w:tc>
          <w:tcPr>
            <w:tcW w:w="2430" w:type="dxa"/>
            <w:shd w:val="clear" w:color="auto" w:fill="F2F2F2" w:themeFill="background1" w:themeFillShade="F2"/>
          </w:tcPr>
          <w:p w14:paraId="447E4FAB" w14:textId="77777777" w:rsidR="008E3F79" w:rsidRPr="00FF7208" w:rsidRDefault="008E3F79" w:rsidP="006B7248">
            <w:pPr>
              <w:spacing w:after="0"/>
              <w:rPr>
                <w:rFonts w:eastAsia="Times New Roman" w:cs="Arial"/>
                <w:b/>
                <w:bCs/>
                <w:i/>
                <w:iCs/>
              </w:rPr>
            </w:pPr>
          </w:p>
        </w:tc>
      </w:tr>
      <w:tr w:rsidR="008E3F79" w:rsidRPr="00F05374" w14:paraId="68D3C0F5" w14:textId="77777777" w:rsidTr="008E3F79">
        <w:trPr>
          <w:trHeight w:val="288"/>
          <w:jc w:val="center"/>
        </w:trPr>
        <w:tc>
          <w:tcPr>
            <w:tcW w:w="6082" w:type="dxa"/>
            <w:noWrap/>
            <w:hideMark/>
          </w:tcPr>
          <w:p w14:paraId="27B49EA0" w14:textId="77777777" w:rsidR="008E3F79" w:rsidRPr="00F05374" w:rsidRDefault="008E3F79" w:rsidP="00F847FA">
            <w:pPr>
              <w:spacing w:after="0"/>
              <w:ind w:left="432" w:hanging="282"/>
              <w:rPr>
                <w:rFonts w:eastAsia="Times New Roman" w:cs="Arial"/>
              </w:rPr>
            </w:pPr>
            <w:r w:rsidRPr="00F05374">
              <w:rPr>
                <w:rFonts w:eastAsia="Times New Roman" w:cs="Arial"/>
              </w:rPr>
              <w:t>Praise for DOR Counselors and Staff</w:t>
            </w:r>
          </w:p>
        </w:tc>
        <w:tc>
          <w:tcPr>
            <w:tcW w:w="2430" w:type="dxa"/>
          </w:tcPr>
          <w:p w14:paraId="547D5FDF" w14:textId="77777777" w:rsidR="008E3F79" w:rsidRPr="00F05374" w:rsidRDefault="008E3F79" w:rsidP="006B7248">
            <w:pPr>
              <w:spacing w:after="0"/>
              <w:jc w:val="center"/>
              <w:rPr>
                <w:rFonts w:eastAsia="Times New Roman" w:cs="Arial"/>
              </w:rPr>
            </w:pPr>
            <w:r>
              <w:rPr>
                <w:rFonts w:cs="Arial"/>
                <w:color w:val="000000"/>
              </w:rPr>
              <w:t>6.0%</w:t>
            </w:r>
          </w:p>
        </w:tc>
      </w:tr>
      <w:tr w:rsidR="008E3F79" w:rsidRPr="00F05374" w14:paraId="6115C7BA" w14:textId="77777777" w:rsidTr="008E3F79">
        <w:trPr>
          <w:trHeight w:val="288"/>
          <w:jc w:val="center"/>
        </w:trPr>
        <w:tc>
          <w:tcPr>
            <w:tcW w:w="6082" w:type="dxa"/>
            <w:noWrap/>
            <w:hideMark/>
          </w:tcPr>
          <w:p w14:paraId="1E9E53C4" w14:textId="77777777" w:rsidR="008E3F79" w:rsidRPr="00F05374" w:rsidRDefault="008E3F79" w:rsidP="00F847FA">
            <w:pPr>
              <w:spacing w:after="0"/>
              <w:ind w:left="432" w:hanging="282"/>
              <w:rPr>
                <w:rFonts w:eastAsia="Times New Roman" w:cs="Arial"/>
              </w:rPr>
            </w:pPr>
            <w:r w:rsidRPr="00F05374">
              <w:rPr>
                <w:rFonts w:eastAsia="Times New Roman" w:cs="Arial"/>
              </w:rPr>
              <w:t>Timely and Consistent Communication</w:t>
            </w:r>
          </w:p>
        </w:tc>
        <w:tc>
          <w:tcPr>
            <w:tcW w:w="2430" w:type="dxa"/>
          </w:tcPr>
          <w:p w14:paraId="17B3A035" w14:textId="77777777" w:rsidR="008E3F79" w:rsidRPr="00F05374" w:rsidRDefault="008E3F79" w:rsidP="006B7248">
            <w:pPr>
              <w:spacing w:after="0"/>
              <w:jc w:val="center"/>
              <w:rPr>
                <w:rFonts w:eastAsia="Times New Roman" w:cs="Arial"/>
              </w:rPr>
            </w:pPr>
            <w:r>
              <w:rPr>
                <w:rFonts w:cs="Arial"/>
                <w:color w:val="000000"/>
              </w:rPr>
              <w:t>18.4%</w:t>
            </w:r>
          </w:p>
        </w:tc>
      </w:tr>
      <w:tr w:rsidR="008E3F79" w:rsidRPr="00F05374" w14:paraId="2B42CF21" w14:textId="77777777" w:rsidTr="008E3F79">
        <w:trPr>
          <w:trHeight w:val="288"/>
          <w:jc w:val="center"/>
        </w:trPr>
        <w:tc>
          <w:tcPr>
            <w:tcW w:w="6082" w:type="dxa"/>
            <w:noWrap/>
            <w:hideMark/>
          </w:tcPr>
          <w:p w14:paraId="1B9C066F" w14:textId="77777777" w:rsidR="008E3F79" w:rsidRPr="00F05374" w:rsidRDefault="008E3F79" w:rsidP="00F847FA">
            <w:pPr>
              <w:spacing w:after="0"/>
              <w:ind w:left="432" w:hanging="282"/>
              <w:rPr>
                <w:rFonts w:eastAsia="Times New Roman" w:cs="Arial"/>
              </w:rPr>
            </w:pPr>
            <w:r w:rsidRPr="00F05374">
              <w:rPr>
                <w:rFonts w:eastAsia="Times New Roman" w:cs="Arial"/>
              </w:rPr>
              <w:t>Respectful Communication</w:t>
            </w:r>
          </w:p>
        </w:tc>
        <w:tc>
          <w:tcPr>
            <w:tcW w:w="2430" w:type="dxa"/>
          </w:tcPr>
          <w:p w14:paraId="2B59B35D" w14:textId="77777777" w:rsidR="008E3F79" w:rsidRPr="00F05374" w:rsidRDefault="008E3F79" w:rsidP="006B7248">
            <w:pPr>
              <w:spacing w:after="0"/>
              <w:jc w:val="center"/>
              <w:rPr>
                <w:rFonts w:eastAsia="Times New Roman" w:cs="Arial"/>
              </w:rPr>
            </w:pPr>
            <w:r>
              <w:rPr>
                <w:rFonts w:cs="Arial"/>
                <w:color w:val="000000"/>
              </w:rPr>
              <w:t>3.7%</w:t>
            </w:r>
          </w:p>
        </w:tc>
      </w:tr>
      <w:tr w:rsidR="008E3F79" w:rsidRPr="00F05374" w14:paraId="33402DF2" w14:textId="77777777" w:rsidTr="008E3F79">
        <w:trPr>
          <w:trHeight w:val="288"/>
          <w:jc w:val="center"/>
        </w:trPr>
        <w:tc>
          <w:tcPr>
            <w:tcW w:w="6082" w:type="dxa"/>
            <w:noWrap/>
            <w:hideMark/>
          </w:tcPr>
          <w:p w14:paraId="3D10DE62" w14:textId="77777777" w:rsidR="008E3F79" w:rsidRPr="00F05374" w:rsidRDefault="008E3F79" w:rsidP="00F847FA">
            <w:pPr>
              <w:spacing w:after="0"/>
              <w:ind w:left="432" w:hanging="282"/>
              <w:rPr>
                <w:rFonts w:eastAsia="Times New Roman" w:cs="Arial"/>
              </w:rPr>
            </w:pPr>
            <w:r w:rsidRPr="00F05374">
              <w:rPr>
                <w:rFonts w:eastAsia="Times New Roman" w:cs="Arial"/>
              </w:rPr>
              <w:t>Managing Records of Service</w:t>
            </w:r>
          </w:p>
        </w:tc>
        <w:tc>
          <w:tcPr>
            <w:tcW w:w="2430" w:type="dxa"/>
          </w:tcPr>
          <w:p w14:paraId="13620AAC" w14:textId="77777777" w:rsidR="008E3F79" w:rsidRPr="00F05374" w:rsidRDefault="008E3F79" w:rsidP="006B7248">
            <w:pPr>
              <w:spacing w:after="0"/>
              <w:jc w:val="center"/>
              <w:rPr>
                <w:rFonts w:eastAsia="Times New Roman" w:cs="Arial"/>
              </w:rPr>
            </w:pPr>
            <w:r>
              <w:rPr>
                <w:rFonts w:cs="Arial"/>
                <w:color w:val="000000"/>
              </w:rPr>
              <w:t>9.5%</w:t>
            </w:r>
          </w:p>
        </w:tc>
      </w:tr>
      <w:tr w:rsidR="008E3F79" w:rsidRPr="00F05374" w14:paraId="03750519" w14:textId="77777777" w:rsidTr="008E3F79">
        <w:trPr>
          <w:trHeight w:val="288"/>
          <w:jc w:val="center"/>
        </w:trPr>
        <w:tc>
          <w:tcPr>
            <w:tcW w:w="6082" w:type="dxa"/>
            <w:noWrap/>
            <w:hideMark/>
          </w:tcPr>
          <w:p w14:paraId="402F5F00" w14:textId="77777777" w:rsidR="008E3F79" w:rsidRPr="00F05374" w:rsidRDefault="008E3F79" w:rsidP="00F847FA">
            <w:pPr>
              <w:spacing w:after="0"/>
              <w:ind w:left="432" w:hanging="282"/>
              <w:rPr>
                <w:rFonts w:eastAsia="Times New Roman" w:cs="Arial"/>
              </w:rPr>
            </w:pPr>
            <w:r w:rsidRPr="00F05374">
              <w:rPr>
                <w:rFonts w:eastAsia="Times New Roman" w:cs="Arial"/>
              </w:rPr>
              <w:t>Understanding Consumer Needs</w:t>
            </w:r>
          </w:p>
        </w:tc>
        <w:tc>
          <w:tcPr>
            <w:tcW w:w="2430" w:type="dxa"/>
          </w:tcPr>
          <w:p w14:paraId="17932812" w14:textId="77777777" w:rsidR="008E3F79" w:rsidRPr="00F05374" w:rsidRDefault="008E3F79" w:rsidP="006B7248">
            <w:pPr>
              <w:spacing w:after="0"/>
              <w:jc w:val="center"/>
              <w:rPr>
                <w:rFonts w:eastAsia="Times New Roman" w:cs="Arial"/>
              </w:rPr>
            </w:pPr>
            <w:r>
              <w:rPr>
                <w:rFonts w:cs="Arial"/>
                <w:color w:val="000000"/>
              </w:rPr>
              <w:t>7.8%</w:t>
            </w:r>
          </w:p>
        </w:tc>
      </w:tr>
      <w:tr w:rsidR="008E3F79" w:rsidRPr="00FF7208" w14:paraId="1A91599E" w14:textId="77777777" w:rsidTr="008E3F79">
        <w:trPr>
          <w:trHeight w:val="288"/>
          <w:jc w:val="center"/>
        </w:trPr>
        <w:tc>
          <w:tcPr>
            <w:tcW w:w="6082" w:type="dxa"/>
            <w:shd w:val="clear" w:color="auto" w:fill="F2F2F2" w:themeFill="background1" w:themeFillShade="F2"/>
            <w:noWrap/>
            <w:hideMark/>
          </w:tcPr>
          <w:p w14:paraId="3B51394B" w14:textId="77777777" w:rsidR="008E3F79" w:rsidRPr="00FF7208" w:rsidRDefault="008E3F79" w:rsidP="008013D9">
            <w:pPr>
              <w:spacing w:after="0"/>
              <w:jc w:val="both"/>
              <w:rPr>
                <w:rFonts w:eastAsia="Times New Roman" w:cs="Arial"/>
                <w:i/>
                <w:iCs/>
              </w:rPr>
            </w:pPr>
            <w:r w:rsidRPr="00FF7208">
              <w:rPr>
                <w:rFonts w:eastAsia="Times New Roman" w:cs="Arial"/>
                <w:b/>
                <w:bCs/>
                <w:i/>
                <w:iCs/>
              </w:rPr>
              <w:t>Theme: Utilizing Employment Services</w:t>
            </w:r>
          </w:p>
        </w:tc>
        <w:tc>
          <w:tcPr>
            <w:tcW w:w="2430" w:type="dxa"/>
            <w:shd w:val="clear" w:color="auto" w:fill="F2F2F2" w:themeFill="background1" w:themeFillShade="F2"/>
          </w:tcPr>
          <w:p w14:paraId="16858022" w14:textId="77777777" w:rsidR="008E3F79" w:rsidRPr="00FF7208" w:rsidRDefault="008E3F79" w:rsidP="008013D9">
            <w:pPr>
              <w:spacing w:after="0"/>
              <w:jc w:val="both"/>
              <w:rPr>
                <w:rFonts w:eastAsia="Times New Roman" w:cs="Arial"/>
                <w:i/>
                <w:iCs/>
              </w:rPr>
            </w:pPr>
          </w:p>
        </w:tc>
      </w:tr>
      <w:tr w:rsidR="008E3F79" w:rsidRPr="00F05374" w14:paraId="4E904EAC" w14:textId="77777777" w:rsidTr="008E3F79">
        <w:trPr>
          <w:trHeight w:val="288"/>
          <w:jc w:val="center"/>
        </w:trPr>
        <w:tc>
          <w:tcPr>
            <w:tcW w:w="6082" w:type="dxa"/>
            <w:noWrap/>
            <w:hideMark/>
          </w:tcPr>
          <w:p w14:paraId="5527BDE4" w14:textId="77777777" w:rsidR="008E3F79" w:rsidRPr="00F05374" w:rsidRDefault="008E3F79" w:rsidP="00F847FA">
            <w:pPr>
              <w:spacing w:after="0"/>
              <w:ind w:left="430" w:hanging="280"/>
              <w:rPr>
                <w:rFonts w:eastAsia="Times New Roman" w:cs="Arial"/>
              </w:rPr>
            </w:pPr>
            <w:r w:rsidRPr="00F05374">
              <w:rPr>
                <w:rFonts w:eastAsia="Times New Roman" w:cs="Arial"/>
              </w:rPr>
              <w:t>Identifying Employment Opportunities</w:t>
            </w:r>
          </w:p>
        </w:tc>
        <w:tc>
          <w:tcPr>
            <w:tcW w:w="2430" w:type="dxa"/>
          </w:tcPr>
          <w:p w14:paraId="2CD6FC0D" w14:textId="77777777" w:rsidR="008E3F79" w:rsidRPr="00F05374" w:rsidRDefault="008E3F79" w:rsidP="006B7248">
            <w:pPr>
              <w:spacing w:after="0"/>
              <w:jc w:val="center"/>
              <w:rPr>
                <w:rFonts w:eastAsia="Times New Roman" w:cs="Arial"/>
              </w:rPr>
            </w:pPr>
            <w:r>
              <w:rPr>
                <w:rFonts w:cs="Arial"/>
                <w:color w:val="000000"/>
              </w:rPr>
              <w:t>17.0%</w:t>
            </w:r>
          </w:p>
        </w:tc>
      </w:tr>
      <w:tr w:rsidR="008E3F79" w:rsidRPr="00F05374" w14:paraId="46DF7F8E" w14:textId="77777777" w:rsidTr="008E3F79">
        <w:trPr>
          <w:trHeight w:val="288"/>
          <w:jc w:val="center"/>
        </w:trPr>
        <w:tc>
          <w:tcPr>
            <w:tcW w:w="6082" w:type="dxa"/>
            <w:noWrap/>
            <w:hideMark/>
          </w:tcPr>
          <w:p w14:paraId="1126EF0F" w14:textId="77777777" w:rsidR="008E3F79" w:rsidRPr="00F05374" w:rsidRDefault="008E3F79" w:rsidP="00F847FA">
            <w:pPr>
              <w:spacing w:after="0"/>
              <w:ind w:left="430" w:hanging="280"/>
              <w:rPr>
                <w:rFonts w:eastAsia="Times New Roman" w:cs="Arial"/>
              </w:rPr>
            </w:pPr>
            <w:r w:rsidRPr="00F05374">
              <w:rPr>
                <w:rFonts w:eastAsia="Times New Roman" w:cs="Arial"/>
              </w:rPr>
              <w:t>Utilizing Employment Services</w:t>
            </w:r>
          </w:p>
        </w:tc>
        <w:tc>
          <w:tcPr>
            <w:tcW w:w="2430" w:type="dxa"/>
          </w:tcPr>
          <w:p w14:paraId="2F861BA6" w14:textId="77777777" w:rsidR="008E3F79" w:rsidRPr="00F05374" w:rsidRDefault="008E3F79" w:rsidP="006B7248">
            <w:pPr>
              <w:spacing w:after="0"/>
              <w:jc w:val="center"/>
              <w:rPr>
                <w:rFonts w:eastAsia="Times New Roman" w:cs="Arial"/>
              </w:rPr>
            </w:pPr>
            <w:r>
              <w:rPr>
                <w:rFonts w:cs="Arial"/>
                <w:color w:val="000000"/>
              </w:rPr>
              <w:t>13.5%</w:t>
            </w:r>
          </w:p>
        </w:tc>
      </w:tr>
      <w:tr w:rsidR="008E3F79" w:rsidRPr="00FF7208" w14:paraId="4BB579AC" w14:textId="77777777" w:rsidTr="008E3F79">
        <w:trPr>
          <w:trHeight w:val="288"/>
          <w:jc w:val="center"/>
        </w:trPr>
        <w:tc>
          <w:tcPr>
            <w:tcW w:w="6082" w:type="dxa"/>
            <w:shd w:val="clear" w:color="auto" w:fill="F2F2F2" w:themeFill="background1" w:themeFillShade="F2"/>
            <w:noWrap/>
            <w:hideMark/>
          </w:tcPr>
          <w:p w14:paraId="072D32AC" w14:textId="77777777" w:rsidR="008E3F79" w:rsidRPr="00FF7208" w:rsidRDefault="008E3F79" w:rsidP="006B7248">
            <w:pPr>
              <w:spacing w:after="0"/>
              <w:rPr>
                <w:rFonts w:eastAsia="Times New Roman" w:cs="Arial"/>
                <w:i/>
                <w:iCs/>
              </w:rPr>
            </w:pPr>
            <w:r w:rsidRPr="00FF7208">
              <w:rPr>
                <w:rFonts w:eastAsia="Times New Roman" w:cs="Arial"/>
                <w:b/>
                <w:bCs/>
                <w:i/>
                <w:iCs/>
              </w:rPr>
              <w:t>Theme: Accessing Additional Support</w:t>
            </w:r>
          </w:p>
        </w:tc>
        <w:tc>
          <w:tcPr>
            <w:tcW w:w="2430" w:type="dxa"/>
            <w:shd w:val="clear" w:color="auto" w:fill="F2F2F2" w:themeFill="background1" w:themeFillShade="F2"/>
          </w:tcPr>
          <w:p w14:paraId="7B06B75E" w14:textId="77777777" w:rsidR="008E3F79" w:rsidRPr="00FF7208" w:rsidRDefault="008E3F79" w:rsidP="006B7248">
            <w:pPr>
              <w:spacing w:after="0"/>
              <w:rPr>
                <w:rFonts w:eastAsia="Times New Roman" w:cs="Arial"/>
                <w:i/>
                <w:iCs/>
              </w:rPr>
            </w:pPr>
          </w:p>
        </w:tc>
      </w:tr>
      <w:tr w:rsidR="008E3F79" w:rsidRPr="00F05374" w14:paraId="1A0DA6C7" w14:textId="77777777" w:rsidTr="008E3F79">
        <w:trPr>
          <w:trHeight w:val="288"/>
          <w:jc w:val="center"/>
        </w:trPr>
        <w:tc>
          <w:tcPr>
            <w:tcW w:w="6082" w:type="dxa"/>
            <w:noWrap/>
            <w:hideMark/>
          </w:tcPr>
          <w:p w14:paraId="0C09A450" w14:textId="77777777" w:rsidR="008E3F79" w:rsidRPr="00F05374" w:rsidRDefault="008E3F79" w:rsidP="00F847FA">
            <w:pPr>
              <w:spacing w:after="0"/>
              <w:ind w:left="430" w:hanging="280"/>
              <w:rPr>
                <w:rFonts w:eastAsia="Times New Roman" w:cs="Arial"/>
              </w:rPr>
            </w:pPr>
            <w:r w:rsidRPr="00F05374">
              <w:rPr>
                <w:rFonts w:eastAsia="Times New Roman" w:cs="Arial"/>
              </w:rPr>
              <w:t>Providing Services for Students</w:t>
            </w:r>
          </w:p>
        </w:tc>
        <w:tc>
          <w:tcPr>
            <w:tcW w:w="2430" w:type="dxa"/>
          </w:tcPr>
          <w:p w14:paraId="0B88CC2E" w14:textId="77777777" w:rsidR="008E3F79" w:rsidRPr="00F05374" w:rsidRDefault="008E3F79" w:rsidP="006B7248">
            <w:pPr>
              <w:spacing w:after="0"/>
              <w:jc w:val="center"/>
              <w:rPr>
                <w:rFonts w:eastAsia="Times New Roman" w:cs="Arial"/>
              </w:rPr>
            </w:pPr>
            <w:r>
              <w:rPr>
                <w:rFonts w:cs="Arial"/>
                <w:color w:val="000000"/>
              </w:rPr>
              <w:t>12.1%</w:t>
            </w:r>
          </w:p>
        </w:tc>
      </w:tr>
      <w:tr w:rsidR="008E3F79" w:rsidRPr="00F05374" w14:paraId="648D22D5" w14:textId="77777777" w:rsidTr="008E3F79">
        <w:trPr>
          <w:trHeight w:val="288"/>
          <w:jc w:val="center"/>
        </w:trPr>
        <w:tc>
          <w:tcPr>
            <w:tcW w:w="6082" w:type="dxa"/>
            <w:noWrap/>
            <w:hideMark/>
          </w:tcPr>
          <w:p w14:paraId="18C3DE43" w14:textId="77777777" w:rsidR="008E3F79" w:rsidRPr="00F05374" w:rsidRDefault="008E3F79" w:rsidP="00F847FA">
            <w:pPr>
              <w:spacing w:after="0"/>
              <w:ind w:left="430" w:hanging="280"/>
              <w:rPr>
                <w:rFonts w:eastAsia="Times New Roman" w:cs="Arial"/>
              </w:rPr>
            </w:pPr>
            <w:r w:rsidRPr="00F05374">
              <w:rPr>
                <w:rFonts w:eastAsia="Times New Roman" w:cs="Arial"/>
              </w:rPr>
              <w:t>Assisting with Transportation Needs</w:t>
            </w:r>
          </w:p>
        </w:tc>
        <w:tc>
          <w:tcPr>
            <w:tcW w:w="2430" w:type="dxa"/>
          </w:tcPr>
          <w:p w14:paraId="026B2C3F" w14:textId="77777777" w:rsidR="008E3F79" w:rsidRPr="00F05374" w:rsidRDefault="008E3F79" w:rsidP="006B7248">
            <w:pPr>
              <w:spacing w:after="0"/>
              <w:jc w:val="center"/>
              <w:rPr>
                <w:rFonts w:eastAsia="Times New Roman" w:cs="Arial"/>
              </w:rPr>
            </w:pPr>
            <w:r>
              <w:rPr>
                <w:rFonts w:cs="Arial"/>
                <w:color w:val="000000"/>
              </w:rPr>
              <w:t>3.7%</w:t>
            </w:r>
          </w:p>
        </w:tc>
      </w:tr>
      <w:tr w:rsidR="008E3F79" w:rsidRPr="00F05374" w14:paraId="0ADDE53D" w14:textId="77777777" w:rsidTr="008E3F79">
        <w:trPr>
          <w:trHeight w:val="288"/>
          <w:jc w:val="center"/>
        </w:trPr>
        <w:tc>
          <w:tcPr>
            <w:tcW w:w="6082" w:type="dxa"/>
            <w:noWrap/>
            <w:hideMark/>
          </w:tcPr>
          <w:p w14:paraId="157E3D32" w14:textId="77777777" w:rsidR="008E3F79" w:rsidRPr="00F05374" w:rsidRDefault="008E3F79" w:rsidP="00F847FA">
            <w:pPr>
              <w:spacing w:after="0"/>
              <w:ind w:left="430" w:hanging="280"/>
              <w:rPr>
                <w:rFonts w:eastAsia="Times New Roman" w:cs="Arial"/>
              </w:rPr>
            </w:pPr>
            <w:r w:rsidRPr="00F05374">
              <w:rPr>
                <w:rFonts w:eastAsia="Times New Roman" w:cs="Arial"/>
              </w:rPr>
              <w:t>Providing Additional Financial Support</w:t>
            </w:r>
          </w:p>
        </w:tc>
        <w:tc>
          <w:tcPr>
            <w:tcW w:w="2430" w:type="dxa"/>
          </w:tcPr>
          <w:p w14:paraId="07275469" w14:textId="77777777" w:rsidR="008E3F79" w:rsidRPr="00F05374" w:rsidRDefault="008E3F79" w:rsidP="006B7248">
            <w:pPr>
              <w:spacing w:after="0"/>
              <w:jc w:val="center"/>
              <w:rPr>
                <w:rFonts w:eastAsia="Times New Roman" w:cs="Arial"/>
              </w:rPr>
            </w:pPr>
            <w:r>
              <w:rPr>
                <w:rFonts w:cs="Arial"/>
                <w:color w:val="000000"/>
              </w:rPr>
              <w:t>4.3%</w:t>
            </w:r>
          </w:p>
        </w:tc>
      </w:tr>
      <w:tr w:rsidR="008E3F79" w:rsidRPr="005C4BFA" w14:paraId="2AABF616" w14:textId="77777777" w:rsidTr="008E3F79">
        <w:trPr>
          <w:trHeight w:val="288"/>
          <w:jc w:val="center"/>
        </w:trPr>
        <w:tc>
          <w:tcPr>
            <w:tcW w:w="6082" w:type="dxa"/>
            <w:shd w:val="clear" w:color="auto" w:fill="D9D9D9" w:themeFill="background1" w:themeFillShade="D9"/>
            <w:noWrap/>
          </w:tcPr>
          <w:p w14:paraId="4F0AF160" w14:textId="6B869A99" w:rsidR="008E3F79" w:rsidRPr="005C4BFA" w:rsidRDefault="008E3F79" w:rsidP="006B7248">
            <w:pPr>
              <w:spacing w:after="0"/>
              <w:ind w:left="430" w:hanging="432"/>
              <w:rPr>
                <w:rFonts w:eastAsia="Times New Roman" w:cs="Arial"/>
                <w:b/>
                <w:bCs/>
              </w:rPr>
            </w:pPr>
            <w:r w:rsidRPr="005C4BFA">
              <w:rPr>
                <w:rFonts w:eastAsia="Times New Roman" w:cs="Arial"/>
                <w:b/>
                <w:bCs/>
              </w:rPr>
              <w:t>Total</w:t>
            </w:r>
            <w:r>
              <w:rPr>
                <w:rFonts w:eastAsia="Times New Roman" w:cs="Arial"/>
                <w:b/>
                <w:bCs/>
              </w:rPr>
              <w:t xml:space="preserve"> </w:t>
            </w:r>
            <w:r w:rsidRPr="00587FD1">
              <w:rPr>
                <w:rFonts w:eastAsia="Times New Roman" w:cs="Arial"/>
              </w:rPr>
              <w:t>(Count)</w:t>
            </w:r>
          </w:p>
        </w:tc>
        <w:tc>
          <w:tcPr>
            <w:tcW w:w="2430" w:type="dxa"/>
            <w:shd w:val="clear" w:color="auto" w:fill="D9D9D9" w:themeFill="background1" w:themeFillShade="D9"/>
          </w:tcPr>
          <w:p w14:paraId="71BE400C" w14:textId="5ADD3BA5" w:rsidR="008E3F79" w:rsidRPr="005C4BFA" w:rsidRDefault="008E3F79" w:rsidP="006B7248">
            <w:pPr>
              <w:spacing w:after="0"/>
              <w:jc w:val="center"/>
              <w:rPr>
                <w:rFonts w:cs="Arial"/>
                <w:b/>
                <w:bCs/>
                <w:color w:val="000000"/>
              </w:rPr>
            </w:pPr>
            <w:r w:rsidRPr="005C4BFA">
              <w:rPr>
                <w:rFonts w:cs="Arial"/>
                <w:b/>
                <w:bCs/>
                <w:color w:val="000000"/>
              </w:rPr>
              <w:t>348</w:t>
            </w:r>
          </w:p>
        </w:tc>
      </w:tr>
    </w:tbl>
    <w:p w14:paraId="0093A48C" w14:textId="18F6BFCD" w:rsidR="00EB6D4F" w:rsidRDefault="00EB6D4F" w:rsidP="00587FD1">
      <w:pPr>
        <w:pStyle w:val="SectionHeadings"/>
      </w:pPr>
      <w:bookmarkStart w:id="40" w:name="_Toc90632201"/>
      <w:r>
        <w:lastRenderedPageBreak/>
        <w:t>Conclusion</w:t>
      </w:r>
      <w:bookmarkEnd w:id="40"/>
    </w:p>
    <w:p w14:paraId="3C84ED8F" w14:textId="68530C24" w:rsidR="00533D9F" w:rsidRDefault="00B82566" w:rsidP="00200EF2">
      <w:r>
        <w:t xml:space="preserve">The SFY 2020-21 </w:t>
      </w:r>
      <w:r w:rsidR="00E02A99">
        <w:t xml:space="preserve">CSS collected feedback from DOR consumers who received services in SFY 2019-20. </w:t>
      </w:r>
      <w:r w:rsidR="00EA7A8F">
        <w:t xml:space="preserve">While there were fewer </w:t>
      </w:r>
      <w:r w:rsidR="0096598C">
        <w:t>surveys completed in SFY 2020-21</w:t>
      </w:r>
      <w:r w:rsidR="00EA7A8F">
        <w:t xml:space="preserve"> compared to previous years, the feedback</w:t>
      </w:r>
      <w:r w:rsidR="0096598C">
        <w:t xml:space="preserve"> received </w:t>
      </w:r>
      <w:r w:rsidR="00A80F6F">
        <w:t>was</w:t>
      </w:r>
      <w:r w:rsidR="00EA7A8F">
        <w:t xml:space="preserve"> still insightful</w:t>
      </w:r>
      <w:r w:rsidR="00A80F6F">
        <w:t xml:space="preserve">, </w:t>
      </w:r>
      <w:r w:rsidR="00EA7A8F">
        <w:t>informative</w:t>
      </w:r>
      <w:r w:rsidR="00A80F6F">
        <w:t>, and representative of DOR’s total consumer population</w:t>
      </w:r>
      <w:r w:rsidR="0096598C">
        <w:t>.</w:t>
      </w:r>
    </w:p>
    <w:p w14:paraId="44717EC1" w14:textId="4E3C9A54" w:rsidR="008F3D6B" w:rsidRDefault="00670C3A" w:rsidP="005730A4">
      <w:r>
        <w:t>Based on their overwhelmingly positive reviews</w:t>
      </w:r>
      <w:r w:rsidR="00200EF2">
        <w:t xml:space="preserve">, DOR consumers </w:t>
      </w:r>
      <w:r w:rsidR="00EA76CD">
        <w:t>were</w:t>
      </w:r>
      <w:r w:rsidR="00200EF2">
        <w:t xml:space="preserve"> satisfied with the services</w:t>
      </w:r>
      <w:r>
        <w:t xml:space="preserve"> they have received</w:t>
      </w:r>
      <w:r w:rsidR="00200EF2">
        <w:t xml:space="preserve"> from DOR and its providers.</w:t>
      </w:r>
      <w:r w:rsidR="0048488B">
        <w:t xml:space="preserve"> </w:t>
      </w:r>
      <w:r>
        <w:t>Moreover</w:t>
      </w:r>
      <w:r w:rsidR="0048488B">
        <w:t>, consumers were extremely satisfied with the respect they</w:t>
      </w:r>
      <w:r w:rsidR="00145646">
        <w:t xml:space="preserve"> ha</w:t>
      </w:r>
      <w:r w:rsidR="0048488B">
        <w:t>ve received from their DOR counselors and service providers.</w:t>
      </w:r>
      <w:r w:rsidR="008A28D3">
        <w:t xml:space="preserve"> </w:t>
      </w:r>
      <w:r w:rsidR="00B91264">
        <w:t>This</w:t>
      </w:r>
      <w:r w:rsidR="008A28D3">
        <w:t xml:space="preserve"> high</w:t>
      </w:r>
      <w:r>
        <w:t xml:space="preserve"> level of</w:t>
      </w:r>
      <w:r w:rsidR="00B91264">
        <w:t xml:space="preserve"> satisfaction with DOR was </w:t>
      </w:r>
      <w:r w:rsidR="00B01986">
        <w:t xml:space="preserve">reiterated </w:t>
      </w:r>
      <w:r w:rsidR="00BC69BA">
        <w:t>in</w:t>
      </w:r>
      <w:r w:rsidR="00B01986">
        <w:t xml:space="preserve"> the</w:t>
      </w:r>
      <w:r w:rsidR="00BC69BA">
        <w:t xml:space="preserve"> 122 </w:t>
      </w:r>
      <w:r w:rsidR="00B91264">
        <w:t>comments received</w:t>
      </w:r>
      <w:r w:rsidR="00BC69BA">
        <w:t xml:space="preserve"> </w:t>
      </w:r>
      <w:r w:rsidR="00B01986">
        <w:t xml:space="preserve">that were </w:t>
      </w:r>
      <w:r w:rsidR="000B6376">
        <w:t>praising</w:t>
      </w:r>
      <w:r w:rsidR="00B91264">
        <w:t xml:space="preserve"> DOR.</w:t>
      </w:r>
      <w:r w:rsidR="00E55813">
        <w:t xml:space="preserve"> </w:t>
      </w:r>
      <w:r w:rsidR="00771354">
        <w:t>On the other hand, satisfaction with i</w:t>
      </w:r>
      <w:r w:rsidR="00665AB1">
        <w:t>ncrease</w:t>
      </w:r>
      <w:r w:rsidR="00771354">
        <w:t>d</w:t>
      </w:r>
      <w:r w:rsidR="00665AB1">
        <w:t xml:space="preserve"> employment opportunities was rated the lowest</w:t>
      </w:r>
      <w:r w:rsidR="00771354">
        <w:t xml:space="preserve"> by unemployed consumers</w:t>
      </w:r>
      <w:r w:rsidR="00665AB1">
        <w:t xml:space="preserve"> but still considered </w:t>
      </w:r>
      <w:r w:rsidR="002F4642">
        <w:t xml:space="preserve">within the </w:t>
      </w:r>
      <w:r w:rsidR="00665AB1">
        <w:t>satisfied</w:t>
      </w:r>
      <w:r w:rsidR="00E55813">
        <w:t xml:space="preserve"> score</w:t>
      </w:r>
      <w:r w:rsidR="002F4642">
        <w:t xml:space="preserve"> range</w:t>
      </w:r>
      <w:r w:rsidR="00665AB1">
        <w:t>.</w:t>
      </w:r>
      <w:r w:rsidR="004C750C" w:rsidRPr="004C750C">
        <w:t xml:space="preserve"> </w:t>
      </w:r>
      <w:r w:rsidR="004C750C">
        <w:t>Interestingly, comparing satisfaction ratings by consumer demographics, such as district, age, disability type, or location did reveal some variations in satisfaction with different categories. However,</w:t>
      </w:r>
      <w:r w:rsidR="0067096D">
        <w:t xml:space="preserve"> consumer </w:t>
      </w:r>
      <w:r w:rsidR="004C750C">
        <w:t>demographics did not alter overall satisfaction</w:t>
      </w:r>
      <w:r w:rsidR="0067096D">
        <w:t xml:space="preserve"> scores</w:t>
      </w:r>
      <w:r w:rsidR="004C750C">
        <w:t>.</w:t>
      </w:r>
    </w:p>
    <w:p w14:paraId="5F227220" w14:textId="6FC6221B" w:rsidR="00714E5D" w:rsidRDefault="00E769C5" w:rsidP="005730A4">
      <w:r>
        <w:t xml:space="preserve">Another goal of the CSS </w:t>
      </w:r>
      <w:r w:rsidR="00FB509C">
        <w:t>was</w:t>
      </w:r>
      <w:r>
        <w:t xml:space="preserve"> to identify potential barriers that may impact </w:t>
      </w:r>
      <w:r w:rsidR="006403F2">
        <w:t>a consumer’s</w:t>
      </w:r>
      <w:r w:rsidR="00D6607C">
        <w:t xml:space="preserve"> accessibility and</w:t>
      </w:r>
      <w:r w:rsidR="00FB509C">
        <w:t xml:space="preserve"> satisfaction </w:t>
      </w:r>
      <w:r w:rsidR="006403F2">
        <w:t>with</w:t>
      </w:r>
      <w:r w:rsidR="00D6607C">
        <w:t xml:space="preserve"> DOR </w:t>
      </w:r>
      <w:r w:rsidR="006403F2">
        <w:t>services.</w:t>
      </w:r>
      <w:r w:rsidR="000A33B1">
        <w:t xml:space="preserve"> Most frequently, </w:t>
      </w:r>
      <w:r w:rsidR="00A91D4F">
        <w:t>DOR consumers reported b</w:t>
      </w:r>
      <w:r w:rsidR="00FB2F6A">
        <w:t xml:space="preserve">eing a student, still looking for employment, or needing additional assistance </w:t>
      </w:r>
      <w:r w:rsidR="0097556F">
        <w:t>as the cause for their unemployment</w:t>
      </w:r>
      <w:r w:rsidR="00FB2F6A">
        <w:t xml:space="preserve">. </w:t>
      </w:r>
      <w:r w:rsidR="00D118B9">
        <w:t xml:space="preserve">Additionally, </w:t>
      </w:r>
      <w:r w:rsidR="0067096D">
        <w:t>s</w:t>
      </w:r>
      <w:r w:rsidR="009A7E7E">
        <w:t xml:space="preserve">urvey participants who reported </w:t>
      </w:r>
      <w:r w:rsidR="00D6607C">
        <w:t>at least one</w:t>
      </w:r>
      <w:r w:rsidR="009A7E7E">
        <w:t xml:space="preserve"> unemployment reason were</w:t>
      </w:r>
      <w:r w:rsidR="00D6607C">
        <w:t xml:space="preserve"> also</w:t>
      </w:r>
      <w:r w:rsidR="009A7E7E">
        <w:t xml:space="preserve"> more likely to have lower satisfaction scores overall and for each category. </w:t>
      </w:r>
    </w:p>
    <w:p w14:paraId="47A1D747" w14:textId="70B76747" w:rsidR="00024B2F" w:rsidRDefault="00024B2F" w:rsidP="005730A4">
      <w:r>
        <w:t xml:space="preserve">To </w:t>
      </w:r>
      <w:r w:rsidR="00AB0830">
        <w:t xml:space="preserve">further </w:t>
      </w:r>
      <w:r>
        <w:t xml:space="preserve">explore the satisfaction results by </w:t>
      </w:r>
      <w:r w:rsidR="007549C0">
        <w:t xml:space="preserve">the </w:t>
      </w:r>
      <w:r>
        <w:t>DOR district, consumer disability type,</w:t>
      </w:r>
      <w:r w:rsidR="0086707B">
        <w:t xml:space="preserve"> location, or age please refer to the Consumer Satisfaction Survey Dashboard</w:t>
      </w:r>
      <w:r w:rsidR="008D05CA">
        <w:t xml:space="preserve">. This interactive dashboard will be </w:t>
      </w:r>
      <w:r w:rsidR="009B0605">
        <w:t>available through the DOR’s intra</w:t>
      </w:r>
      <w:r w:rsidR="007549C0">
        <w:t>net domain via the Planning Unit.</w:t>
      </w:r>
    </w:p>
    <w:sectPr w:rsidR="00024B2F" w:rsidSect="001F5D5F">
      <w:headerReference w:type="default" r:id="rId21"/>
      <w:footerReference w:type="default" r:id="rId22"/>
      <w:footerReference w:type="first" r:id="rId23"/>
      <w:pgSz w:w="12240" w:h="15840" w:code="1"/>
      <w:pgMar w:top="1080" w:right="720" w:bottom="1080" w:left="72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448E2" w14:textId="77777777" w:rsidR="00490A6C" w:rsidRDefault="00490A6C" w:rsidP="003A3021">
      <w:pPr>
        <w:spacing w:after="0"/>
      </w:pPr>
      <w:r>
        <w:separator/>
      </w:r>
    </w:p>
  </w:endnote>
  <w:endnote w:type="continuationSeparator" w:id="0">
    <w:p w14:paraId="442C1778" w14:textId="77777777" w:rsidR="00490A6C" w:rsidRDefault="00490A6C" w:rsidP="003A30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6FA1" w14:textId="78033A88" w:rsidR="00F41953" w:rsidRPr="007D17C5" w:rsidRDefault="007D17C5" w:rsidP="006E3C13">
    <w:pPr>
      <w:pStyle w:val="Footer"/>
      <w:jc w:val="right"/>
      <w:rPr>
        <w:i/>
        <w:iCs/>
        <w:color w:val="595959" w:themeColor="text1" w:themeTint="A6"/>
        <w:sz w:val="24"/>
        <w:szCs w:val="24"/>
      </w:rPr>
    </w:pPr>
    <w:r w:rsidRPr="007D17C5">
      <w:rPr>
        <w:i/>
        <w:iCs/>
        <w:color w:val="595959" w:themeColor="text1" w:themeTint="A6"/>
        <w:sz w:val="24"/>
        <w:szCs w:val="24"/>
      </w:rPr>
      <w:t xml:space="preserve">Executive Summary </w:t>
    </w:r>
    <w:r w:rsidR="00515EDB" w:rsidRPr="007D17C5">
      <w:rPr>
        <w:i/>
        <w:iCs/>
        <w:color w:val="595959" w:themeColor="text1" w:themeTint="A6"/>
        <w:sz w:val="24"/>
        <w:szCs w:val="24"/>
      </w:rPr>
      <w:t>|</w:t>
    </w:r>
    <w:r w:rsidR="005D43C4" w:rsidRPr="007D17C5">
      <w:rPr>
        <w:i/>
        <w:iCs/>
        <w:color w:val="595959" w:themeColor="text1" w:themeTint="A6"/>
        <w:sz w:val="24"/>
        <w:szCs w:val="24"/>
      </w:rPr>
      <w:t xml:space="preserve"> </w:t>
    </w:r>
    <w:r w:rsidR="006F7571" w:rsidRPr="007D17C5">
      <w:rPr>
        <w:i/>
        <w:iCs/>
        <w:color w:val="595959" w:themeColor="text1" w:themeTint="A6"/>
        <w:sz w:val="24"/>
        <w:szCs w:val="24"/>
      </w:rPr>
      <w:t>PAGE</w:t>
    </w:r>
    <w:r w:rsidR="00F41953" w:rsidRPr="007D17C5">
      <w:rPr>
        <w:i/>
        <w:iCs/>
        <w:color w:val="595959" w:themeColor="text1" w:themeTint="A6"/>
        <w:sz w:val="24"/>
        <w:szCs w:val="24"/>
      </w:rPr>
      <w:t xml:space="preserve"> </w:t>
    </w:r>
    <w:r w:rsidR="00F41953" w:rsidRPr="007D17C5">
      <w:rPr>
        <w:i/>
        <w:iCs/>
        <w:color w:val="595959" w:themeColor="text1" w:themeTint="A6"/>
        <w:sz w:val="24"/>
        <w:szCs w:val="24"/>
      </w:rPr>
      <w:fldChar w:fldCharType="begin"/>
    </w:r>
    <w:r w:rsidR="00F41953" w:rsidRPr="007D17C5">
      <w:rPr>
        <w:i/>
        <w:iCs/>
        <w:color w:val="595959" w:themeColor="text1" w:themeTint="A6"/>
        <w:sz w:val="24"/>
        <w:szCs w:val="24"/>
      </w:rPr>
      <w:instrText xml:space="preserve"> PAGE   \* MERGEFORMAT </w:instrText>
    </w:r>
    <w:r w:rsidR="00F41953" w:rsidRPr="007D17C5">
      <w:rPr>
        <w:i/>
        <w:iCs/>
        <w:color w:val="595959" w:themeColor="text1" w:themeTint="A6"/>
        <w:sz w:val="24"/>
        <w:szCs w:val="24"/>
      </w:rPr>
      <w:fldChar w:fldCharType="separate"/>
    </w:r>
    <w:r w:rsidR="00F41953" w:rsidRPr="007D17C5">
      <w:rPr>
        <w:i/>
        <w:iCs/>
        <w:noProof/>
        <w:color w:val="595959" w:themeColor="text1" w:themeTint="A6"/>
        <w:sz w:val="24"/>
        <w:szCs w:val="24"/>
      </w:rPr>
      <w:t>1</w:t>
    </w:r>
    <w:r w:rsidR="00F41953" w:rsidRPr="007D17C5">
      <w:rPr>
        <w:i/>
        <w:iCs/>
        <w:noProof/>
        <w:color w:val="595959" w:themeColor="text1" w:themeTint="A6"/>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57985"/>
      <w:docPartObj>
        <w:docPartGallery w:val="Page Numbers (Bottom of Page)"/>
        <w:docPartUnique/>
      </w:docPartObj>
    </w:sdtPr>
    <w:sdtEndPr>
      <w:rPr>
        <w:noProof/>
      </w:rPr>
    </w:sdtEndPr>
    <w:sdtContent>
      <w:p w14:paraId="10BA005C" w14:textId="31CE2358" w:rsidR="00A53F96" w:rsidRDefault="00A53F9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972A" w14:textId="77777777" w:rsidR="00490A6C" w:rsidRDefault="00490A6C" w:rsidP="003A3021">
      <w:pPr>
        <w:spacing w:after="0"/>
      </w:pPr>
      <w:r>
        <w:separator/>
      </w:r>
    </w:p>
  </w:footnote>
  <w:footnote w:type="continuationSeparator" w:id="0">
    <w:p w14:paraId="0FED3685" w14:textId="77777777" w:rsidR="00490A6C" w:rsidRDefault="00490A6C" w:rsidP="003A30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2C74" w14:textId="12CCF96A" w:rsidR="006E3C13" w:rsidRPr="006F7571" w:rsidRDefault="006E3C13" w:rsidP="006E3C13">
    <w:pPr>
      <w:pStyle w:val="Header"/>
      <w:jc w:val="center"/>
      <w:rPr>
        <w:i/>
        <w:iCs/>
        <w:color w:val="595959" w:themeColor="text1" w:themeTint="A6"/>
        <w:sz w:val="24"/>
        <w:szCs w:val="24"/>
      </w:rPr>
    </w:pPr>
    <w:r>
      <w:rPr>
        <w:i/>
        <w:iCs/>
        <w:color w:val="595959" w:themeColor="text1" w:themeTint="A6"/>
        <w:sz w:val="24"/>
        <w:szCs w:val="24"/>
      </w:rPr>
      <w:t>SFY 2020-21 CONSUMER SATISFACTION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416"/>
    <w:multiLevelType w:val="hybridMultilevel"/>
    <w:tmpl w:val="89E46F82"/>
    <w:lvl w:ilvl="0" w:tplc="5E2ADA9A">
      <w:start w:val="1"/>
      <w:numFmt w:val="upperRoman"/>
      <w:pStyle w:val="SectionSub-Headings"/>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2BE42A0"/>
    <w:multiLevelType w:val="hybridMultilevel"/>
    <w:tmpl w:val="7FD81D14"/>
    <w:lvl w:ilvl="0" w:tplc="ECB8CED0">
      <w:start w:val="1"/>
      <w:numFmt w:val="upperLetter"/>
      <w:pStyle w:val="SectionSub-HeadingsTopic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95CF0"/>
    <w:multiLevelType w:val="hybridMultilevel"/>
    <w:tmpl w:val="D47408A4"/>
    <w:lvl w:ilvl="0" w:tplc="FA5C34B4">
      <w:start w:val="1"/>
      <w:numFmt w:val="decimal"/>
      <w:pStyle w:val="TableFootnotes"/>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4E5E3F"/>
    <w:multiLevelType w:val="hybridMultilevel"/>
    <w:tmpl w:val="2096A5F2"/>
    <w:lvl w:ilvl="0" w:tplc="D7DA3F76">
      <w:start w:val="1"/>
      <w:numFmt w:val="decimal"/>
      <w:pStyle w:val="FigureTitle"/>
      <w:lvlText w:val="Figure %1."/>
      <w:lvlJc w:val="left"/>
      <w:pPr>
        <w:ind w:left="990" w:hanging="360"/>
      </w:pPr>
      <w:rPr>
        <w:rFonts w:ascii="Arial" w:hAnsi="Arial" w:hint="default"/>
        <w:b/>
        <w:i w:val="0"/>
        <w:caps/>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0E16"/>
    <w:multiLevelType w:val="hybridMultilevel"/>
    <w:tmpl w:val="1F846E96"/>
    <w:lvl w:ilvl="0" w:tplc="75A0DFB0">
      <w:start w:val="1"/>
      <w:numFmt w:val="decimal"/>
      <w:pStyle w:val="TableTitle"/>
      <w:lvlText w:val="Table %1."/>
      <w:lvlJc w:val="left"/>
      <w:pPr>
        <w:ind w:left="360" w:hanging="360"/>
      </w:pPr>
      <w:rPr>
        <w:rFonts w:ascii="Arial" w:hAnsi="Arial" w:hint="default"/>
        <w:b/>
        <w:i w:val="0"/>
        <w:caps/>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46B28"/>
    <w:multiLevelType w:val="hybridMultilevel"/>
    <w:tmpl w:val="94CCE92C"/>
    <w:lvl w:ilvl="0" w:tplc="C5F4BF0A">
      <w:start w:val="1"/>
      <w:numFmt w:val="decimal"/>
      <w:lvlText w:val="Table %1 Footnotes:"/>
      <w:lvlJc w:val="left"/>
      <w:pPr>
        <w:ind w:left="1800" w:hanging="360"/>
      </w:pPr>
      <w:rPr>
        <w:rFonts w:ascii="Arial" w:hAnsi="Arial" w:hint="default"/>
        <w:b/>
        <w:i/>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4833E24"/>
    <w:multiLevelType w:val="hybridMultilevel"/>
    <w:tmpl w:val="F620B3E4"/>
    <w:lvl w:ilvl="0" w:tplc="E4CE54D4">
      <w:start w:val="1"/>
      <w:numFmt w:val="decimal"/>
      <w:pStyle w:val="FigureFootnotes"/>
      <w:lvlText w:val="Figure %1 Description: "/>
      <w:lvlJc w:val="left"/>
      <w:pPr>
        <w:ind w:left="2700" w:hanging="360"/>
      </w:pPr>
      <w:rPr>
        <w:rFonts w:ascii="Arial" w:hAnsi="Arial" w:hint="default"/>
        <w:b/>
        <w:i/>
        <w:iCs/>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1"/>
    </w:lvlOverride>
  </w:num>
  <w:num w:numId="3">
    <w:abstractNumId w:val="1"/>
  </w:num>
  <w:num w:numId="4">
    <w:abstractNumId w:val="4"/>
  </w:num>
  <w:num w:numId="5">
    <w:abstractNumId w:val="3"/>
  </w:num>
  <w:num w:numId="6">
    <w:abstractNumId w:val="6"/>
  </w:num>
  <w:num w:numId="7">
    <w:abstractNumId w:val="1"/>
    <w:lvlOverride w:ilvl="0">
      <w:startOverride w:val="1"/>
    </w:lvlOverride>
  </w:num>
  <w:num w:numId="8">
    <w:abstractNumId w:val="1"/>
    <w:lvlOverride w:ilvl="0">
      <w:startOverride w:val="1"/>
    </w:lvlOverride>
  </w:num>
  <w:num w:numId="9">
    <w:abstractNumId w:val="5"/>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5"/>
    <w:lvlOverride w:ilvl="0">
      <w:startOverride w:val="20"/>
    </w:lvlOverride>
  </w:num>
  <w:num w:numId="18">
    <w:abstractNumId w:val="2"/>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0457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021"/>
    <w:rsid w:val="0000013C"/>
    <w:rsid w:val="00001D11"/>
    <w:rsid w:val="00002270"/>
    <w:rsid w:val="00002B6A"/>
    <w:rsid w:val="00002E0D"/>
    <w:rsid w:val="0000362C"/>
    <w:rsid w:val="000036CA"/>
    <w:rsid w:val="00004A12"/>
    <w:rsid w:val="00004DF5"/>
    <w:rsid w:val="0000512F"/>
    <w:rsid w:val="00005BA1"/>
    <w:rsid w:val="000079C9"/>
    <w:rsid w:val="00007A07"/>
    <w:rsid w:val="000102D2"/>
    <w:rsid w:val="00010350"/>
    <w:rsid w:val="00010A9C"/>
    <w:rsid w:val="00010C06"/>
    <w:rsid w:val="00010DD3"/>
    <w:rsid w:val="00011D3C"/>
    <w:rsid w:val="0001352E"/>
    <w:rsid w:val="00013CE2"/>
    <w:rsid w:val="00014331"/>
    <w:rsid w:val="000170FB"/>
    <w:rsid w:val="00020A12"/>
    <w:rsid w:val="000217DD"/>
    <w:rsid w:val="00021E31"/>
    <w:rsid w:val="0002255D"/>
    <w:rsid w:val="000226BE"/>
    <w:rsid w:val="00022B24"/>
    <w:rsid w:val="000231A1"/>
    <w:rsid w:val="0002453E"/>
    <w:rsid w:val="0002484E"/>
    <w:rsid w:val="00024B2F"/>
    <w:rsid w:val="000253A2"/>
    <w:rsid w:val="000254CC"/>
    <w:rsid w:val="0002559F"/>
    <w:rsid w:val="00025D28"/>
    <w:rsid w:val="00026141"/>
    <w:rsid w:val="00026188"/>
    <w:rsid w:val="000262A5"/>
    <w:rsid w:val="000262F9"/>
    <w:rsid w:val="00026618"/>
    <w:rsid w:val="00026655"/>
    <w:rsid w:val="00026B2C"/>
    <w:rsid w:val="00026FCF"/>
    <w:rsid w:val="00027627"/>
    <w:rsid w:val="00027CCF"/>
    <w:rsid w:val="00030A25"/>
    <w:rsid w:val="000318E2"/>
    <w:rsid w:val="00031C68"/>
    <w:rsid w:val="00032B48"/>
    <w:rsid w:val="000342FB"/>
    <w:rsid w:val="0003444B"/>
    <w:rsid w:val="0003493E"/>
    <w:rsid w:val="00034E0B"/>
    <w:rsid w:val="00035C2C"/>
    <w:rsid w:val="000362D9"/>
    <w:rsid w:val="00036D28"/>
    <w:rsid w:val="00036E65"/>
    <w:rsid w:val="00037826"/>
    <w:rsid w:val="000415A1"/>
    <w:rsid w:val="00041D1E"/>
    <w:rsid w:val="0004213C"/>
    <w:rsid w:val="00042210"/>
    <w:rsid w:val="00042DC3"/>
    <w:rsid w:val="00043E04"/>
    <w:rsid w:val="00044940"/>
    <w:rsid w:val="00044976"/>
    <w:rsid w:val="00044D0C"/>
    <w:rsid w:val="00045342"/>
    <w:rsid w:val="00045D83"/>
    <w:rsid w:val="000462C4"/>
    <w:rsid w:val="00046636"/>
    <w:rsid w:val="00046682"/>
    <w:rsid w:val="00046738"/>
    <w:rsid w:val="00047C29"/>
    <w:rsid w:val="0005040E"/>
    <w:rsid w:val="00050AAA"/>
    <w:rsid w:val="000516B2"/>
    <w:rsid w:val="00051C02"/>
    <w:rsid w:val="00051D20"/>
    <w:rsid w:val="00052826"/>
    <w:rsid w:val="00052DEB"/>
    <w:rsid w:val="000531D6"/>
    <w:rsid w:val="000539F3"/>
    <w:rsid w:val="00053E4A"/>
    <w:rsid w:val="00053F4F"/>
    <w:rsid w:val="00054037"/>
    <w:rsid w:val="00054232"/>
    <w:rsid w:val="0005448F"/>
    <w:rsid w:val="00054B7E"/>
    <w:rsid w:val="00054BB0"/>
    <w:rsid w:val="00055AF8"/>
    <w:rsid w:val="00055C96"/>
    <w:rsid w:val="00056230"/>
    <w:rsid w:val="00056A4F"/>
    <w:rsid w:val="00057760"/>
    <w:rsid w:val="000579F3"/>
    <w:rsid w:val="00060BCA"/>
    <w:rsid w:val="00061277"/>
    <w:rsid w:val="00061AE2"/>
    <w:rsid w:val="00061D1F"/>
    <w:rsid w:val="00061DA7"/>
    <w:rsid w:val="00061E3F"/>
    <w:rsid w:val="00061FB4"/>
    <w:rsid w:val="00062428"/>
    <w:rsid w:val="00062488"/>
    <w:rsid w:val="0006332A"/>
    <w:rsid w:val="00063BB9"/>
    <w:rsid w:val="00063CC3"/>
    <w:rsid w:val="00064551"/>
    <w:rsid w:val="00065FC4"/>
    <w:rsid w:val="000704BF"/>
    <w:rsid w:val="000716DB"/>
    <w:rsid w:val="000727E9"/>
    <w:rsid w:val="00074A17"/>
    <w:rsid w:val="000754C4"/>
    <w:rsid w:val="000755D8"/>
    <w:rsid w:val="00075986"/>
    <w:rsid w:val="00075F30"/>
    <w:rsid w:val="00075F85"/>
    <w:rsid w:val="00076710"/>
    <w:rsid w:val="00076B6A"/>
    <w:rsid w:val="00077F8F"/>
    <w:rsid w:val="00080492"/>
    <w:rsid w:val="00080DB4"/>
    <w:rsid w:val="00081014"/>
    <w:rsid w:val="0008121D"/>
    <w:rsid w:val="00081734"/>
    <w:rsid w:val="0008216D"/>
    <w:rsid w:val="0008267A"/>
    <w:rsid w:val="0008267E"/>
    <w:rsid w:val="0008290D"/>
    <w:rsid w:val="00082CDA"/>
    <w:rsid w:val="00082E39"/>
    <w:rsid w:val="000836C2"/>
    <w:rsid w:val="00083BBA"/>
    <w:rsid w:val="00083EC7"/>
    <w:rsid w:val="00083F25"/>
    <w:rsid w:val="00084F2A"/>
    <w:rsid w:val="00084F76"/>
    <w:rsid w:val="00085415"/>
    <w:rsid w:val="00085D9A"/>
    <w:rsid w:val="000865D3"/>
    <w:rsid w:val="0008695F"/>
    <w:rsid w:val="00087221"/>
    <w:rsid w:val="00087369"/>
    <w:rsid w:val="00090197"/>
    <w:rsid w:val="000902B0"/>
    <w:rsid w:val="00091424"/>
    <w:rsid w:val="0009248E"/>
    <w:rsid w:val="0009323D"/>
    <w:rsid w:val="00093670"/>
    <w:rsid w:val="00094227"/>
    <w:rsid w:val="0009496B"/>
    <w:rsid w:val="00094E37"/>
    <w:rsid w:val="0009639F"/>
    <w:rsid w:val="000965EB"/>
    <w:rsid w:val="0009667D"/>
    <w:rsid w:val="00097469"/>
    <w:rsid w:val="00097729"/>
    <w:rsid w:val="00097B16"/>
    <w:rsid w:val="00097D81"/>
    <w:rsid w:val="000A0B06"/>
    <w:rsid w:val="000A1679"/>
    <w:rsid w:val="000A170B"/>
    <w:rsid w:val="000A1FE2"/>
    <w:rsid w:val="000A29AE"/>
    <w:rsid w:val="000A2AFB"/>
    <w:rsid w:val="000A33B1"/>
    <w:rsid w:val="000A37D6"/>
    <w:rsid w:val="000A3A6C"/>
    <w:rsid w:val="000A3B14"/>
    <w:rsid w:val="000A3C74"/>
    <w:rsid w:val="000A3DDD"/>
    <w:rsid w:val="000A4BD6"/>
    <w:rsid w:val="000A4E2B"/>
    <w:rsid w:val="000A5AEB"/>
    <w:rsid w:val="000A5D19"/>
    <w:rsid w:val="000A6179"/>
    <w:rsid w:val="000A6434"/>
    <w:rsid w:val="000A6886"/>
    <w:rsid w:val="000A68D7"/>
    <w:rsid w:val="000A6A36"/>
    <w:rsid w:val="000A7054"/>
    <w:rsid w:val="000A70D2"/>
    <w:rsid w:val="000A7287"/>
    <w:rsid w:val="000B01C7"/>
    <w:rsid w:val="000B0CCE"/>
    <w:rsid w:val="000B10E2"/>
    <w:rsid w:val="000B17DA"/>
    <w:rsid w:val="000B46E3"/>
    <w:rsid w:val="000B486C"/>
    <w:rsid w:val="000B4DE2"/>
    <w:rsid w:val="000B5E6C"/>
    <w:rsid w:val="000B6101"/>
    <w:rsid w:val="000B6283"/>
    <w:rsid w:val="000B6376"/>
    <w:rsid w:val="000B66DE"/>
    <w:rsid w:val="000B6803"/>
    <w:rsid w:val="000B6978"/>
    <w:rsid w:val="000B7497"/>
    <w:rsid w:val="000B793B"/>
    <w:rsid w:val="000C08E9"/>
    <w:rsid w:val="000C0D7B"/>
    <w:rsid w:val="000C1025"/>
    <w:rsid w:val="000C1FA7"/>
    <w:rsid w:val="000C3120"/>
    <w:rsid w:val="000C341B"/>
    <w:rsid w:val="000C3A33"/>
    <w:rsid w:val="000C4241"/>
    <w:rsid w:val="000C4781"/>
    <w:rsid w:val="000C4984"/>
    <w:rsid w:val="000C4B9A"/>
    <w:rsid w:val="000C50AA"/>
    <w:rsid w:val="000C528C"/>
    <w:rsid w:val="000C6094"/>
    <w:rsid w:val="000C6A14"/>
    <w:rsid w:val="000C6A4E"/>
    <w:rsid w:val="000C7365"/>
    <w:rsid w:val="000C7384"/>
    <w:rsid w:val="000C7553"/>
    <w:rsid w:val="000C756E"/>
    <w:rsid w:val="000C7693"/>
    <w:rsid w:val="000D00A7"/>
    <w:rsid w:val="000D0B91"/>
    <w:rsid w:val="000D18DD"/>
    <w:rsid w:val="000D194B"/>
    <w:rsid w:val="000D1973"/>
    <w:rsid w:val="000D20F7"/>
    <w:rsid w:val="000D2AE6"/>
    <w:rsid w:val="000D3DC6"/>
    <w:rsid w:val="000D4028"/>
    <w:rsid w:val="000D4097"/>
    <w:rsid w:val="000D43AB"/>
    <w:rsid w:val="000D4765"/>
    <w:rsid w:val="000D4CDC"/>
    <w:rsid w:val="000D50F1"/>
    <w:rsid w:val="000D5970"/>
    <w:rsid w:val="000D5AD7"/>
    <w:rsid w:val="000D5BD3"/>
    <w:rsid w:val="000D67BD"/>
    <w:rsid w:val="000D6B8F"/>
    <w:rsid w:val="000D72EC"/>
    <w:rsid w:val="000D7583"/>
    <w:rsid w:val="000D7626"/>
    <w:rsid w:val="000D76EC"/>
    <w:rsid w:val="000D7B60"/>
    <w:rsid w:val="000D7B9F"/>
    <w:rsid w:val="000E0174"/>
    <w:rsid w:val="000E1A91"/>
    <w:rsid w:val="000E1FD2"/>
    <w:rsid w:val="000E213B"/>
    <w:rsid w:val="000E3501"/>
    <w:rsid w:val="000E3F71"/>
    <w:rsid w:val="000E49B5"/>
    <w:rsid w:val="000E4ABB"/>
    <w:rsid w:val="000E568E"/>
    <w:rsid w:val="000E65D6"/>
    <w:rsid w:val="000E666A"/>
    <w:rsid w:val="000E71D9"/>
    <w:rsid w:val="000E77F8"/>
    <w:rsid w:val="000E781B"/>
    <w:rsid w:val="000E781E"/>
    <w:rsid w:val="000E7C84"/>
    <w:rsid w:val="000E7CDE"/>
    <w:rsid w:val="000F00A2"/>
    <w:rsid w:val="000F10C8"/>
    <w:rsid w:val="000F239F"/>
    <w:rsid w:val="000F331E"/>
    <w:rsid w:val="000F35A9"/>
    <w:rsid w:val="000F46E5"/>
    <w:rsid w:val="000F5D2A"/>
    <w:rsid w:val="000F62A7"/>
    <w:rsid w:val="000F657A"/>
    <w:rsid w:val="000F662A"/>
    <w:rsid w:val="000F6DA3"/>
    <w:rsid w:val="000F7213"/>
    <w:rsid w:val="000F7CC7"/>
    <w:rsid w:val="0010012A"/>
    <w:rsid w:val="00100494"/>
    <w:rsid w:val="00100834"/>
    <w:rsid w:val="00100B60"/>
    <w:rsid w:val="00100C57"/>
    <w:rsid w:val="001011AB"/>
    <w:rsid w:val="00101366"/>
    <w:rsid w:val="00101FAC"/>
    <w:rsid w:val="00102025"/>
    <w:rsid w:val="00102399"/>
    <w:rsid w:val="0010256E"/>
    <w:rsid w:val="00102600"/>
    <w:rsid w:val="00102608"/>
    <w:rsid w:val="001027D2"/>
    <w:rsid w:val="001035AA"/>
    <w:rsid w:val="00103BAE"/>
    <w:rsid w:val="00104457"/>
    <w:rsid w:val="0010468A"/>
    <w:rsid w:val="00104FBE"/>
    <w:rsid w:val="0010509A"/>
    <w:rsid w:val="0010523C"/>
    <w:rsid w:val="001057E5"/>
    <w:rsid w:val="00105991"/>
    <w:rsid w:val="00105F7E"/>
    <w:rsid w:val="00107333"/>
    <w:rsid w:val="001077D0"/>
    <w:rsid w:val="00107B57"/>
    <w:rsid w:val="00107C77"/>
    <w:rsid w:val="00107E2C"/>
    <w:rsid w:val="00110714"/>
    <w:rsid w:val="00110E24"/>
    <w:rsid w:val="001112EE"/>
    <w:rsid w:val="0011131D"/>
    <w:rsid w:val="00111A85"/>
    <w:rsid w:val="00111AAA"/>
    <w:rsid w:val="00111B90"/>
    <w:rsid w:val="001125F5"/>
    <w:rsid w:val="00112F80"/>
    <w:rsid w:val="00113A0E"/>
    <w:rsid w:val="00113ACC"/>
    <w:rsid w:val="00114B2F"/>
    <w:rsid w:val="00114B3E"/>
    <w:rsid w:val="00114E8D"/>
    <w:rsid w:val="0011507E"/>
    <w:rsid w:val="0011520F"/>
    <w:rsid w:val="00115E69"/>
    <w:rsid w:val="0011760E"/>
    <w:rsid w:val="00120323"/>
    <w:rsid w:val="00120DFB"/>
    <w:rsid w:val="00121375"/>
    <w:rsid w:val="001224EC"/>
    <w:rsid w:val="00122A27"/>
    <w:rsid w:val="00123068"/>
    <w:rsid w:val="001237AE"/>
    <w:rsid w:val="001237B9"/>
    <w:rsid w:val="00123F20"/>
    <w:rsid w:val="00124528"/>
    <w:rsid w:val="0012474E"/>
    <w:rsid w:val="00124AD8"/>
    <w:rsid w:val="00124E96"/>
    <w:rsid w:val="00124F22"/>
    <w:rsid w:val="001259AE"/>
    <w:rsid w:val="001259EB"/>
    <w:rsid w:val="00125AA6"/>
    <w:rsid w:val="00126103"/>
    <w:rsid w:val="001269F9"/>
    <w:rsid w:val="00126E50"/>
    <w:rsid w:val="00127122"/>
    <w:rsid w:val="00127374"/>
    <w:rsid w:val="00132313"/>
    <w:rsid w:val="001325EB"/>
    <w:rsid w:val="00132B0B"/>
    <w:rsid w:val="00132E07"/>
    <w:rsid w:val="0013341E"/>
    <w:rsid w:val="00133B5D"/>
    <w:rsid w:val="00133C22"/>
    <w:rsid w:val="00133DE3"/>
    <w:rsid w:val="001352E9"/>
    <w:rsid w:val="0013545E"/>
    <w:rsid w:val="00135D34"/>
    <w:rsid w:val="001363CD"/>
    <w:rsid w:val="0013665B"/>
    <w:rsid w:val="00136ADC"/>
    <w:rsid w:val="00136E58"/>
    <w:rsid w:val="00136EEB"/>
    <w:rsid w:val="00137021"/>
    <w:rsid w:val="00137FA7"/>
    <w:rsid w:val="00141795"/>
    <w:rsid w:val="00141FC3"/>
    <w:rsid w:val="001426A7"/>
    <w:rsid w:val="001426D8"/>
    <w:rsid w:val="00143052"/>
    <w:rsid w:val="00143D6F"/>
    <w:rsid w:val="00143F53"/>
    <w:rsid w:val="00144B78"/>
    <w:rsid w:val="00144B95"/>
    <w:rsid w:val="00145646"/>
    <w:rsid w:val="00146971"/>
    <w:rsid w:val="00146C01"/>
    <w:rsid w:val="00147136"/>
    <w:rsid w:val="0015006C"/>
    <w:rsid w:val="00150C6F"/>
    <w:rsid w:val="0015149F"/>
    <w:rsid w:val="00151ED0"/>
    <w:rsid w:val="0015294B"/>
    <w:rsid w:val="001529BD"/>
    <w:rsid w:val="00153011"/>
    <w:rsid w:val="00153603"/>
    <w:rsid w:val="00153667"/>
    <w:rsid w:val="0015383C"/>
    <w:rsid w:val="00153B34"/>
    <w:rsid w:val="00153B46"/>
    <w:rsid w:val="00154722"/>
    <w:rsid w:val="0015584D"/>
    <w:rsid w:val="00155FBE"/>
    <w:rsid w:val="00156FF1"/>
    <w:rsid w:val="001573F9"/>
    <w:rsid w:val="00157602"/>
    <w:rsid w:val="00160A25"/>
    <w:rsid w:val="00160AA6"/>
    <w:rsid w:val="00160AB5"/>
    <w:rsid w:val="00161B81"/>
    <w:rsid w:val="0016222F"/>
    <w:rsid w:val="001628DB"/>
    <w:rsid w:val="001631D1"/>
    <w:rsid w:val="00163C4B"/>
    <w:rsid w:val="00164A0B"/>
    <w:rsid w:val="00164D6E"/>
    <w:rsid w:val="0016516E"/>
    <w:rsid w:val="001664E5"/>
    <w:rsid w:val="00166716"/>
    <w:rsid w:val="00166B7D"/>
    <w:rsid w:val="00166ED8"/>
    <w:rsid w:val="00167837"/>
    <w:rsid w:val="001705F8"/>
    <w:rsid w:val="0017119F"/>
    <w:rsid w:val="00171289"/>
    <w:rsid w:val="001717B1"/>
    <w:rsid w:val="00171A78"/>
    <w:rsid w:val="001721BD"/>
    <w:rsid w:val="0017285C"/>
    <w:rsid w:val="00172ACD"/>
    <w:rsid w:val="00173AA6"/>
    <w:rsid w:val="001740A1"/>
    <w:rsid w:val="0017503A"/>
    <w:rsid w:val="00175737"/>
    <w:rsid w:val="00175A68"/>
    <w:rsid w:val="001761F1"/>
    <w:rsid w:val="00176BBF"/>
    <w:rsid w:val="00177055"/>
    <w:rsid w:val="001771B8"/>
    <w:rsid w:val="001772FF"/>
    <w:rsid w:val="001778B1"/>
    <w:rsid w:val="00177A00"/>
    <w:rsid w:val="00180639"/>
    <w:rsid w:val="001806BB"/>
    <w:rsid w:val="00180AA1"/>
    <w:rsid w:val="00180CA5"/>
    <w:rsid w:val="001816C5"/>
    <w:rsid w:val="00181F70"/>
    <w:rsid w:val="00184F9C"/>
    <w:rsid w:val="00185219"/>
    <w:rsid w:val="0018540D"/>
    <w:rsid w:val="00185CC5"/>
    <w:rsid w:val="00185FF9"/>
    <w:rsid w:val="001867A5"/>
    <w:rsid w:val="0018715E"/>
    <w:rsid w:val="001902AB"/>
    <w:rsid w:val="0019066F"/>
    <w:rsid w:val="001907E0"/>
    <w:rsid w:val="001907F1"/>
    <w:rsid w:val="00190C04"/>
    <w:rsid w:val="00191222"/>
    <w:rsid w:val="00192097"/>
    <w:rsid w:val="00192EFA"/>
    <w:rsid w:val="001930D1"/>
    <w:rsid w:val="001946D2"/>
    <w:rsid w:val="00194C99"/>
    <w:rsid w:val="00195568"/>
    <w:rsid w:val="00195848"/>
    <w:rsid w:val="001958A8"/>
    <w:rsid w:val="00195B7E"/>
    <w:rsid w:val="001960F1"/>
    <w:rsid w:val="00196BE3"/>
    <w:rsid w:val="00197827"/>
    <w:rsid w:val="00197A50"/>
    <w:rsid w:val="001A080F"/>
    <w:rsid w:val="001A1EFC"/>
    <w:rsid w:val="001A352D"/>
    <w:rsid w:val="001A38F1"/>
    <w:rsid w:val="001A40B2"/>
    <w:rsid w:val="001A4296"/>
    <w:rsid w:val="001A48AA"/>
    <w:rsid w:val="001A48B0"/>
    <w:rsid w:val="001A4B75"/>
    <w:rsid w:val="001A66B9"/>
    <w:rsid w:val="001A6B8B"/>
    <w:rsid w:val="001A6E6A"/>
    <w:rsid w:val="001A7106"/>
    <w:rsid w:val="001A7F42"/>
    <w:rsid w:val="001B0335"/>
    <w:rsid w:val="001B09C4"/>
    <w:rsid w:val="001B0C1D"/>
    <w:rsid w:val="001B0DA3"/>
    <w:rsid w:val="001B0DFD"/>
    <w:rsid w:val="001B16F6"/>
    <w:rsid w:val="001B2073"/>
    <w:rsid w:val="001B21C6"/>
    <w:rsid w:val="001B27F9"/>
    <w:rsid w:val="001B2FCF"/>
    <w:rsid w:val="001B306B"/>
    <w:rsid w:val="001B4318"/>
    <w:rsid w:val="001B4F9C"/>
    <w:rsid w:val="001B5368"/>
    <w:rsid w:val="001B5876"/>
    <w:rsid w:val="001B5B73"/>
    <w:rsid w:val="001B604B"/>
    <w:rsid w:val="001B622E"/>
    <w:rsid w:val="001B709F"/>
    <w:rsid w:val="001B7A2A"/>
    <w:rsid w:val="001B7D37"/>
    <w:rsid w:val="001B7EDF"/>
    <w:rsid w:val="001C01DB"/>
    <w:rsid w:val="001C05D9"/>
    <w:rsid w:val="001C08DA"/>
    <w:rsid w:val="001C1151"/>
    <w:rsid w:val="001C18A9"/>
    <w:rsid w:val="001C1B4E"/>
    <w:rsid w:val="001C1D41"/>
    <w:rsid w:val="001C2241"/>
    <w:rsid w:val="001C28FF"/>
    <w:rsid w:val="001C2E15"/>
    <w:rsid w:val="001C3160"/>
    <w:rsid w:val="001C3B1F"/>
    <w:rsid w:val="001C4411"/>
    <w:rsid w:val="001C4F9E"/>
    <w:rsid w:val="001C52E6"/>
    <w:rsid w:val="001C54B3"/>
    <w:rsid w:val="001C608B"/>
    <w:rsid w:val="001C62B1"/>
    <w:rsid w:val="001C68AE"/>
    <w:rsid w:val="001C7486"/>
    <w:rsid w:val="001D0207"/>
    <w:rsid w:val="001D1317"/>
    <w:rsid w:val="001D169B"/>
    <w:rsid w:val="001D1CE3"/>
    <w:rsid w:val="001D1EC4"/>
    <w:rsid w:val="001D229C"/>
    <w:rsid w:val="001D23A9"/>
    <w:rsid w:val="001D443A"/>
    <w:rsid w:val="001D47F5"/>
    <w:rsid w:val="001D4D38"/>
    <w:rsid w:val="001D605B"/>
    <w:rsid w:val="001D6119"/>
    <w:rsid w:val="001D729A"/>
    <w:rsid w:val="001D7631"/>
    <w:rsid w:val="001D78B6"/>
    <w:rsid w:val="001D7900"/>
    <w:rsid w:val="001E00A1"/>
    <w:rsid w:val="001E01BA"/>
    <w:rsid w:val="001E0990"/>
    <w:rsid w:val="001E12FE"/>
    <w:rsid w:val="001E134D"/>
    <w:rsid w:val="001E1542"/>
    <w:rsid w:val="001E16BF"/>
    <w:rsid w:val="001E2819"/>
    <w:rsid w:val="001E2F61"/>
    <w:rsid w:val="001E3E76"/>
    <w:rsid w:val="001E47A3"/>
    <w:rsid w:val="001E5075"/>
    <w:rsid w:val="001E6D5E"/>
    <w:rsid w:val="001E6E13"/>
    <w:rsid w:val="001E7350"/>
    <w:rsid w:val="001F00CE"/>
    <w:rsid w:val="001F1660"/>
    <w:rsid w:val="001F16B9"/>
    <w:rsid w:val="001F1796"/>
    <w:rsid w:val="001F1CE1"/>
    <w:rsid w:val="001F23B5"/>
    <w:rsid w:val="001F2546"/>
    <w:rsid w:val="001F2CED"/>
    <w:rsid w:val="001F38F4"/>
    <w:rsid w:val="001F3959"/>
    <w:rsid w:val="001F42FA"/>
    <w:rsid w:val="001F5919"/>
    <w:rsid w:val="001F5BE9"/>
    <w:rsid w:val="001F5D5F"/>
    <w:rsid w:val="001F63B6"/>
    <w:rsid w:val="001F6975"/>
    <w:rsid w:val="001F7755"/>
    <w:rsid w:val="001F7B1E"/>
    <w:rsid w:val="001F7E1A"/>
    <w:rsid w:val="001F7E52"/>
    <w:rsid w:val="002000DE"/>
    <w:rsid w:val="00200727"/>
    <w:rsid w:val="00200EF2"/>
    <w:rsid w:val="00201567"/>
    <w:rsid w:val="00201A15"/>
    <w:rsid w:val="00203015"/>
    <w:rsid w:val="00203E1C"/>
    <w:rsid w:val="00204FDF"/>
    <w:rsid w:val="002050E9"/>
    <w:rsid w:val="0020546C"/>
    <w:rsid w:val="00206591"/>
    <w:rsid w:val="00206654"/>
    <w:rsid w:val="00206A07"/>
    <w:rsid w:val="002074DA"/>
    <w:rsid w:val="00207BCB"/>
    <w:rsid w:val="00207F93"/>
    <w:rsid w:val="00210CDC"/>
    <w:rsid w:val="002110D1"/>
    <w:rsid w:val="00211325"/>
    <w:rsid w:val="00211D97"/>
    <w:rsid w:val="00212FB1"/>
    <w:rsid w:val="00213162"/>
    <w:rsid w:val="002138D2"/>
    <w:rsid w:val="0021393D"/>
    <w:rsid w:val="002143B2"/>
    <w:rsid w:val="00214839"/>
    <w:rsid w:val="00214A62"/>
    <w:rsid w:val="002154A4"/>
    <w:rsid w:val="00215D19"/>
    <w:rsid w:val="00221150"/>
    <w:rsid w:val="0022179C"/>
    <w:rsid w:val="00221B6E"/>
    <w:rsid w:val="00222A5B"/>
    <w:rsid w:val="00222BBF"/>
    <w:rsid w:val="00222C90"/>
    <w:rsid w:val="0022321C"/>
    <w:rsid w:val="0022383B"/>
    <w:rsid w:val="0022384D"/>
    <w:rsid w:val="00223AC4"/>
    <w:rsid w:val="002247E4"/>
    <w:rsid w:val="00224BED"/>
    <w:rsid w:val="00224BF1"/>
    <w:rsid w:val="00225002"/>
    <w:rsid w:val="0022645D"/>
    <w:rsid w:val="002301A7"/>
    <w:rsid w:val="002301FB"/>
    <w:rsid w:val="0023197D"/>
    <w:rsid w:val="00233935"/>
    <w:rsid w:val="00233B2E"/>
    <w:rsid w:val="00233B36"/>
    <w:rsid w:val="00233D14"/>
    <w:rsid w:val="00233E89"/>
    <w:rsid w:val="002360D8"/>
    <w:rsid w:val="002368C5"/>
    <w:rsid w:val="00236AC2"/>
    <w:rsid w:val="002405DA"/>
    <w:rsid w:val="0024085A"/>
    <w:rsid w:val="002408AD"/>
    <w:rsid w:val="00240B4A"/>
    <w:rsid w:val="00241111"/>
    <w:rsid w:val="00241155"/>
    <w:rsid w:val="00242389"/>
    <w:rsid w:val="0024262B"/>
    <w:rsid w:val="0024263F"/>
    <w:rsid w:val="00242811"/>
    <w:rsid w:val="00243081"/>
    <w:rsid w:val="0024350C"/>
    <w:rsid w:val="00243E10"/>
    <w:rsid w:val="00244859"/>
    <w:rsid w:val="00245462"/>
    <w:rsid w:val="002455D1"/>
    <w:rsid w:val="00245B16"/>
    <w:rsid w:val="00245D5C"/>
    <w:rsid w:val="00246081"/>
    <w:rsid w:val="00246FB9"/>
    <w:rsid w:val="002472B3"/>
    <w:rsid w:val="00247309"/>
    <w:rsid w:val="00247BA7"/>
    <w:rsid w:val="00247D7B"/>
    <w:rsid w:val="00250A69"/>
    <w:rsid w:val="00251276"/>
    <w:rsid w:val="002512EA"/>
    <w:rsid w:val="00251B78"/>
    <w:rsid w:val="00251D90"/>
    <w:rsid w:val="00251FFA"/>
    <w:rsid w:val="00252809"/>
    <w:rsid w:val="00252B9B"/>
    <w:rsid w:val="00252ED4"/>
    <w:rsid w:val="002534A8"/>
    <w:rsid w:val="00253C8F"/>
    <w:rsid w:val="002553C4"/>
    <w:rsid w:val="002554A7"/>
    <w:rsid w:val="00257BD9"/>
    <w:rsid w:val="00261470"/>
    <w:rsid w:val="0026169F"/>
    <w:rsid w:val="00261B4A"/>
    <w:rsid w:val="00261F9F"/>
    <w:rsid w:val="00262200"/>
    <w:rsid w:val="002622F5"/>
    <w:rsid w:val="002628FA"/>
    <w:rsid w:val="00263205"/>
    <w:rsid w:val="0026475F"/>
    <w:rsid w:val="00264871"/>
    <w:rsid w:val="00264E57"/>
    <w:rsid w:val="00265058"/>
    <w:rsid w:val="002664B5"/>
    <w:rsid w:val="00266B12"/>
    <w:rsid w:val="00267351"/>
    <w:rsid w:val="002677E2"/>
    <w:rsid w:val="00271EB4"/>
    <w:rsid w:val="002727D6"/>
    <w:rsid w:val="002727E8"/>
    <w:rsid w:val="00272EFF"/>
    <w:rsid w:val="00272F7D"/>
    <w:rsid w:val="00273001"/>
    <w:rsid w:val="0027454F"/>
    <w:rsid w:val="00275427"/>
    <w:rsid w:val="00275A37"/>
    <w:rsid w:val="00275EC4"/>
    <w:rsid w:val="00276052"/>
    <w:rsid w:val="00276FB3"/>
    <w:rsid w:val="002771AC"/>
    <w:rsid w:val="00277244"/>
    <w:rsid w:val="00277485"/>
    <w:rsid w:val="00280024"/>
    <w:rsid w:val="00280424"/>
    <w:rsid w:val="002805E9"/>
    <w:rsid w:val="0028065C"/>
    <w:rsid w:val="002817F3"/>
    <w:rsid w:val="00281CE3"/>
    <w:rsid w:val="00282255"/>
    <w:rsid w:val="002825AD"/>
    <w:rsid w:val="002825F6"/>
    <w:rsid w:val="00282A1A"/>
    <w:rsid w:val="00282CC8"/>
    <w:rsid w:val="00283C3B"/>
    <w:rsid w:val="00283CC1"/>
    <w:rsid w:val="00285688"/>
    <w:rsid w:val="002858B6"/>
    <w:rsid w:val="002859B4"/>
    <w:rsid w:val="00285A19"/>
    <w:rsid w:val="00285CC9"/>
    <w:rsid w:val="00285DEA"/>
    <w:rsid w:val="00286451"/>
    <w:rsid w:val="0028648E"/>
    <w:rsid w:val="0028714C"/>
    <w:rsid w:val="002874FD"/>
    <w:rsid w:val="002876F0"/>
    <w:rsid w:val="00287778"/>
    <w:rsid w:val="00287ACF"/>
    <w:rsid w:val="00287D23"/>
    <w:rsid w:val="00287F99"/>
    <w:rsid w:val="002903DA"/>
    <w:rsid w:val="00290B84"/>
    <w:rsid w:val="0029122C"/>
    <w:rsid w:val="00292107"/>
    <w:rsid w:val="0029328E"/>
    <w:rsid w:val="00294116"/>
    <w:rsid w:val="0029521C"/>
    <w:rsid w:val="002955D2"/>
    <w:rsid w:val="00296019"/>
    <w:rsid w:val="002963AF"/>
    <w:rsid w:val="0029698B"/>
    <w:rsid w:val="00296EBA"/>
    <w:rsid w:val="002975E9"/>
    <w:rsid w:val="002A014E"/>
    <w:rsid w:val="002A028C"/>
    <w:rsid w:val="002A10D3"/>
    <w:rsid w:val="002A1705"/>
    <w:rsid w:val="002A1BFA"/>
    <w:rsid w:val="002A2083"/>
    <w:rsid w:val="002A222A"/>
    <w:rsid w:val="002A2A4E"/>
    <w:rsid w:val="002A2AE0"/>
    <w:rsid w:val="002A3D32"/>
    <w:rsid w:val="002A428C"/>
    <w:rsid w:val="002A42AF"/>
    <w:rsid w:val="002A4302"/>
    <w:rsid w:val="002A4555"/>
    <w:rsid w:val="002A7161"/>
    <w:rsid w:val="002A7B38"/>
    <w:rsid w:val="002A7D19"/>
    <w:rsid w:val="002B0BAD"/>
    <w:rsid w:val="002B164B"/>
    <w:rsid w:val="002B2216"/>
    <w:rsid w:val="002B283E"/>
    <w:rsid w:val="002B2A3A"/>
    <w:rsid w:val="002B2EE2"/>
    <w:rsid w:val="002B39EA"/>
    <w:rsid w:val="002B4193"/>
    <w:rsid w:val="002B4984"/>
    <w:rsid w:val="002B6608"/>
    <w:rsid w:val="002B6723"/>
    <w:rsid w:val="002B6951"/>
    <w:rsid w:val="002B6C8B"/>
    <w:rsid w:val="002B6ED0"/>
    <w:rsid w:val="002B73AC"/>
    <w:rsid w:val="002B7436"/>
    <w:rsid w:val="002B7B01"/>
    <w:rsid w:val="002B7C93"/>
    <w:rsid w:val="002B7CA4"/>
    <w:rsid w:val="002C092F"/>
    <w:rsid w:val="002C0EEC"/>
    <w:rsid w:val="002C0FFC"/>
    <w:rsid w:val="002C11B7"/>
    <w:rsid w:val="002C1903"/>
    <w:rsid w:val="002C1922"/>
    <w:rsid w:val="002C2502"/>
    <w:rsid w:val="002C2A22"/>
    <w:rsid w:val="002C2B0F"/>
    <w:rsid w:val="002C3345"/>
    <w:rsid w:val="002C3B01"/>
    <w:rsid w:val="002C3D79"/>
    <w:rsid w:val="002C3EA4"/>
    <w:rsid w:val="002C5124"/>
    <w:rsid w:val="002C5B15"/>
    <w:rsid w:val="002C61B1"/>
    <w:rsid w:val="002C687C"/>
    <w:rsid w:val="002C6919"/>
    <w:rsid w:val="002C6B01"/>
    <w:rsid w:val="002C6E93"/>
    <w:rsid w:val="002D0067"/>
    <w:rsid w:val="002D00EE"/>
    <w:rsid w:val="002D026B"/>
    <w:rsid w:val="002D0E24"/>
    <w:rsid w:val="002D0EAA"/>
    <w:rsid w:val="002D1F53"/>
    <w:rsid w:val="002D2F2F"/>
    <w:rsid w:val="002D39D1"/>
    <w:rsid w:val="002D3AC9"/>
    <w:rsid w:val="002D3DB2"/>
    <w:rsid w:val="002D3EE9"/>
    <w:rsid w:val="002D3FBA"/>
    <w:rsid w:val="002D514D"/>
    <w:rsid w:val="002D51A2"/>
    <w:rsid w:val="002D5FC5"/>
    <w:rsid w:val="002D6367"/>
    <w:rsid w:val="002D682F"/>
    <w:rsid w:val="002D6FCB"/>
    <w:rsid w:val="002E0417"/>
    <w:rsid w:val="002E0B91"/>
    <w:rsid w:val="002E17F4"/>
    <w:rsid w:val="002E276C"/>
    <w:rsid w:val="002E38F3"/>
    <w:rsid w:val="002E3921"/>
    <w:rsid w:val="002E3924"/>
    <w:rsid w:val="002E411A"/>
    <w:rsid w:val="002E4243"/>
    <w:rsid w:val="002E45D1"/>
    <w:rsid w:val="002E49CD"/>
    <w:rsid w:val="002E58D8"/>
    <w:rsid w:val="002E59D2"/>
    <w:rsid w:val="002E6471"/>
    <w:rsid w:val="002E6A69"/>
    <w:rsid w:val="002E6ECE"/>
    <w:rsid w:val="002F06D6"/>
    <w:rsid w:val="002F0C52"/>
    <w:rsid w:val="002F14B6"/>
    <w:rsid w:val="002F183B"/>
    <w:rsid w:val="002F1CC0"/>
    <w:rsid w:val="002F1DA5"/>
    <w:rsid w:val="002F1E4A"/>
    <w:rsid w:val="002F21E1"/>
    <w:rsid w:val="002F2841"/>
    <w:rsid w:val="002F3661"/>
    <w:rsid w:val="002F3DA2"/>
    <w:rsid w:val="002F3F6B"/>
    <w:rsid w:val="002F40D7"/>
    <w:rsid w:val="002F4642"/>
    <w:rsid w:val="002F4928"/>
    <w:rsid w:val="002F5D22"/>
    <w:rsid w:val="002F5D25"/>
    <w:rsid w:val="002F5F52"/>
    <w:rsid w:val="002F7CB0"/>
    <w:rsid w:val="00301A3F"/>
    <w:rsid w:val="00301D27"/>
    <w:rsid w:val="00302016"/>
    <w:rsid w:val="00302200"/>
    <w:rsid w:val="003031B6"/>
    <w:rsid w:val="003037B1"/>
    <w:rsid w:val="00303D27"/>
    <w:rsid w:val="003041EF"/>
    <w:rsid w:val="00304AD2"/>
    <w:rsid w:val="00304C8E"/>
    <w:rsid w:val="00304D95"/>
    <w:rsid w:val="00305131"/>
    <w:rsid w:val="0030535E"/>
    <w:rsid w:val="00305392"/>
    <w:rsid w:val="003053E0"/>
    <w:rsid w:val="0030551E"/>
    <w:rsid w:val="00306487"/>
    <w:rsid w:val="003065CE"/>
    <w:rsid w:val="00306818"/>
    <w:rsid w:val="00306E40"/>
    <w:rsid w:val="00307B4B"/>
    <w:rsid w:val="00307E07"/>
    <w:rsid w:val="003109CD"/>
    <w:rsid w:val="00310BE6"/>
    <w:rsid w:val="0031144D"/>
    <w:rsid w:val="00311699"/>
    <w:rsid w:val="003116A0"/>
    <w:rsid w:val="00311868"/>
    <w:rsid w:val="003118C6"/>
    <w:rsid w:val="00312AF5"/>
    <w:rsid w:val="00312D74"/>
    <w:rsid w:val="003132BF"/>
    <w:rsid w:val="0031365C"/>
    <w:rsid w:val="00314642"/>
    <w:rsid w:val="0031517C"/>
    <w:rsid w:val="0031536F"/>
    <w:rsid w:val="00315F47"/>
    <w:rsid w:val="00316BBE"/>
    <w:rsid w:val="0031702B"/>
    <w:rsid w:val="00317841"/>
    <w:rsid w:val="0032049C"/>
    <w:rsid w:val="00321652"/>
    <w:rsid w:val="0032218D"/>
    <w:rsid w:val="0032396E"/>
    <w:rsid w:val="00325509"/>
    <w:rsid w:val="00325861"/>
    <w:rsid w:val="00325A48"/>
    <w:rsid w:val="00325A7E"/>
    <w:rsid w:val="00325B4C"/>
    <w:rsid w:val="00325C01"/>
    <w:rsid w:val="00326C13"/>
    <w:rsid w:val="00327305"/>
    <w:rsid w:val="0032798A"/>
    <w:rsid w:val="00330534"/>
    <w:rsid w:val="0033070B"/>
    <w:rsid w:val="00331462"/>
    <w:rsid w:val="00331CA5"/>
    <w:rsid w:val="00331D92"/>
    <w:rsid w:val="00332CC0"/>
    <w:rsid w:val="00333019"/>
    <w:rsid w:val="003335B6"/>
    <w:rsid w:val="00333A71"/>
    <w:rsid w:val="00333F95"/>
    <w:rsid w:val="00334523"/>
    <w:rsid w:val="00334642"/>
    <w:rsid w:val="003348C4"/>
    <w:rsid w:val="003355B8"/>
    <w:rsid w:val="00335D79"/>
    <w:rsid w:val="003362A4"/>
    <w:rsid w:val="003362EA"/>
    <w:rsid w:val="00337001"/>
    <w:rsid w:val="003376EA"/>
    <w:rsid w:val="00337CC5"/>
    <w:rsid w:val="00340038"/>
    <w:rsid w:val="003404EC"/>
    <w:rsid w:val="00340BE1"/>
    <w:rsid w:val="00340ED3"/>
    <w:rsid w:val="00340F30"/>
    <w:rsid w:val="00341141"/>
    <w:rsid w:val="003419F7"/>
    <w:rsid w:val="003424E8"/>
    <w:rsid w:val="00343324"/>
    <w:rsid w:val="00343B73"/>
    <w:rsid w:val="00345160"/>
    <w:rsid w:val="00345C41"/>
    <w:rsid w:val="003472D0"/>
    <w:rsid w:val="0034734C"/>
    <w:rsid w:val="003474F7"/>
    <w:rsid w:val="00347983"/>
    <w:rsid w:val="00347E11"/>
    <w:rsid w:val="00347EFA"/>
    <w:rsid w:val="00347F6D"/>
    <w:rsid w:val="0035042E"/>
    <w:rsid w:val="0035053A"/>
    <w:rsid w:val="003507E7"/>
    <w:rsid w:val="00350905"/>
    <w:rsid w:val="00350937"/>
    <w:rsid w:val="00351AF7"/>
    <w:rsid w:val="00351DA4"/>
    <w:rsid w:val="0035254F"/>
    <w:rsid w:val="0035319E"/>
    <w:rsid w:val="00354576"/>
    <w:rsid w:val="0035477C"/>
    <w:rsid w:val="00354CE1"/>
    <w:rsid w:val="00354D1B"/>
    <w:rsid w:val="00354F19"/>
    <w:rsid w:val="003568DA"/>
    <w:rsid w:val="00356DA1"/>
    <w:rsid w:val="00357F29"/>
    <w:rsid w:val="00357FDD"/>
    <w:rsid w:val="003601F4"/>
    <w:rsid w:val="003602DF"/>
    <w:rsid w:val="00360487"/>
    <w:rsid w:val="00360503"/>
    <w:rsid w:val="003606F6"/>
    <w:rsid w:val="0036150B"/>
    <w:rsid w:val="00361A4F"/>
    <w:rsid w:val="00361E13"/>
    <w:rsid w:val="00362739"/>
    <w:rsid w:val="00362CFF"/>
    <w:rsid w:val="00362F22"/>
    <w:rsid w:val="003630BC"/>
    <w:rsid w:val="003634E4"/>
    <w:rsid w:val="00363721"/>
    <w:rsid w:val="003640B9"/>
    <w:rsid w:val="003641D2"/>
    <w:rsid w:val="00364843"/>
    <w:rsid w:val="00364D21"/>
    <w:rsid w:val="00364FD4"/>
    <w:rsid w:val="00365367"/>
    <w:rsid w:val="00366475"/>
    <w:rsid w:val="00366CF8"/>
    <w:rsid w:val="00367249"/>
    <w:rsid w:val="003675D5"/>
    <w:rsid w:val="00367D9F"/>
    <w:rsid w:val="00370B46"/>
    <w:rsid w:val="003713E6"/>
    <w:rsid w:val="003725F3"/>
    <w:rsid w:val="003727DC"/>
    <w:rsid w:val="00372B6F"/>
    <w:rsid w:val="003734BA"/>
    <w:rsid w:val="00373BF9"/>
    <w:rsid w:val="003742BE"/>
    <w:rsid w:val="003744C6"/>
    <w:rsid w:val="0037497D"/>
    <w:rsid w:val="00375AEC"/>
    <w:rsid w:val="003761A5"/>
    <w:rsid w:val="0037623E"/>
    <w:rsid w:val="003771DE"/>
    <w:rsid w:val="003777FE"/>
    <w:rsid w:val="00377F9B"/>
    <w:rsid w:val="00380BAA"/>
    <w:rsid w:val="00380C1B"/>
    <w:rsid w:val="00380E46"/>
    <w:rsid w:val="00381086"/>
    <w:rsid w:val="00381828"/>
    <w:rsid w:val="00381F3A"/>
    <w:rsid w:val="00382196"/>
    <w:rsid w:val="003821CF"/>
    <w:rsid w:val="0038286F"/>
    <w:rsid w:val="00383BC6"/>
    <w:rsid w:val="00383D09"/>
    <w:rsid w:val="0038416E"/>
    <w:rsid w:val="003846C3"/>
    <w:rsid w:val="00384ACF"/>
    <w:rsid w:val="00384FBA"/>
    <w:rsid w:val="00386110"/>
    <w:rsid w:val="00386A00"/>
    <w:rsid w:val="0038787E"/>
    <w:rsid w:val="0039020A"/>
    <w:rsid w:val="0039027D"/>
    <w:rsid w:val="00390345"/>
    <w:rsid w:val="003905BA"/>
    <w:rsid w:val="00390825"/>
    <w:rsid w:val="00391529"/>
    <w:rsid w:val="00391C30"/>
    <w:rsid w:val="00391D54"/>
    <w:rsid w:val="0039269B"/>
    <w:rsid w:val="00392ADE"/>
    <w:rsid w:val="003938FC"/>
    <w:rsid w:val="003941A9"/>
    <w:rsid w:val="00394374"/>
    <w:rsid w:val="00394D54"/>
    <w:rsid w:val="00396C99"/>
    <w:rsid w:val="0039759F"/>
    <w:rsid w:val="00397EB9"/>
    <w:rsid w:val="003A0F72"/>
    <w:rsid w:val="003A1D90"/>
    <w:rsid w:val="003A22BE"/>
    <w:rsid w:val="003A2744"/>
    <w:rsid w:val="003A3021"/>
    <w:rsid w:val="003A32D7"/>
    <w:rsid w:val="003A3697"/>
    <w:rsid w:val="003A3973"/>
    <w:rsid w:val="003A3DE0"/>
    <w:rsid w:val="003A41EB"/>
    <w:rsid w:val="003A4850"/>
    <w:rsid w:val="003A4AFF"/>
    <w:rsid w:val="003A4E65"/>
    <w:rsid w:val="003A51D7"/>
    <w:rsid w:val="003A5371"/>
    <w:rsid w:val="003A5827"/>
    <w:rsid w:val="003A5BA3"/>
    <w:rsid w:val="003A5CF9"/>
    <w:rsid w:val="003A7065"/>
    <w:rsid w:val="003A73AD"/>
    <w:rsid w:val="003A7760"/>
    <w:rsid w:val="003B00B3"/>
    <w:rsid w:val="003B0F90"/>
    <w:rsid w:val="003B0FD4"/>
    <w:rsid w:val="003B1435"/>
    <w:rsid w:val="003B16E0"/>
    <w:rsid w:val="003B208D"/>
    <w:rsid w:val="003B213E"/>
    <w:rsid w:val="003B257F"/>
    <w:rsid w:val="003B2698"/>
    <w:rsid w:val="003B2C72"/>
    <w:rsid w:val="003B2CAF"/>
    <w:rsid w:val="003B3153"/>
    <w:rsid w:val="003B344F"/>
    <w:rsid w:val="003B3C34"/>
    <w:rsid w:val="003B4534"/>
    <w:rsid w:val="003B4D20"/>
    <w:rsid w:val="003B4E1F"/>
    <w:rsid w:val="003B55F0"/>
    <w:rsid w:val="003B5ADE"/>
    <w:rsid w:val="003B690A"/>
    <w:rsid w:val="003B6C95"/>
    <w:rsid w:val="003B6F41"/>
    <w:rsid w:val="003B70B2"/>
    <w:rsid w:val="003B738B"/>
    <w:rsid w:val="003C02D0"/>
    <w:rsid w:val="003C0E6A"/>
    <w:rsid w:val="003C0F8D"/>
    <w:rsid w:val="003C122A"/>
    <w:rsid w:val="003C156D"/>
    <w:rsid w:val="003C1785"/>
    <w:rsid w:val="003C182F"/>
    <w:rsid w:val="003C1A27"/>
    <w:rsid w:val="003C1CFE"/>
    <w:rsid w:val="003C1E22"/>
    <w:rsid w:val="003C27FF"/>
    <w:rsid w:val="003C2CA3"/>
    <w:rsid w:val="003C2FB3"/>
    <w:rsid w:val="003C3B0D"/>
    <w:rsid w:val="003C433F"/>
    <w:rsid w:val="003C4ADD"/>
    <w:rsid w:val="003C54CA"/>
    <w:rsid w:val="003C62EB"/>
    <w:rsid w:val="003C688F"/>
    <w:rsid w:val="003C6D8B"/>
    <w:rsid w:val="003C7202"/>
    <w:rsid w:val="003C7256"/>
    <w:rsid w:val="003C7EC8"/>
    <w:rsid w:val="003C7F03"/>
    <w:rsid w:val="003D0765"/>
    <w:rsid w:val="003D1427"/>
    <w:rsid w:val="003D2966"/>
    <w:rsid w:val="003D48C5"/>
    <w:rsid w:val="003D4A45"/>
    <w:rsid w:val="003D4E5D"/>
    <w:rsid w:val="003D6033"/>
    <w:rsid w:val="003D606C"/>
    <w:rsid w:val="003D6436"/>
    <w:rsid w:val="003D6F27"/>
    <w:rsid w:val="003D714A"/>
    <w:rsid w:val="003E0309"/>
    <w:rsid w:val="003E0EB5"/>
    <w:rsid w:val="003E1471"/>
    <w:rsid w:val="003E23B0"/>
    <w:rsid w:val="003E2EF5"/>
    <w:rsid w:val="003E3DAE"/>
    <w:rsid w:val="003E4037"/>
    <w:rsid w:val="003E4949"/>
    <w:rsid w:val="003E4CE2"/>
    <w:rsid w:val="003E4CE8"/>
    <w:rsid w:val="003E4D54"/>
    <w:rsid w:val="003E596A"/>
    <w:rsid w:val="003E5AF3"/>
    <w:rsid w:val="003E68BB"/>
    <w:rsid w:val="003E7331"/>
    <w:rsid w:val="003E74B6"/>
    <w:rsid w:val="003E7BD0"/>
    <w:rsid w:val="003F0F7E"/>
    <w:rsid w:val="003F1017"/>
    <w:rsid w:val="003F1B0B"/>
    <w:rsid w:val="003F2740"/>
    <w:rsid w:val="003F33F3"/>
    <w:rsid w:val="003F3A42"/>
    <w:rsid w:val="003F3AAC"/>
    <w:rsid w:val="003F3F05"/>
    <w:rsid w:val="003F46AF"/>
    <w:rsid w:val="003F4C2C"/>
    <w:rsid w:val="003F4D02"/>
    <w:rsid w:val="003F4D8E"/>
    <w:rsid w:val="003F4F8C"/>
    <w:rsid w:val="003F530B"/>
    <w:rsid w:val="003F5569"/>
    <w:rsid w:val="003F5D82"/>
    <w:rsid w:val="003F630D"/>
    <w:rsid w:val="003F6FFE"/>
    <w:rsid w:val="003F734C"/>
    <w:rsid w:val="003F7DDC"/>
    <w:rsid w:val="00400123"/>
    <w:rsid w:val="004009AB"/>
    <w:rsid w:val="0040104C"/>
    <w:rsid w:val="00401698"/>
    <w:rsid w:val="00401937"/>
    <w:rsid w:val="00401F28"/>
    <w:rsid w:val="004022C2"/>
    <w:rsid w:val="00402782"/>
    <w:rsid w:val="00402836"/>
    <w:rsid w:val="00402B45"/>
    <w:rsid w:val="00402F40"/>
    <w:rsid w:val="004036F9"/>
    <w:rsid w:val="00403847"/>
    <w:rsid w:val="00404A3C"/>
    <w:rsid w:val="00404CA7"/>
    <w:rsid w:val="00404DB3"/>
    <w:rsid w:val="0040526D"/>
    <w:rsid w:val="004057BD"/>
    <w:rsid w:val="004065B2"/>
    <w:rsid w:val="00407530"/>
    <w:rsid w:val="0041055D"/>
    <w:rsid w:val="004107B2"/>
    <w:rsid w:val="00410B7E"/>
    <w:rsid w:val="00410EDF"/>
    <w:rsid w:val="004114F7"/>
    <w:rsid w:val="00411773"/>
    <w:rsid w:val="004118DF"/>
    <w:rsid w:val="00411BA0"/>
    <w:rsid w:val="00411FB8"/>
    <w:rsid w:val="00411FF2"/>
    <w:rsid w:val="004123AF"/>
    <w:rsid w:val="00412E93"/>
    <w:rsid w:val="004131A6"/>
    <w:rsid w:val="004132B3"/>
    <w:rsid w:val="004133BC"/>
    <w:rsid w:val="00413B1E"/>
    <w:rsid w:val="0041453D"/>
    <w:rsid w:val="00414AEC"/>
    <w:rsid w:val="00415B8B"/>
    <w:rsid w:val="00415BAB"/>
    <w:rsid w:val="00415CF4"/>
    <w:rsid w:val="00416215"/>
    <w:rsid w:val="00416CEA"/>
    <w:rsid w:val="004173BE"/>
    <w:rsid w:val="004178E6"/>
    <w:rsid w:val="00417B63"/>
    <w:rsid w:val="00417E09"/>
    <w:rsid w:val="00417E8B"/>
    <w:rsid w:val="00417F91"/>
    <w:rsid w:val="00420E04"/>
    <w:rsid w:val="00420F86"/>
    <w:rsid w:val="004220B0"/>
    <w:rsid w:val="004235D4"/>
    <w:rsid w:val="00423659"/>
    <w:rsid w:val="004236F2"/>
    <w:rsid w:val="00423F42"/>
    <w:rsid w:val="00424586"/>
    <w:rsid w:val="00424595"/>
    <w:rsid w:val="004247A8"/>
    <w:rsid w:val="00424864"/>
    <w:rsid w:val="0042488D"/>
    <w:rsid w:val="00426038"/>
    <w:rsid w:val="004260E0"/>
    <w:rsid w:val="00426204"/>
    <w:rsid w:val="00426447"/>
    <w:rsid w:val="00426531"/>
    <w:rsid w:val="0042674F"/>
    <w:rsid w:val="00426A8F"/>
    <w:rsid w:val="00427754"/>
    <w:rsid w:val="0042788C"/>
    <w:rsid w:val="00430128"/>
    <w:rsid w:val="004310DE"/>
    <w:rsid w:val="0043117C"/>
    <w:rsid w:val="00431899"/>
    <w:rsid w:val="00431E17"/>
    <w:rsid w:val="00431F67"/>
    <w:rsid w:val="0043211B"/>
    <w:rsid w:val="00432FB5"/>
    <w:rsid w:val="004335A3"/>
    <w:rsid w:val="0043361A"/>
    <w:rsid w:val="00433916"/>
    <w:rsid w:val="0043513F"/>
    <w:rsid w:val="00435594"/>
    <w:rsid w:val="004357DD"/>
    <w:rsid w:val="00435950"/>
    <w:rsid w:val="004365CB"/>
    <w:rsid w:val="0043667D"/>
    <w:rsid w:val="004375B2"/>
    <w:rsid w:val="00441235"/>
    <w:rsid w:val="0044216C"/>
    <w:rsid w:val="0044232C"/>
    <w:rsid w:val="004431D5"/>
    <w:rsid w:val="0044539E"/>
    <w:rsid w:val="00445750"/>
    <w:rsid w:val="0044598F"/>
    <w:rsid w:val="00446393"/>
    <w:rsid w:val="00446996"/>
    <w:rsid w:val="00447867"/>
    <w:rsid w:val="00447D83"/>
    <w:rsid w:val="00450A2D"/>
    <w:rsid w:val="00450CF5"/>
    <w:rsid w:val="00451287"/>
    <w:rsid w:val="00452315"/>
    <w:rsid w:val="004529CB"/>
    <w:rsid w:val="00452D98"/>
    <w:rsid w:val="00452E26"/>
    <w:rsid w:val="0045312E"/>
    <w:rsid w:val="004536C0"/>
    <w:rsid w:val="00453B78"/>
    <w:rsid w:val="004541EF"/>
    <w:rsid w:val="00454305"/>
    <w:rsid w:val="0045456F"/>
    <w:rsid w:val="00454581"/>
    <w:rsid w:val="00454CB0"/>
    <w:rsid w:val="00454EB6"/>
    <w:rsid w:val="00455825"/>
    <w:rsid w:val="00455B1D"/>
    <w:rsid w:val="00455BA5"/>
    <w:rsid w:val="00457248"/>
    <w:rsid w:val="004601E9"/>
    <w:rsid w:val="004607A5"/>
    <w:rsid w:val="00461944"/>
    <w:rsid w:val="00461BC0"/>
    <w:rsid w:val="00461BDA"/>
    <w:rsid w:val="00462190"/>
    <w:rsid w:val="00462C3A"/>
    <w:rsid w:val="00462ECA"/>
    <w:rsid w:val="0046343F"/>
    <w:rsid w:val="00464B7C"/>
    <w:rsid w:val="00464EE9"/>
    <w:rsid w:val="0046518B"/>
    <w:rsid w:val="00465A9A"/>
    <w:rsid w:val="00465DBB"/>
    <w:rsid w:val="00465F6D"/>
    <w:rsid w:val="00466A65"/>
    <w:rsid w:val="00467439"/>
    <w:rsid w:val="0046792B"/>
    <w:rsid w:val="0046794C"/>
    <w:rsid w:val="00467DF4"/>
    <w:rsid w:val="00467E96"/>
    <w:rsid w:val="004701D7"/>
    <w:rsid w:val="004703F9"/>
    <w:rsid w:val="00470A72"/>
    <w:rsid w:val="00470F84"/>
    <w:rsid w:val="004720DF"/>
    <w:rsid w:val="004727BF"/>
    <w:rsid w:val="004727FC"/>
    <w:rsid w:val="00473226"/>
    <w:rsid w:val="00473906"/>
    <w:rsid w:val="00473B50"/>
    <w:rsid w:val="00474010"/>
    <w:rsid w:val="00474D8B"/>
    <w:rsid w:val="0047555B"/>
    <w:rsid w:val="00475912"/>
    <w:rsid w:val="00475FBA"/>
    <w:rsid w:val="0047665E"/>
    <w:rsid w:val="004772F4"/>
    <w:rsid w:val="00477493"/>
    <w:rsid w:val="00477C04"/>
    <w:rsid w:val="00477CE0"/>
    <w:rsid w:val="00480253"/>
    <w:rsid w:val="00480621"/>
    <w:rsid w:val="004810C5"/>
    <w:rsid w:val="00481185"/>
    <w:rsid w:val="004811CC"/>
    <w:rsid w:val="00481401"/>
    <w:rsid w:val="00481536"/>
    <w:rsid w:val="0048176E"/>
    <w:rsid w:val="00482283"/>
    <w:rsid w:val="0048248E"/>
    <w:rsid w:val="00482F90"/>
    <w:rsid w:val="00482FF2"/>
    <w:rsid w:val="0048488B"/>
    <w:rsid w:val="00484C36"/>
    <w:rsid w:val="00485825"/>
    <w:rsid w:val="004858B3"/>
    <w:rsid w:val="004859C9"/>
    <w:rsid w:val="00485C9B"/>
    <w:rsid w:val="00485F3A"/>
    <w:rsid w:val="004860EE"/>
    <w:rsid w:val="00486803"/>
    <w:rsid w:val="00486888"/>
    <w:rsid w:val="00486FE3"/>
    <w:rsid w:val="004871D5"/>
    <w:rsid w:val="00490087"/>
    <w:rsid w:val="004901AB"/>
    <w:rsid w:val="004901D4"/>
    <w:rsid w:val="0049049D"/>
    <w:rsid w:val="0049086E"/>
    <w:rsid w:val="00490A6C"/>
    <w:rsid w:val="00490D52"/>
    <w:rsid w:val="004916BF"/>
    <w:rsid w:val="00491B00"/>
    <w:rsid w:val="00491F2D"/>
    <w:rsid w:val="00492C9D"/>
    <w:rsid w:val="00493B6C"/>
    <w:rsid w:val="00494CD4"/>
    <w:rsid w:val="00494D2A"/>
    <w:rsid w:val="00495707"/>
    <w:rsid w:val="004959FD"/>
    <w:rsid w:val="00495FA1"/>
    <w:rsid w:val="004970F6"/>
    <w:rsid w:val="004972FF"/>
    <w:rsid w:val="00497CB4"/>
    <w:rsid w:val="004A059C"/>
    <w:rsid w:val="004A0AA6"/>
    <w:rsid w:val="004A0F1E"/>
    <w:rsid w:val="004A1C4A"/>
    <w:rsid w:val="004A1DCC"/>
    <w:rsid w:val="004A22C4"/>
    <w:rsid w:val="004A2AA2"/>
    <w:rsid w:val="004A39EF"/>
    <w:rsid w:val="004A3A7C"/>
    <w:rsid w:val="004A3AE5"/>
    <w:rsid w:val="004A429E"/>
    <w:rsid w:val="004A4568"/>
    <w:rsid w:val="004A45EE"/>
    <w:rsid w:val="004A464E"/>
    <w:rsid w:val="004A4DBC"/>
    <w:rsid w:val="004A5334"/>
    <w:rsid w:val="004A542F"/>
    <w:rsid w:val="004A5537"/>
    <w:rsid w:val="004A5A11"/>
    <w:rsid w:val="004A651A"/>
    <w:rsid w:val="004A663D"/>
    <w:rsid w:val="004A6D3A"/>
    <w:rsid w:val="004A6FDC"/>
    <w:rsid w:val="004A7035"/>
    <w:rsid w:val="004A7667"/>
    <w:rsid w:val="004A7C28"/>
    <w:rsid w:val="004A7E09"/>
    <w:rsid w:val="004B02DD"/>
    <w:rsid w:val="004B0C48"/>
    <w:rsid w:val="004B0D1C"/>
    <w:rsid w:val="004B0E01"/>
    <w:rsid w:val="004B0E50"/>
    <w:rsid w:val="004B0F12"/>
    <w:rsid w:val="004B0FD7"/>
    <w:rsid w:val="004B111F"/>
    <w:rsid w:val="004B1F35"/>
    <w:rsid w:val="004B3061"/>
    <w:rsid w:val="004B3A2B"/>
    <w:rsid w:val="004B3AE1"/>
    <w:rsid w:val="004B496A"/>
    <w:rsid w:val="004B58E8"/>
    <w:rsid w:val="004B6318"/>
    <w:rsid w:val="004B66CB"/>
    <w:rsid w:val="004B68D8"/>
    <w:rsid w:val="004B6C1D"/>
    <w:rsid w:val="004B6C1F"/>
    <w:rsid w:val="004B751F"/>
    <w:rsid w:val="004B77E0"/>
    <w:rsid w:val="004B7DCF"/>
    <w:rsid w:val="004C025C"/>
    <w:rsid w:val="004C0414"/>
    <w:rsid w:val="004C08B6"/>
    <w:rsid w:val="004C0F2D"/>
    <w:rsid w:val="004C111D"/>
    <w:rsid w:val="004C171C"/>
    <w:rsid w:val="004C1E5E"/>
    <w:rsid w:val="004C2079"/>
    <w:rsid w:val="004C34DF"/>
    <w:rsid w:val="004C40EF"/>
    <w:rsid w:val="004C5D37"/>
    <w:rsid w:val="004C60E9"/>
    <w:rsid w:val="004C691A"/>
    <w:rsid w:val="004C7151"/>
    <w:rsid w:val="004C750C"/>
    <w:rsid w:val="004C7B53"/>
    <w:rsid w:val="004C7C4E"/>
    <w:rsid w:val="004D0435"/>
    <w:rsid w:val="004D0DAD"/>
    <w:rsid w:val="004D11DA"/>
    <w:rsid w:val="004D17B6"/>
    <w:rsid w:val="004D184C"/>
    <w:rsid w:val="004D2479"/>
    <w:rsid w:val="004D25AD"/>
    <w:rsid w:val="004D3F0B"/>
    <w:rsid w:val="004D451B"/>
    <w:rsid w:val="004D46CB"/>
    <w:rsid w:val="004D4EB0"/>
    <w:rsid w:val="004D4F55"/>
    <w:rsid w:val="004D5517"/>
    <w:rsid w:val="004D5AF3"/>
    <w:rsid w:val="004D61AC"/>
    <w:rsid w:val="004D6325"/>
    <w:rsid w:val="004D63CB"/>
    <w:rsid w:val="004D65CD"/>
    <w:rsid w:val="004D6B0A"/>
    <w:rsid w:val="004D7236"/>
    <w:rsid w:val="004D7397"/>
    <w:rsid w:val="004D7BAD"/>
    <w:rsid w:val="004E0167"/>
    <w:rsid w:val="004E0705"/>
    <w:rsid w:val="004E07F0"/>
    <w:rsid w:val="004E2D74"/>
    <w:rsid w:val="004E3541"/>
    <w:rsid w:val="004E444B"/>
    <w:rsid w:val="004E46BF"/>
    <w:rsid w:val="004E5E06"/>
    <w:rsid w:val="004E6959"/>
    <w:rsid w:val="004E7305"/>
    <w:rsid w:val="004E7368"/>
    <w:rsid w:val="004E78DD"/>
    <w:rsid w:val="004E7944"/>
    <w:rsid w:val="004F02CC"/>
    <w:rsid w:val="004F0410"/>
    <w:rsid w:val="004F08DE"/>
    <w:rsid w:val="004F1237"/>
    <w:rsid w:val="004F136E"/>
    <w:rsid w:val="004F142E"/>
    <w:rsid w:val="004F1518"/>
    <w:rsid w:val="004F1953"/>
    <w:rsid w:val="004F1B27"/>
    <w:rsid w:val="004F1EE9"/>
    <w:rsid w:val="004F1F59"/>
    <w:rsid w:val="004F300E"/>
    <w:rsid w:val="004F31BB"/>
    <w:rsid w:val="004F557E"/>
    <w:rsid w:val="004F58F9"/>
    <w:rsid w:val="004F5904"/>
    <w:rsid w:val="004F5F55"/>
    <w:rsid w:val="004F693D"/>
    <w:rsid w:val="004F7CD2"/>
    <w:rsid w:val="00502399"/>
    <w:rsid w:val="00503E0E"/>
    <w:rsid w:val="00503E49"/>
    <w:rsid w:val="00505546"/>
    <w:rsid w:val="00505BA3"/>
    <w:rsid w:val="00506028"/>
    <w:rsid w:val="00507194"/>
    <w:rsid w:val="005079B1"/>
    <w:rsid w:val="00507A7B"/>
    <w:rsid w:val="0051024E"/>
    <w:rsid w:val="005104B3"/>
    <w:rsid w:val="005107FA"/>
    <w:rsid w:val="00511DAC"/>
    <w:rsid w:val="005120BA"/>
    <w:rsid w:val="00513221"/>
    <w:rsid w:val="005132FC"/>
    <w:rsid w:val="00513CE4"/>
    <w:rsid w:val="00513D77"/>
    <w:rsid w:val="00514E9B"/>
    <w:rsid w:val="00515A52"/>
    <w:rsid w:val="00515BE1"/>
    <w:rsid w:val="00515EDB"/>
    <w:rsid w:val="00517272"/>
    <w:rsid w:val="005204B9"/>
    <w:rsid w:val="00520E33"/>
    <w:rsid w:val="005210EB"/>
    <w:rsid w:val="005216B6"/>
    <w:rsid w:val="0052237D"/>
    <w:rsid w:val="005231F2"/>
    <w:rsid w:val="0052366F"/>
    <w:rsid w:val="0052387B"/>
    <w:rsid w:val="00524442"/>
    <w:rsid w:val="00524C74"/>
    <w:rsid w:val="00524D21"/>
    <w:rsid w:val="00524D91"/>
    <w:rsid w:val="00524DAE"/>
    <w:rsid w:val="00524EC8"/>
    <w:rsid w:val="0052540A"/>
    <w:rsid w:val="005259E1"/>
    <w:rsid w:val="00525B27"/>
    <w:rsid w:val="0052629E"/>
    <w:rsid w:val="00526CB8"/>
    <w:rsid w:val="0052704D"/>
    <w:rsid w:val="00527400"/>
    <w:rsid w:val="00527CDF"/>
    <w:rsid w:val="00527D96"/>
    <w:rsid w:val="005303B2"/>
    <w:rsid w:val="00530590"/>
    <w:rsid w:val="00530645"/>
    <w:rsid w:val="00531DE0"/>
    <w:rsid w:val="00532BDD"/>
    <w:rsid w:val="00532E48"/>
    <w:rsid w:val="00533072"/>
    <w:rsid w:val="0053388B"/>
    <w:rsid w:val="00533AA3"/>
    <w:rsid w:val="00533BE7"/>
    <w:rsid w:val="00533C8B"/>
    <w:rsid w:val="00533D9F"/>
    <w:rsid w:val="00533FBE"/>
    <w:rsid w:val="005342D0"/>
    <w:rsid w:val="0053552E"/>
    <w:rsid w:val="005356C8"/>
    <w:rsid w:val="0053622B"/>
    <w:rsid w:val="005362F2"/>
    <w:rsid w:val="00536711"/>
    <w:rsid w:val="00536D18"/>
    <w:rsid w:val="00537617"/>
    <w:rsid w:val="0053775B"/>
    <w:rsid w:val="00537876"/>
    <w:rsid w:val="00541C0C"/>
    <w:rsid w:val="00541CDD"/>
    <w:rsid w:val="00541F62"/>
    <w:rsid w:val="0054200B"/>
    <w:rsid w:val="005424C1"/>
    <w:rsid w:val="005425FA"/>
    <w:rsid w:val="00542690"/>
    <w:rsid w:val="00543147"/>
    <w:rsid w:val="00543320"/>
    <w:rsid w:val="00543A81"/>
    <w:rsid w:val="00543D16"/>
    <w:rsid w:val="005447AD"/>
    <w:rsid w:val="00545C86"/>
    <w:rsid w:val="00545FAC"/>
    <w:rsid w:val="00546A8F"/>
    <w:rsid w:val="00546E9E"/>
    <w:rsid w:val="00547210"/>
    <w:rsid w:val="00547EE5"/>
    <w:rsid w:val="00550446"/>
    <w:rsid w:val="00550FC2"/>
    <w:rsid w:val="0055191B"/>
    <w:rsid w:val="00551C28"/>
    <w:rsid w:val="00551DF2"/>
    <w:rsid w:val="005521B4"/>
    <w:rsid w:val="0055270A"/>
    <w:rsid w:val="0055271D"/>
    <w:rsid w:val="005527C5"/>
    <w:rsid w:val="00552AED"/>
    <w:rsid w:val="00555042"/>
    <w:rsid w:val="005550EA"/>
    <w:rsid w:val="00555140"/>
    <w:rsid w:val="00555A23"/>
    <w:rsid w:val="00555B3E"/>
    <w:rsid w:val="00555EA7"/>
    <w:rsid w:val="00557253"/>
    <w:rsid w:val="00557598"/>
    <w:rsid w:val="00557850"/>
    <w:rsid w:val="005602F3"/>
    <w:rsid w:val="00560774"/>
    <w:rsid w:val="0056172B"/>
    <w:rsid w:val="00561CED"/>
    <w:rsid w:val="00561F98"/>
    <w:rsid w:val="00562188"/>
    <w:rsid w:val="00562264"/>
    <w:rsid w:val="005630E0"/>
    <w:rsid w:val="005635A7"/>
    <w:rsid w:val="0056398D"/>
    <w:rsid w:val="005640D1"/>
    <w:rsid w:val="005643DC"/>
    <w:rsid w:val="005648ED"/>
    <w:rsid w:val="0056543F"/>
    <w:rsid w:val="00565DAF"/>
    <w:rsid w:val="00566356"/>
    <w:rsid w:val="005669FB"/>
    <w:rsid w:val="00566EC5"/>
    <w:rsid w:val="00567003"/>
    <w:rsid w:val="0056720D"/>
    <w:rsid w:val="005677F4"/>
    <w:rsid w:val="00567E47"/>
    <w:rsid w:val="00570186"/>
    <w:rsid w:val="00570832"/>
    <w:rsid w:val="00570B75"/>
    <w:rsid w:val="00570DCE"/>
    <w:rsid w:val="00570E53"/>
    <w:rsid w:val="00571143"/>
    <w:rsid w:val="005711C1"/>
    <w:rsid w:val="005715E4"/>
    <w:rsid w:val="00571FF6"/>
    <w:rsid w:val="005720CE"/>
    <w:rsid w:val="005730A4"/>
    <w:rsid w:val="005734A8"/>
    <w:rsid w:val="0057389F"/>
    <w:rsid w:val="00573EF6"/>
    <w:rsid w:val="00574536"/>
    <w:rsid w:val="005745CE"/>
    <w:rsid w:val="00574E21"/>
    <w:rsid w:val="00574F30"/>
    <w:rsid w:val="00575223"/>
    <w:rsid w:val="00575A03"/>
    <w:rsid w:val="00575F6E"/>
    <w:rsid w:val="0057614B"/>
    <w:rsid w:val="0057626C"/>
    <w:rsid w:val="005763C1"/>
    <w:rsid w:val="00576D6A"/>
    <w:rsid w:val="00576D99"/>
    <w:rsid w:val="0057719D"/>
    <w:rsid w:val="00577614"/>
    <w:rsid w:val="00577917"/>
    <w:rsid w:val="00577AB7"/>
    <w:rsid w:val="00577F01"/>
    <w:rsid w:val="005803F5"/>
    <w:rsid w:val="00580DB0"/>
    <w:rsid w:val="0058116A"/>
    <w:rsid w:val="005816F8"/>
    <w:rsid w:val="00581980"/>
    <w:rsid w:val="00583547"/>
    <w:rsid w:val="005836A1"/>
    <w:rsid w:val="00583C7B"/>
    <w:rsid w:val="00583E7B"/>
    <w:rsid w:val="00583E9D"/>
    <w:rsid w:val="00584384"/>
    <w:rsid w:val="00584CA8"/>
    <w:rsid w:val="005853E6"/>
    <w:rsid w:val="00585C0C"/>
    <w:rsid w:val="00586277"/>
    <w:rsid w:val="00586864"/>
    <w:rsid w:val="005868FA"/>
    <w:rsid w:val="00586C1A"/>
    <w:rsid w:val="005876C1"/>
    <w:rsid w:val="005879AB"/>
    <w:rsid w:val="00587FD1"/>
    <w:rsid w:val="005900DC"/>
    <w:rsid w:val="005906F1"/>
    <w:rsid w:val="00590A25"/>
    <w:rsid w:val="00590D9E"/>
    <w:rsid w:val="00590ED3"/>
    <w:rsid w:val="0059276E"/>
    <w:rsid w:val="005929C6"/>
    <w:rsid w:val="00593A88"/>
    <w:rsid w:val="00594322"/>
    <w:rsid w:val="00594545"/>
    <w:rsid w:val="00594C5C"/>
    <w:rsid w:val="00595068"/>
    <w:rsid w:val="0059521C"/>
    <w:rsid w:val="005958DB"/>
    <w:rsid w:val="00596EBF"/>
    <w:rsid w:val="0059764E"/>
    <w:rsid w:val="005979F5"/>
    <w:rsid w:val="005A0072"/>
    <w:rsid w:val="005A009E"/>
    <w:rsid w:val="005A108A"/>
    <w:rsid w:val="005A1337"/>
    <w:rsid w:val="005A152E"/>
    <w:rsid w:val="005A17EA"/>
    <w:rsid w:val="005A1D6E"/>
    <w:rsid w:val="005A2109"/>
    <w:rsid w:val="005A22F7"/>
    <w:rsid w:val="005A27EF"/>
    <w:rsid w:val="005A2D3E"/>
    <w:rsid w:val="005A304A"/>
    <w:rsid w:val="005A38FD"/>
    <w:rsid w:val="005A3B72"/>
    <w:rsid w:val="005A3BB2"/>
    <w:rsid w:val="005A4C84"/>
    <w:rsid w:val="005A5060"/>
    <w:rsid w:val="005A53B8"/>
    <w:rsid w:val="005A5EAA"/>
    <w:rsid w:val="005A6424"/>
    <w:rsid w:val="005A6507"/>
    <w:rsid w:val="005A6821"/>
    <w:rsid w:val="005A683D"/>
    <w:rsid w:val="005A6936"/>
    <w:rsid w:val="005A6E64"/>
    <w:rsid w:val="005A7154"/>
    <w:rsid w:val="005A73EC"/>
    <w:rsid w:val="005A74C1"/>
    <w:rsid w:val="005B0485"/>
    <w:rsid w:val="005B0BBE"/>
    <w:rsid w:val="005B0DBD"/>
    <w:rsid w:val="005B1097"/>
    <w:rsid w:val="005B1455"/>
    <w:rsid w:val="005B186F"/>
    <w:rsid w:val="005B2167"/>
    <w:rsid w:val="005B2C30"/>
    <w:rsid w:val="005B2CC6"/>
    <w:rsid w:val="005B3183"/>
    <w:rsid w:val="005B5213"/>
    <w:rsid w:val="005B5E2A"/>
    <w:rsid w:val="005B639F"/>
    <w:rsid w:val="005B71BD"/>
    <w:rsid w:val="005B77C8"/>
    <w:rsid w:val="005C0040"/>
    <w:rsid w:val="005C024B"/>
    <w:rsid w:val="005C09A3"/>
    <w:rsid w:val="005C0D09"/>
    <w:rsid w:val="005C28DA"/>
    <w:rsid w:val="005C354B"/>
    <w:rsid w:val="005C35AA"/>
    <w:rsid w:val="005C3760"/>
    <w:rsid w:val="005C3ABC"/>
    <w:rsid w:val="005C3D80"/>
    <w:rsid w:val="005C40D0"/>
    <w:rsid w:val="005C4BFA"/>
    <w:rsid w:val="005C663A"/>
    <w:rsid w:val="005C6731"/>
    <w:rsid w:val="005C6911"/>
    <w:rsid w:val="005C6BDA"/>
    <w:rsid w:val="005C7693"/>
    <w:rsid w:val="005C79E8"/>
    <w:rsid w:val="005C7EA8"/>
    <w:rsid w:val="005C7F9C"/>
    <w:rsid w:val="005D04AA"/>
    <w:rsid w:val="005D0939"/>
    <w:rsid w:val="005D1CC7"/>
    <w:rsid w:val="005D1D86"/>
    <w:rsid w:val="005D1EB5"/>
    <w:rsid w:val="005D2724"/>
    <w:rsid w:val="005D282C"/>
    <w:rsid w:val="005D3B66"/>
    <w:rsid w:val="005D3B83"/>
    <w:rsid w:val="005D4321"/>
    <w:rsid w:val="005D43C4"/>
    <w:rsid w:val="005D4966"/>
    <w:rsid w:val="005D5E4A"/>
    <w:rsid w:val="005D7277"/>
    <w:rsid w:val="005D76F6"/>
    <w:rsid w:val="005D77ED"/>
    <w:rsid w:val="005D7CCD"/>
    <w:rsid w:val="005E0B32"/>
    <w:rsid w:val="005E27F8"/>
    <w:rsid w:val="005E2BFB"/>
    <w:rsid w:val="005E36DC"/>
    <w:rsid w:val="005E4693"/>
    <w:rsid w:val="005E51BB"/>
    <w:rsid w:val="005E6B84"/>
    <w:rsid w:val="005E7FE5"/>
    <w:rsid w:val="005F00A2"/>
    <w:rsid w:val="005F06CA"/>
    <w:rsid w:val="005F0CDC"/>
    <w:rsid w:val="005F13C9"/>
    <w:rsid w:val="005F1479"/>
    <w:rsid w:val="005F1B44"/>
    <w:rsid w:val="005F27AF"/>
    <w:rsid w:val="005F298A"/>
    <w:rsid w:val="005F2C02"/>
    <w:rsid w:val="005F32F0"/>
    <w:rsid w:val="005F3308"/>
    <w:rsid w:val="005F3322"/>
    <w:rsid w:val="005F35EB"/>
    <w:rsid w:val="005F4038"/>
    <w:rsid w:val="005F41C9"/>
    <w:rsid w:val="005F4468"/>
    <w:rsid w:val="005F4B78"/>
    <w:rsid w:val="005F5150"/>
    <w:rsid w:val="005F5326"/>
    <w:rsid w:val="005F5334"/>
    <w:rsid w:val="005F55CD"/>
    <w:rsid w:val="005F68D8"/>
    <w:rsid w:val="005F7CF8"/>
    <w:rsid w:val="00600BC6"/>
    <w:rsid w:val="00600C51"/>
    <w:rsid w:val="00600D32"/>
    <w:rsid w:val="00601CCD"/>
    <w:rsid w:val="0060247F"/>
    <w:rsid w:val="00602EEF"/>
    <w:rsid w:val="006035F9"/>
    <w:rsid w:val="00603A60"/>
    <w:rsid w:val="00604557"/>
    <w:rsid w:val="00604CCA"/>
    <w:rsid w:val="00605544"/>
    <w:rsid w:val="00606281"/>
    <w:rsid w:val="006062A9"/>
    <w:rsid w:val="006065C7"/>
    <w:rsid w:val="00607662"/>
    <w:rsid w:val="0060797A"/>
    <w:rsid w:val="00607AE7"/>
    <w:rsid w:val="00607E27"/>
    <w:rsid w:val="0061032B"/>
    <w:rsid w:val="006115E4"/>
    <w:rsid w:val="00611CF1"/>
    <w:rsid w:val="006127A4"/>
    <w:rsid w:val="006134CB"/>
    <w:rsid w:val="00614130"/>
    <w:rsid w:val="006141A2"/>
    <w:rsid w:val="006144FA"/>
    <w:rsid w:val="0061462B"/>
    <w:rsid w:val="00614E03"/>
    <w:rsid w:val="00614F82"/>
    <w:rsid w:val="0061517A"/>
    <w:rsid w:val="00616498"/>
    <w:rsid w:val="00617100"/>
    <w:rsid w:val="0061751C"/>
    <w:rsid w:val="00617BB7"/>
    <w:rsid w:val="00617C72"/>
    <w:rsid w:val="00620768"/>
    <w:rsid w:val="00620E5B"/>
    <w:rsid w:val="00620EA6"/>
    <w:rsid w:val="00620EC3"/>
    <w:rsid w:val="00620F42"/>
    <w:rsid w:val="00621353"/>
    <w:rsid w:val="0062144F"/>
    <w:rsid w:val="00621A6A"/>
    <w:rsid w:val="00621EE9"/>
    <w:rsid w:val="00622331"/>
    <w:rsid w:val="00623343"/>
    <w:rsid w:val="006239F9"/>
    <w:rsid w:val="00624AC9"/>
    <w:rsid w:val="00624FE2"/>
    <w:rsid w:val="0062530F"/>
    <w:rsid w:val="00625B48"/>
    <w:rsid w:val="006269DB"/>
    <w:rsid w:val="0062731D"/>
    <w:rsid w:val="00627473"/>
    <w:rsid w:val="00627808"/>
    <w:rsid w:val="00627958"/>
    <w:rsid w:val="00630474"/>
    <w:rsid w:val="00630690"/>
    <w:rsid w:val="00631727"/>
    <w:rsid w:val="00631BBA"/>
    <w:rsid w:val="0063337F"/>
    <w:rsid w:val="00634091"/>
    <w:rsid w:val="00634950"/>
    <w:rsid w:val="00635226"/>
    <w:rsid w:val="00635D9B"/>
    <w:rsid w:val="00636297"/>
    <w:rsid w:val="00636616"/>
    <w:rsid w:val="00636667"/>
    <w:rsid w:val="00637A01"/>
    <w:rsid w:val="00637C89"/>
    <w:rsid w:val="00637CD4"/>
    <w:rsid w:val="006403F2"/>
    <w:rsid w:val="006404A9"/>
    <w:rsid w:val="006408A9"/>
    <w:rsid w:val="006408AE"/>
    <w:rsid w:val="00642551"/>
    <w:rsid w:val="0064261B"/>
    <w:rsid w:val="0064272D"/>
    <w:rsid w:val="00643693"/>
    <w:rsid w:val="00644044"/>
    <w:rsid w:val="00644261"/>
    <w:rsid w:val="00644313"/>
    <w:rsid w:val="006447CD"/>
    <w:rsid w:val="00645072"/>
    <w:rsid w:val="00645CD7"/>
    <w:rsid w:val="006465BD"/>
    <w:rsid w:val="006467D7"/>
    <w:rsid w:val="0064696D"/>
    <w:rsid w:val="006476C4"/>
    <w:rsid w:val="00647BB0"/>
    <w:rsid w:val="00650A7D"/>
    <w:rsid w:val="00650C6F"/>
    <w:rsid w:val="00650FD9"/>
    <w:rsid w:val="00650FDF"/>
    <w:rsid w:val="00651957"/>
    <w:rsid w:val="00651B85"/>
    <w:rsid w:val="00652AC8"/>
    <w:rsid w:val="00652C51"/>
    <w:rsid w:val="00653216"/>
    <w:rsid w:val="0065334A"/>
    <w:rsid w:val="0065399D"/>
    <w:rsid w:val="00654090"/>
    <w:rsid w:val="00654D1C"/>
    <w:rsid w:val="0065506D"/>
    <w:rsid w:val="00655249"/>
    <w:rsid w:val="006559F0"/>
    <w:rsid w:val="006559F7"/>
    <w:rsid w:val="0065649C"/>
    <w:rsid w:val="006566C8"/>
    <w:rsid w:val="006567DC"/>
    <w:rsid w:val="0066020C"/>
    <w:rsid w:val="006605C9"/>
    <w:rsid w:val="0066080B"/>
    <w:rsid w:val="00661123"/>
    <w:rsid w:val="00661662"/>
    <w:rsid w:val="00662076"/>
    <w:rsid w:val="0066222D"/>
    <w:rsid w:val="006624FC"/>
    <w:rsid w:val="006627ED"/>
    <w:rsid w:val="00663578"/>
    <w:rsid w:val="00663E9D"/>
    <w:rsid w:val="0066405B"/>
    <w:rsid w:val="006640B3"/>
    <w:rsid w:val="00664ECF"/>
    <w:rsid w:val="00665153"/>
    <w:rsid w:val="006655E7"/>
    <w:rsid w:val="00665723"/>
    <w:rsid w:val="00665AB1"/>
    <w:rsid w:val="006660BC"/>
    <w:rsid w:val="00666F41"/>
    <w:rsid w:val="0066766D"/>
    <w:rsid w:val="00667E43"/>
    <w:rsid w:val="00667F55"/>
    <w:rsid w:val="0067017D"/>
    <w:rsid w:val="0067096D"/>
    <w:rsid w:val="00670C3A"/>
    <w:rsid w:val="00671470"/>
    <w:rsid w:val="00671CFB"/>
    <w:rsid w:val="00672F3F"/>
    <w:rsid w:val="00673000"/>
    <w:rsid w:val="006730CA"/>
    <w:rsid w:val="006738E8"/>
    <w:rsid w:val="0067509C"/>
    <w:rsid w:val="00675697"/>
    <w:rsid w:val="00675D5B"/>
    <w:rsid w:val="00675EF4"/>
    <w:rsid w:val="00676952"/>
    <w:rsid w:val="00680575"/>
    <w:rsid w:val="00680875"/>
    <w:rsid w:val="00680B73"/>
    <w:rsid w:val="00680C64"/>
    <w:rsid w:val="00680D0D"/>
    <w:rsid w:val="00680EB2"/>
    <w:rsid w:val="00681367"/>
    <w:rsid w:val="00681438"/>
    <w:rsid w:val="006815CE"/>
    <w:rsid w:val="006823D6"/>
    <w:rsid w:val="0068246D"/>
    <w:rsid w:val="00682AC1"/>
    <w:rsid w:val="00682E4C"/>
    <w:rsid w:val="00682FF2"/>
    <w:rsid w:val="00683FE6"/>
    <w:rsid w:val="006842A3"/>
    <w:rsid w:val="006843B1"/>
    <w:rsid w:val="0068446C"/>
    <w:rsid w:val="00684B0F"/>
    <w:rsid w:val="00684B84"/>
    <w:rsid w:val="00687584"/>
    <w:rsid w:val="006879AA"/>
    <w:rsid w:val="00687B48"/>
    <w:rsid w:val="00687B89"/>
    <w:rsid w:val="0069063E"/>
    <w:rsid w:val="00690E4F"/>
    <w:rsid w:val="00690F93"/>
    <w:rsid w:val="00692252"/>
    <w:rsid w:val="00692D40"/>
    <w:rsid w:val="00692E77"/>
    <w:rsid w:val="006930E4"/>
    <w:rsid w:val="006930FB"/>
    <w:rsid w:val="006936F5"/>
    <w:rsid w:val="0069427E"/>
    <w:rsid w:val="00694DC2"/>
    <w:rsid w:val="006951B5"/>
    <w:rsid w:val="006955F1"/>
    <w:rsid w:val="00695B8E"/>
    <w:rsid w:val="00696957"/>
    <w:rsid w:val="00697C5A"/>
    <w:rsid w:val="00697D9A"/>
    <w:rsid w:val="006A0424"/>
    <w:rsid w:val="006A2501"/>
    <w:rsid w:val="006A2526"/>
    <w:rsid w:val="006A3ABD"/>
    <w:rsid w:val="006A436B"/>
    <w:rsid w:val="006A4439"/>
    <w:rsid w:val="006A4D08"/>
    <w:rsid w:val="006A5DE5"/>
    <w:rsid w:val="006A5F25"/>
    <w:rsid w:val="006A5F54"/>
    <w:rsid w:val="006A605E"/>
    <w:rsid w:val="006A6071"/>
    <w:rsid w:val="006A6980"/>
    <w:rsid w:val="006A6BF1"/>
    <w:rsid w:val="006A7029"/>
    <w:rsid w:val="006A7C8E"/>
    <w:rsid w:val="006B0056"/>
    <w:rsid w:val="006B21F0"/>
    <w:rsid w:val="006B25C8"/>
    <w:rsid w:val="006B2852"/>
    <w:rsid w:val="006B2CE4"/>
    <w:rsid w:val="006B2D7E"/>
    <w:rsid w:val="006B34E0"/>
    <w:rsid w:val="006B3A6C"/>
    <w:rsid w:val="006B3CEB"/>
    <w:rsid w:val="006B3DDD"/>
    <w:rsid w:val="006B5845"/>
    <w:rsid w:val="006B5908"/>
    <w:rsid w:val="006B5F75"/>
    <w:rsid w:val="006B62CE"/>
    <w:rsid w:val="006B649F"/>
    <w:rsid w:val="006B69F1"/>
    <w:rsid w:val="006B6ACC"/>
    <w:rsid w:val="006B75FD"/>
    <w:rsid w:val="006B7BA4"/>
    <w:rsid w:val="006B7D6B"/>
    <w:rsid w:val="006C0392"/>
    <w:rsid w:val="006C0794"/>
    <w:rsid w:val="006C0A46"/>
    <w:rsid w:val="006C0D38"/>
    <w:rsid w:val="006C2842"/>
    <w:rsid w:val="006C2C05"/>
    <w:rsid w:val="006C3489"/>
    <w:rsid w:val="006C3698"/>
    <w:rsid w:val="006C4D9A"/>
    <w:rsid w:val="006C5802"/>
    <w:rsid w:val="006C66AA"/>
    <w:rsid w:val="006C680D"/>
    <w:rsid w:val="006C6FA3"/>
    <w:rsid w:val="006C7124"/>
    <w:rsid w:val="006C7205"/>
    <w:rsid w:val="006C759A"/>
    <w:rsid w:val="006C759F"/>
    <w:rsid w:val="006C7F3F"/>
    <w:rsid w:val="006D00D0"/>
    <w:rsid w:val="006D0963"/>
    <w:rsid w:val="006D09E4"/>
    <w:rsid w:val="006D0A50"/>
    <w:rsid w:val="006D0F3A"/>
    <w:rsid w:val="006D16A9"/>
    <w:rsid w:val="006D1744"/>
    <w:rsid w:val="006D1C2E"/>
    <w:rsid w:val="006D1EB5"/>
    <w:rsid w:val="006D217D"/>
    <w:rsid w:val="006D2318"/>
    <w:rsid w:val="006D2606"/>
    <w:rsid w:val="006D2C3D"/>
    <w:rsid w:val="006D32FE"/>
    <w:rsid w:val="006D4221"/>
    <w:rsid w:val="006D4FD4"/>
    <w:rsid w:val="006D53BF"/>
    <w:rsid w:val="006D55D0"/>
    <w:rsid w:val="006D58F1"/>
    <w:rsid w:val="006D6829"/>
    <w:rsid w:val="006D6876"/>
    <w:rsid w:val="006D6965"/>
    <w:rsid w:val="006D6A93"/>
    <w:rsid w:val="006D7428"/>
    <w:rsid w:val="006E0844"/>
    <w:rsid w:val="006E0914"/>
    <w:rsid w:val="006E1818"/>
    <w:rsid w:val="006E1A30"/>
    <w:rsid w:val="006E1B48"/>
    <w:rsid w:val="006E1B87"/>
    <w:rsid w:val="006E1DF2"/>
    <w:rsid w:val="006E306E"/>
    <w:rsid w:val="006E3C13"/>
    <w:rsid w:val="006E4100"/>
    <w:rsid w:val="006E41FA"/>
    <w:rsid w:val="006E46AE"/>
    <w:rsid w:val="006E51B6"/>
    <w:rsid w:val="006E59FB"/>
    <w:rsid w:val="006E718B"/>
    <w:rsid w:val="006E78B1"/>
    <w:rsid w:val="006E7D07"/>
    <w:rsid w:val="006E7D8C"/>
    <w:rsid w:val="006F0275"/>
    <w:rsid w:val="006F043A"/>
    <w:rsid w:val="006F07C7"/>
    <w:rsid w:val="006F09E8"/>
    <w:rsid w:val="006F0A4C"/>
    <w:rsid w:val="006F1D3B"/>
    <w:rsid w:val="006F1DB7"/>
    <w:rsid w:val="006F249A"/>
    <w:rsid w:val="006F2CE2"/>
    <w:rsid w:val="006F3875"/>
    <w:rsid w:val="006F3BB0"/>
    <w:rsid w:val="006F4CEC"/>
    <w:rsid w:val="006F4D9E"/>
    <w:rsid w:val="006F744B"/>
    <w:rsid w:val="006F7571"/>
    <w:rsid w:val="00700016"/>
    <w:rsid w:val="00701937"/>
    <w:rsid w:val="00701E15"/>
    <w:rsid w:val="00701EC2"/>
    <w:rsid w:val="00702248"/>
    <w:rsid w:val="00702695"/>
    <w:rsid w:val="007026E4"/>
    <w:rsid w:val="00702A0F"/>
    <w:rsid w:val="00703301"/>
    <w:rsid w:val="007038D6"/>
    <w:rsid w:val="007043B3"/>
    <w:rsid w:val="007056F0"/>
    <w:rsid w:val="00705B11"/>
    <w:rsid w:val="00706FAD"/>
    <w:rsid w:val="00707411"/>
    <w:rsid w:val="0070763B"/>
    <w:rsid w:val="0070789B"/>
    <w:rsid w:val="0071037D"/>
    <w:rsid w:val="007103F9"/>
    <w:rsid w:val="0071049B"/>
    <w:rsid w:val="00710524"/>
    <w:rsid w:val="0071058E"/>
    <w:rsid w:val="007105D3"/>
    <w:rsid w:val="0071096E"/>
    <w:rsid w:val="00710E16"/>
    <w:rsid w:val="00712370"/>
    <w:rsid w:val="0071259A"/>
    <w:rsid w:val="00712673"/>
    <w:rsid w:val="0071441E"/>
    <w:rsid w:val="00714E5D"/>
    <w:rsid w:val="00714F5C"/>
    <w:rsid w:val="007160C4"/>
    <w:rsid w:val="00716196"/>
    <w:rsid w:val="007163A4"/>
    <w:rsid w:val="00716E89"/>
    <w:rsid w:val="007172A6"/>
    <w:rsid w:val="00720A1A"/>
    <w:rsid w:val="00720A8A"/>
    <w:rsid w:val="00720C20"/>
    <w:rsid w:val="00720D80"/>
    <w:rsid w:val="007218DD"/>
    <w:rsid w:val="00721D3A"/>
    <w:rsid w:val="0072201E"/>
    <w:rsid w:val="00722161"/>
    <w:rsid w:val="007235F2"/>
    <w:rsid w:val="00723C49"/>
    <w:rsid w:val="00723D6B"/>
    <w:rsid w:val="00724495"/>
    <w:rsid w:val="00724604"/>
    <w:rsid w:val="0072610D"/>
    <w:rsid w:val="00727026"/>
    <w:rsid w:val="007271AA"/>
    <w:rsid w:val="0072727C"/>
    <w:rsid w:val="0073043C"/>
    <w:rsid w:val="0073080C"/>
    <w:rsid w:val="00730996"/>
    <w:rsid w:val="00730AA8"/>
    <w:rsid w:val="00730B3D"/>
    <w:rsid w:val="00730B4A"/>
    <w:rsid w:val="007315D9"/>
    <w:rsid w:val="00731980"/>
    <w:rsid w:val="007320A8"/>
    <w:rsid w:val="00732BA3"/>
    <w:rsid w:val="00733293"/>
    <w:rsid w:val="00733339"/>
    <w:rsid w:val="00733D2D"/>
    <w:rsid w:val="00734595"/>
    <w:rsid w:val="007345FE"/>
    <w:rsid w:val="0073461C"/>
    <w:rsid w:val="00735329"/>
    <w:rsid w:val="00735458"/>
    <w:rsid w:val="00735A79"/>
    <w:rsid w:val="007368E1"/>
    <w:rsid w:val="00737A06"/>
    <w:rsid w:val="00740E38"/>
    <w:rsid w:val="0074153F"/>
    <w:rsid w:val="00741678"/>
    <w:rsid w:val="007418E5"/>
    <w:rsid w:val="00741DBE"/>
    <w:rsid w:val="00741F69"/>
    <w:rsid w:val="00741F7A"/>
    <w:rsid w:val="00742336"/>
    <w:rsid w:val="0074249D"/>
    <w:rsid w:val="007426EB"/>
    <w:rsid w:val="00742858"/>
    <w:rsid w:val="00742BA4"/>
    <w:rsid w:val="0074373B"/>
    <w:rsid w:val="007446F2"/>
    <w:rsid w:val="007450B3"/>
    <w:rsid w:val="00745108"/>
    <w:rsid w:val="007451C4"/>
    <w:rsid w:val="00745329"/>
    <w:rsid w:val="00745921"/>
    <w:rsid w:val="00745BCF"/>
    <w:rsid w:val="00746446"/>
    <w:rsid w:val="007467A6"/>
    <w:rsid w:val="00746BDB"/>
    <w:rsid w:val="0074742C"/>
    <w:rsid w:val="007478DF"/>
    <w:rsid w:val="0075083E"/>
    <w:rsid w:val="00751914"/>
    <w:rsid w:val="00752A65"/>
    <w:rsid w:val="00752F54"/>
    <w:rsid w:val="00753173"/>
    <w:rsid w:val="00753511"/>
    <w:rsid w:val="007549C0"/>
    <w:rsid w:val="00754E8E"/>
    <w:rsid w:val="00754F1A"/>
    <w:rsid w:val="00755361"/>
    <w:rsid w:val="0075547F"/>
    <w:rsid w:val="007569D4"/>
    <w:rsid w:val="007578C0"/>
    <w:rsid w:val="00757CD5"/>
    <w:rsid w:val="00757DEC"/>
    <w:rsid w:val="00761818"/>
    <w:rsid w:val="007621B3"/>
    <w:rsid w:val="00762DE1"/>
    <w:rsid w:val="007638BA"/>
    <w:rsid w:val="00766902"/>
    <w:rsid w:val="00766F5F"/>
    <w:rsid w:val="00771354"/>
    <w:rsid w:val="007714BF"/>
    <w:rsid w:val="0077219D"/>
    <w:rsid w:val="0077293D"/>
    <w:rsid w:val="0077300A"/>
    <w:rsid w:val="00773870"/>
    <w:rsid w:val="00773937"/>
    <w:rsid w:val="007746FE"/>
    <w:rsid w:val="007761DF"/>
    <w:rsid w:val="0077641B"/>
    <w:rsid w:val="007772CC"/>
    <w:rsid w:val="0077770E"/>
    <w:rsid w:val="00777E0A"/>
    <w:rsid w:val="00780375"/>
    <w:rsid w:val="00780804"/>
    <w:rsid w:val="00780A96"/>
    <w:rsid w:val="00780B66"/>
    <w:rsid w:val="00781317"/>
    <w:rsid w:val="0078140A"/>
    <w:rsid w:val="0078190E"/>
    <w:rsid w:val="00781BC3"/>
    <w:rsid w:val="0078248C"/>
    <w:rsid w:val="00782C29"/>
    <w:rsid w:val="00782CA2"/>
    <w:rsid w:val="00782DA7"/>
    <w:rsid w:val="00782E24"/>
    <w:rsid w:val="00782ECD"/>
    <w:rsid w:val="007848C2"/>
    <w:rsid w:val="007862EE"/>
    <w:rsid w:val="0078677E"/>
    <w:rsid w:val="00786C7E"/>
    <w:rsid w:val="00786EA6"/>
    <w:rsid w:val="00790298"/>
    <w:rsid w:val="00790883"/>
    <w:rsid w:val="00790B0F"/>
    <w:rsid w:val="00790CBE"/>
    <w:rsid w:val="00790DD6"/>
    <w:rsid w:val="00791575"/>
    <w:rsid w:val="00791F2A"/>
    <w:rsid w:val="00792FD8"/>
    <w:rsid w:val="00793029"/>
    <w:rsid w:val="007935E5"/>
    <w:rsid w:val="00793721"/>
    <w:rsid w:val="0079375B"/>
    <w:rsid w:val="00793999"/>
    <w:rsid w:val="00793B47"/>
    <w:rsid w:val="00793D11"/>
    <w:rsid w:val="00793DEA"/>
    <w:rsid w:val="00794759"/>
    <w:rsid w:val="007947AA"/>
    <w:rsid w:val="0079495F"/>
    <w:rsid w:val="00795004"/>
    <w:rsid w:val="0079588E"/>
    <w:rsid w:val="00795E86"/>
    <w:rsid w:val="00796D51"/>
    <w:rsid w:val="00796FDB"/>
    <w:rsid w:val="00797522"/>
    <w:rsid w:val="00797982"/>
    <w:rsid w:val="007A011E"/>
    <w:rsid w:val="007A05EB"/>
    <w:rsid w:val="007A07CF"/>
    <w:rsid w:val="007A093B"/>
    <w:rsid w:val="007A21C1"/>
    <w:rsid w:val="007A2231"/>
    <w:rsid w:val="007A2778"/>
    <w:rsid w:val="007A2A1A"/>
    <w:rsid w:val="007A3287"/>
    <w:rsid w:val="007A3361"/>
    <w:rsid w:val="007A38E6"/>
    <w:rsid w:val="007A395C"/>
    <w:rsid w:val="007A3C06"/>
    <w:rsid w:val="007A432F"/>
    <w:rsid w:val="007A461C"/>
    <w:rsid w:val="007A4E06"/>
    <w:rsid w:val="007A50DE"/>
    <w:rsid w:val="007A6560"/>
    <w:rsid w:val="007A727B"/>
    <w:rsid w:val="007A7ABB"/>
    <w:rsid w:val="007A7DFB"/>
    <w:rsid w:val="007B0480"/>
    <w:rsid w:val="007B0B0A"/>
    <w:rsid w:val="007B1A9A"/>
    <w:rsid w:val="007B1D01"/>
    <w:rsid w:val="007B1D90"/>
    <w:rsid w:val="007B41E9"/>
    <w:rsid w:val="007B4424"/>
    <w:rsid w:val="007B6B0A"/>
    <w:rsid w:val="007B73F8"/>
    <w:rsid w:val="007B77CB"/>
    <w:rsid w:val="007B7A0D"/>
    <w:rsid w:val="007B7A47"/>
    <w:rsid w:val="007B7DB3"/>
    <w:rsid w:val="007C01E8"/>
    <w:rsid w:val="007C0C13"/>
    <w:rsid w:val="007C0CB8"/>
    <w:rsid w:val="007C1CF5"/>
    <w:rsid w:val="007C2A19"/>
    <w:rsid w:val="007C2C39"/>
    <w:rsid w:val="007C474F"/>
    <w:rsid w:val="007C4A83"/>
    <w:rsid w:val="007C4C0B"/>
    <w:rsid w:val="007C4CA1"/>
    <w:rsid w:val="007C5B1C"/>
    <w:rsid w:val="007C6210"/>
    <w:rsid w:val="007C6677"/>
    <w:rsid w:val="007C7321"/>
    <w:rsid w:val="007C74CE"/>
    <w:rsid w:val="007C7C8D"/>
    <w:rsid w:val="007D1405"/>
    <w:rsid w:val="007D17C5"/>
    <w:rsid w:val="007D1A55"/>
    <w:rsid w:val="007D1D57"/>
    <w:rsid w:val="007D289D"/>
    <w:rsid w:val="007D309E"/>
    <w:rsid w:val="007D4D23"/>
    <w:rsid w:val="007D5371"/>
    <w:rsid w:val="007D6515"/>
    <w:rsid w:val="007D69B9"/>
    <w:rsid w:val="007D6C61"/>
    <w:rsid w:val="007D6EDD"/>
    <w:rsid w:val="007D7A46"/>
    <w:rsid w:val="007D7FC8"/>
    <w:rsid w:val="007E019E"/>
    <w:rsid w:val="007E051C"/>
    <w:rsid w:val="007E110D"/>
    <w:rsid w:val="007E11BD"/>
    <w:rsid w:val="007E147A"/>
    <w:rsid w:val="007E16E6"/>
    <w:rsid w:val="007E1A49"/>
    <w:rsid w:val="007E28F9"/>
    <w:rsid w:val="007E3030"/>
    <w:rsid w:val="007E3226"/>
    <w:rsid w:val="007E35DB"/>
    <w:rsid w:val="007E3E24"/>
    <w:rsid w:val="007E465E"/>
    <w:rsid w:val="007E4E22"/>
    <w:rsid w:val="007E4E52"/>
    <w:rsid w:val="007E4FE4"/>
    <w:rsid w:val="007E67AA"/>
    <w:rsid w:val="007E6A24"/>
    <w:rsid w:val="007E781E"/>
    <w:rsid w:val="007E7CCB"/>
    <w:rsid w:val="007E7E91"/>
    <w:rsid w:val="007F08C3"/>
    <w:rsid w:val="007F0B46"/>
    <w:rsid w:val="007F0C13"/>
    <w:rsid w:val="007F10B7"/>
    <w:rsid w:val="007F16D2"/>
    <w:rsid w:val="007F31CB"/>
    <w:rsid w:val="007F3388"/>
    <w:rsid w:val="007F3C81"/>
    <w:rsid w:val="007F3F27"/>
    <w:rsid w:val="007F57BF"/>
    <w:rsid w:val="007F622E"/>
    <w:rsid w:val="007F6295"/>
    <w:rsid w:val="007F6C5E"/>
    <w:rsid w:val="007F76C0"/>
    <w:rsid w:val="007F770E"/>
    <w:rsid w:val="00800331"/>
    <w:rsid w:val="00800902"/>
    <w:rsid w:val="008013D9"/>
    <w:rsid w:val="00801A66"/>
    <w:rsid w:val="00801E01"/>
    <w:rsid w:val="00802BB5"/>
    <w:rsid w:val="00803451"/>
    <w:rsid w:val="00803646"/>
    <w:rsid w:val="0080370D"/>
    <w:rsid w:val="008039B4"/>
    <w:rsid w:val="008044EE"/>
    <w:rsid w:val="00805CDA"/>
    <w:rsid w:val="00807713"/>
    <w:rsid w:val="0080771E"/>
    <w:rsid w:val="00807F4E"/>
    <w:rsid w:val="00810207"/>
    <w:rsid w:val="008108C5"/>
    <w:rsid w:val="00811288"/>
    <w:rsid w:val="008132B7"/>
    <w:rsid w:val="00813860"/>
    <w:rsid w:val="00813DDB"/>
    <w:rsid w:val="00814076"/>
    <w:rsid w:val="00814375"/>
    <w:rsid w:val="008143C0"/>
    <w:rsid w:val="00814D6B"/>
    <w:rsid w:val="0081531B"/>
    <w:rsid w:val="00815D93"/>
    <w:rsid w:val="008161CA"/>
    <w:rsid w:val="00816824"/>
    <w:rsid w:val="008173FF"/>
    <w:rsid w:val="008178F5"/>
    <w:rsid w:val="00820182"/>
    <w:rsid w:val="008205BC"/>
    <w:rsid w:val="00820D22"/>
    <w:rsid w:val="0082121C"/>
    <w:rsid w:val="0082142A"/>
    <w:rsid w:val="008217F3"/>
    <w:rsid w:val="008219E0"/>
    <w:rsid w:val="00821F4B"/>
    <w:rsid w:val="00821FF9"/>
    <w:rsid w:val="008230C6"/>
    <w:rsid w:val="00823D8D"/>
    <w:rsid w:val="00824A56"/>
    <w:rsid w:val="00824D37"/>
    <w:rsid w:val="00824E7C"/>
    <w:rsid w:val="00825264"/>
    <w:rsid w:val="00825363"/>
    <w:rsid w:val="00825CC7"/>
    <w:rsid w:val="00825DAD"/>
    <w:rsid w:val="008262CC"/>
    <w:rsid w:val="008264E4"/>
    <w:rsid w:val="00827174"/>
    <w:rsid w:val="008274A1"/>
    <w:rsid w:val="008278F9"/>
    <w:rsid w:val="00827C0E"/>
    <w:rsid w:val="008303B0"/>
    <w:rsid w:val="00831033"/>
    <w:rsid w:val="008311CF"/>
    <w:rsid w:val="00831FEB"/>
    <w:rsid w:val="0083205D"/>
    <w:rsid w:val="0083266D"/>
    <w:rsid w:val="008336A2"/>
    <w:rsid w:val="00833B56"/>
    <w:rsid w:val="00833BA0"/>
    <w:rsid w:val="00833FD2"/>
    <w:rsid w:val="008343F5"/>
    <w:rsid w:val="0083453C"/>
    <w:rsid w:val="00834846"/>
    <w:rsid w:val="008354E2"/>
    <w:rsid w:val="00835AC3"/>
    <w:rsid w:val="00835C74"/>
    <w:rsid w:val="00835CF4"/>
    <w:rsid w:val="00835D08"/>
    <w:rsid w:val="00836880"/>
    <w:rsid w:val="0083696E"/>
    <w:rsid w:val="00836E6E"/>
    <w:rsid w:val="00837011"/>
    <w:rsid w:val="00837CF3"/>
    <w:rsid w:val="008401DB"/>
    <w:rsid w:val="0084036A"/>
    <w:rsid w:val="008406BF"/>
    <w:rsid w:val="00841F53"/>
    <w:rsid w:val="00842265"/>
    <w:rsid w:val="00842C74"/>
    <w:rsid w:val="00842FE6"/>
    <w:rsid w:val="008432D8"/>
    <w:rsid w:val="0084330E"/>
    <w:rsid w:val="00843311"/>
    <w:rsid w:val="00843F76"/>
    <w:rsid w:val="0084476A"/>
    <w:rsid w:val="008450B8"/>
    <w:rsid w:val="00845316"/>
    <w:rsid w:val="0084565B"/>
    <w:rsid w:val="00845864"/>
    <w:rsid w:val="008458E5"/>
    <w:rsid w:val="00845A03"/>
    <w:rsid w:val="008467A5"/>
    <w:rsid w:val="00846869"/>
    <w:rsid w:val="008475EB"/>
    <w:rsid w:val="00850257"/>
    <w:rsid w:val="00850289"/>
    <w:rsid w:val="00850512"/>
    <w:rsid w:val="00850899"/>
    <w:rsid w:val="00850A8D"/>
    <w:rsid w:val="00850ACC"/>
    <w:rsid w:val="00851366"/>
    <w:rsid w:val="008518CB"/>
    <w:rsid w:val="00851A46"/>
    <w:rsid w:val="008523AA"/>
    <w:rsid w:val="0085273D"/>
    <w:rsid w:val="00852D2F"/>
    <w:rsid w:val="00853C58"/>
    <w:rsid w:val="00853CBC"/>
    <w:rsid w:val="00853DD8"/>
    <w:rsid w:val="008542CE"/>
    <w:rsid w:val="008549B5"/>
    <w:rsid w:val="00854F23"/>
    <w:rsid w:val="00855164"/>
    <w:rsid w:val="0085556C"/>
    <w:rsid w:val="00855F2E"/>
    <w:rsid w:val="00857DC1"/>
    <w:rsid w:val="008613D5"/>
    <w:rsid w:val="00862269"/>
    <w:rsid w:val="00862D77"/>
    <w:rsid w:val="00863A5C"/>
    <w:rsid w:val="00864220"/>
    <w:rsid w:val="00864D98"/>
    <w:rsid w:val="00865A4F"/>
    <w:rsid w:val="00865F73"/>
    <w:rsid w:val="0086668A"/>
    <w:rsid w:val="008667EA"/>
    <w:rsid w:val="008669D6"/>
    <w:rsid w:val="00866D2D"/>
    <w:rsid w:val="00866F7C"/>
    <w:rsid w:val="0086707B"/>
    <w:rsid w:val="00867E70"/>
    <w:rsid w:val="00870427"/>
    <w:rsid w:val="008709EE"/>
    <w:rsid w:val="008710FB"/>
    <w:rsid w:val="008711E1"/>
    <w:rsid w:val="00871C6E"/>
    <w:rsid w:val="00871C9C"/>
    <w:rsid w:val="0087204E"/>
    <w:rsid w:val="008736F3"/>
    <w:rsid w:val="0087395C"/>
    <w:rsid w:val="00873A04"/>
    <w:rsid w:val="00874448"/>
    <w:rsid w:val="008756ED"/>
    <w:rsid w:val="00875A0D"/>
    <w:rsid w:val="00875F3D"/>
    <w:rsid w:val="008768FF"/>
    <w:rsid w:val="00876F4A"/>
    <w:rsid w:val="008772A9"/>
    <w:rsid w:val="00877F31"/>
    <w:rsid w:val="008800F5"/>
    <w:rsid w:val="00880DFE"/>
    <w:rsid w:val="008817B9"/>
    <w:rsid w:val="00881D62"/>
    <w:rsid w:val="0088211E"/>
    <w:rsid w:val="008821EE"/>
    <w:rsid w:val="008824B3"/>
    <w:rsid w:val="00882B52"/>
    <w:rsid w:val="00883B39"/>
    <w:rsid w:val="00883E3A"/>
    <w:rsid w:val="00883E7E"/>
    <w:rsid w:val="00884387"/>
    <w:rsid w:val="0088464B"/>
    <w:rsid w:val="00885257"/>
    <w:rsid w:val="00885503"/>
    <w:rsid w:val="00885FC6"/>
    <w:rsid w:val="0088641A"/>
    <w:rsid w:val="00886A69"/>
    <w:rsid w:val="008877CD"/>
    <w:rsid w:val="00891E92"/>
    <w:rsid w:val="008926BB"/>
    <w:rsid w:val="0089278E"/>
    <w:rsid w:val="008927E7"/>
    <w:rsid w:val="00892AFB"/>
    <w:rsid w:val="00893236"/>
    <w:rsid w:val="00893A6A"/>
    <w:rsid w:val="00893C39"/>
    <w:rsid w:val="008944C9"/>
    <w:rsid w:val="008949EB"/>
    <w:rsid w:val="00894BA9"/>
    <w:rsid w:val="00895EB6"/>
    <w:rsid w:val="00895FAB"/>
    <w:rsid w:val="0089711E"/>
    <w:rsid w:val="008976EF"/>
    <w:rsid w:val="00897769"/>
    <w:rsid w:val="00897CAE"/>
    <w:rsid w:val="008A0FC8"/>
    <w:rsid w:val="008A10A6"/>
    <w:rsid w:val="008A11FB"/>
    <w:rsid w:val="008A16EF"/>
    <w:rsid w:val="008A1854"/>
    <w:rsid w:val="008A1A4F"/>
    <w:rsid w:val="008A2357"/>
    <w:rsid w:val="008A23F7"/>
    <w:rsid w:val="008A2590"/>
    <w:rsid w:val="008A28D3"/>
    <w:rsid w:val="008A2B10"/>
    <w:rsid w:val="008A2B8C"/>
    <w:rsid w:val="008A2E46"/>
    <w:rsid w:val="008A4432"/>
    <w:rsid w:val="008A4EB0"/>
    <w:rsid w:val="008A5097"/>
    <w:rsid w:val="008A52B1"/>
    <w:rsid w:val="008A5F3C"/>
    <w:rsid w:val="008A6533"/>
    <w:rsid w:val="008A69E9"/>
    <w:rsid w:val="008A69FB"/>
    <w:rsid w:val="008A6AAC"/>
    <w:rsid w:val="008A6CD7"/>
    <w:rsid w:val="008A7774"/>
    <w:rsid w:val="008A7C56"/>
    <w:rsid w:val="008B166C"/>
    <w:rsid w:val="008B18B7"/>
    <w:rsid w:val="008B1EBD"/>
    <w:rsid w:val="008B2270"/>
    <w:rsid w:val="008B26F0"/>
    <w:rsid w:val="008B2AA0"/>
    <w:rsid w:val="008B304B"/>
    <w:rsid w:val="008B34C0"/>
    <w:rsid w:val="008B373F"/>
    <w:rsid w:val="008B38C2"/>
    <w:rsid w:val="008B4710"/>
    <w:rsid w:val="008B4833"/>
    <w:rsid w:val="008B502F"/>
    <w:rsid w:val="008B5428"/>
    <w:rsid w:val="008B58C5"/>
    <w:rsid w:val="008B5DB3"/>
    <w:rsid w:val="008B65C8"/>
    <w:rsid w:val="008B6BA8"/>
    <w:rsid w:val="008B6EE2"/>
    <w:rsid w:val="008B7800"/>
    <w:rsid w:val="008C000F"/>
    <w:rsid w:val="008C04CD"/>
    <w:rsid w:val="008C051E"/>
    <w:rsid w:val="008C0764"/>
    <w:rsid w:val="008C0E3F"/>
    <w:rsid w:val="008C20C4"/>
    <w:rsid w:val="008C3020"/>
    <w:rsid w:val="008C5404"/>
    <w:rsid w:val="008C5563"/>
    <w:rsid w:val="008C5725"/>
    <w:rsid w:val="008C582E"/>
    <w:rsid w:val="008C5B1D"/>
    <w:rsid w:val="008C6F86"/>
    <w:rsid w:val="008C7548"/>
    <w:rsid w:val="008C7ED9"/>
    <w:rsid w:val="008C7FF8"/>
    <w:rsid w:val="008D05CA"/>
    <w:rsid w:val="008D0E6E"/>
    <w:rsid w:val="008D110B"/>
    <w:rsid w:val="008D1204"/>
    <w:rsid w:val="008D146A"/>
    <w:rsid w:val="008D19AE"/>
    <w:rsid w:val="008D2621"/>
    <w:rsid w:val="008D2725"/>
    <w:rsid w:val="008D33E0"/>
    <w:rsid w:val="008D39CC"/>
    <w:rsid w:val="008D3A4D"/>
    <w:rsid w:val="008D3B8F"/>
    <w:rsid w:val="008D3DD1"/>
    <w:rsid w:val="008D53E1"/>
    <w:rsid w:val="008D55DF"/>
    <w:rsid w:val="008D568A"/>
    <w:rsid w:val="008D6250"/>
    <w:rsid w:val="008D70C0"/>
    <w:rsid w:val="008E0170"/>
    <w:rsid w:val="008E0288"/>
    <w:rsid w:val="008E0296"/>
    <w:rsid w:val="008E087B"/>
    <w:rsid w:val="008E1BCB"/>
    <w:rsid w:val="008E29D5"/>
    <w:rsid w:val="008E31C2"/>
    <w:rsid w:val="008E3504"/>
    <w:rsid w:val="008E3946"/>
    <w:rsid w:val="008E3A26"/>
    <w:rsid w:val="008E3F79"/>
    <w:rsid w:val="008E4F0A"/>
    <w:rsid w:val="008E5135"/>
    <w:rsid w:val="008E519C"/>
    <w:rsid w:val="008E6817"/>
    <w:rsid w:val="008E7B95"/>
    <w:rsid w:val="008E7C56"/>
    <w:rsid w:val="008F0492"/>
    <w:rsid w:val="008F0D5B"/>
    <w:rsid w:val="008F0DFB"/>
    <w:rsid w:val="008F12C2"/>
    <w:rsid w:val="008F1437"/>
    <w:rsid w:val="008F1543"/>
    <w:rsid w:val="008F15E6"/>
    <w:rsid w:val="008F1BE3"/>
    <w:rsid w:val="008F29A8"/>
    <w:rsid w:val="008F3232"/>
    <w:rsid w:val="008F3D6B"/>
    <w:rsid w:val="008F4B34"/>
    <w:rsid w:val="008F4FB5"/>
    <w:rsid w:val="008F5929"/>
    <w:rsid w:val="008F62D9"/>
    <w:rsid w:val="008F6373"/>
    <w:rsid w:val="008F6500"/>
    <w:rsid w:val="008F6A14"/>
    <w:rsid w:val="008F6C3B"/>
    <w:rsid w:val="008F7509"/>
    <w:rsid w:val="008F7ABC"/>
    <w:rsid w:val="008F7FCA"/>
    <w:rsid w:val="00900405"/>
    <w:rsid w:val="00900B89"/>
    <w:rsid w:val="00900B91"/>
    <w:rsid w:val="00900DD8"/>
    <w:rsid w:val="00901294"/>
    <w:rsid w:val="0090195B"/>
    <w:rsid w:val="00901FC7"/>
    <w:rsid w:val="00901FC9"/>
    <w:rsid w:val="00902861"/>
    <w:rsid w:val="009032B6"/>
    <w:rsid w:val="00903B93"/>
    <w:rsid w:val="00903D5B"/>
    <w:rsid w:val="00905019"/>
    <w:rsid w:val="00905376"/>
    <w:rsid w:val="00905684"/>
    <w:rsid w:val="009073F9"/>
    <w:rsid w:val="00907780"/>
    <w:rsid w:val="00907F97"/>
    <w:rsid w:val="0091056F"/>
    <w:rsid w:val="00910702"/>
    <w:rsid w:val="0091193E"/>
    <w:rsid w:val="00911B23"/>
    <w:rsid w:val="00911FAA"/>
    <w:rsid w:val="0091232E"/>
    <w:rsid w:val="009126EA"/>
    <w:rsid w:val="009129D8"/>
    <w:rsid w:val="0091330E"/>
    <w:rsid w:val="00913A01"/>
    <w:rsid w:val="0091418F"/>
    <w:rsid w:val="0091484D"/>
    <w:rsid w:val="009148FE"/>
    <w:rsid w:val="00914B42"/>
    <w:rsid w:val="0091532A"/>
    <w:rsid w:val="009162C4"/>
    <w:rsid w:val="00916481"/>
    <w:rsid w:val="009166A3"/>
    <w:rsid w:val="00916999"/>
    <w:rsid w:val="00916A69"/>
    <w:rsid w:val="00917932"/>
    <w:rsid w:val="00920D62"/>
    <w:rsid w:val="009217F6"/>
    <w:rsid w:val="00921D17"/>
    <w:rsid w:val="00921F93"/>
    <w:rsid w:val="0092215D"/>
    <w:rsid w:val="009230F2"/>
    <w:rsid w:val="00923DD2"/>
    <w:rsid w:val="00923FC0"/>
    <w:rsid w:val="00924F2B"/>
    <w:rsid w:val="00924F67"/>
    <w:rsid w:val="00925056"/>
    <w:rsid w:val="0092665D"/>
    <w:rsid w:val="00926F98"/>
    <w:rsid w:val="00930715"/>
    <w:rsid w:val="009308AD"/>
    <w:rsid w:val="00930F57"/>
    <w:rsid w:val="009315C4"/>
    <w:rsid w:val="009317FC"/>
    <w:rsid w:val="00931891"/>
    <w:rsid w:val="00931C0B"/>
    <w:rsid w:val="00931FF7"/>
    <w:rsid w:val="0093207C"/>
    <w:rsid w:val="0093286B"/>
    <w:rsid w:val="00933B8A"/>
    <w:rsid w:val="00933BB5"/>
    <w:rsid w:val="00933CFB"/>
    <w:rsid w:val="00933DEF"/>
    <w:rsid w:val="00933F7E"/>
    <w:rsid w:val="00933F91"/>
    <w:rsid w:val="00934033"/>
    <w:rsid w:val="009342FC"/>
    <w:rsid w:val="00934829"/>
    <w:rsid w:val="00934FBC"/>
    <w:rsid w:val="00935363"/>
    <w:rsid w:val="00935434"/>
    <w:rsid w:val="00935D0E"/>
    <w:rsid w:val="009362D6"/>
    <w:rsid w:val="0093657E"/>
    <w:rsid w:val="00936B1F"/>
    <w:rsid w:val="00936DD1"/>
    <w:rsid w:val="0093700C"/>
    <w:rsid w:val="009370C7"/>
    <w:rsid w:val="00937D28"/>
    <w:rsid w:val="009403E0"/>
    <w:rsid w:val="0094080B"/>
    <w:rsid w:val="00940EF9"/>
    <w:rsid w:val="00940FB1"/>
    <w:rsid w:val="009410BD"/>
    <w:rsid w:val="00941706"/>
    <w:rsid w:val="0094236D"/>
    <w:rsid w:val="00942F37"/>
    <w:rsid w:val="00943318"/>
    <w:rsid w:val="00943819"/>
    <w:rsid w:val="00943E9E"/>
    <w:rsid w:val="0094440D"/>
    <w:rsid w:val="009447A9"/>
    <w:rsid w:val="0094485E"/>
    <w:rsid w:val="009448C4"/>
    <w:rsid w:val="00944C6F"/>
    <w:rsid w:val="00945456"/>
    <w:rsid w:val="00945CD5"/>
    <w:rsid w:val="00946204"/>
    <w:rsid w:val="00946325"/>
    <w:rsid w:val="009466E7"/>
    <w:rsid w:val="0094701F"/>
    <w:rsid w:val="00947026"/>
    <w:rsid w:val="00947164"/>
    <w:rsid w:val="009477EB"/>
    <w:rsid w:val="00947981"/>
    <w:rsid w:val="00950298"/>
    <w:rsid w:val="00950797"/>
    <w:rsid w:val="00950DBF"/>
    <w:rsid w:val="00951903"/>
    <w:rsid w:val="00951959"/>
    <w:rsid w:val="00951A14"/>
    <w:rsid w:val="00951CCB"/>
    <w:rsid w:val="00951D30"/>
    <w:rsid w:val="00952BAE"/>
    <w:rsid w:val="00952EB0"/>
    <w:rsid w:val="0095375E"/>
    <w:rsid w:val="009538A8"/>
    <w:rsid w:val="00954289"/>
    <w:rsid w:val="00954789"/>
    <w:rsid w:val="00954B1D"/>
    <w:rsid w:val="0095548D"/>
    <w:rsid w:val="00955A9E"/>
    <w:rsid w:val="00955B28"/>
    <w:rsid w:val="00955FAF"/>
    <w:rsid w:val="00956528"/>
    <w:rsid w:val="00957A9F"/>
    <w:rsid w:val="00960F27"/>
    <w:rsid w:val="00961088"/>
    <w:rsid w:val="00961FBE"/>
    <w:rsid w:val="0096254F"/>
    <w:rsid w:val="009636D4"/>
    <w:rsid w:val="00963767"/>
    <w:rsid w:val="00963B0B"/>
    <w:rsid w:val="00963B94"/>
    <w:rsid w:val="009645B9"/>
    <w:rsid w:val="00964A31"/>
    <w:rsid w:val="00965930"/>
    <w:rsid w:val="0096598C"/>
    <w:rsid w:val="009660CF"/>
    <w:rsid w:val="00966EF6"/>
    <w:rsid w:val="00967022"/>
    <w:rsid w:val="00967831"/>
    <w:rsid w:val="00967983"/>
    <w:rsid w:val="00967ED5"/>
    <w:rsid w:val="00967FBF"/>
    <w:rsid w:val="009702B7"/>
    <w:rsid w:val="009702F2"/>
    <w:rsid w:val="009709E6"/>
    <w:rsid w:val="00970C0B"/>
    <w:rsid w:val="009711E4"/>
    <w:rsid w:val="009718B5"/>
    <w:rsid w:val="0097235D"/>
    <w:rsid w:val="00972538"/>
    <w:rsid w:val="009728CC"/>
    <w:rsid w:val="009728F9"/>
    <w:rsid w:val="00973019"/>
    <w:rsid w:val="009731F0"/>
    <w:rsid w:val="0097333B"/>
    <w:rsid w:val="0097354E"/>
    <w:rsid w:val="00974220"/>
    <w:rsid w:val="00974486"/>
    <w:rsid w:val="0097556F"/>
    <w:rsid w:val="00975691"/>
    <w:rsid w:val="00975A17"/>
    <w:rsid w:val="00977106"/>
    <w:rsid w:val="0097758A"/>
    <w:rsid w:val="00977F0B"/>
    <w:rsid w:val="0098041A"/>
    <w:rsid w:val="00980674"/>
    <w:rsid w:val="00981567"/>
    <w:rsid w:val="009817A4"/>
    <w:rsid w:val="00981901"/>
    <w:rsid w:val="00981D8F"/>
    <w:rsid w:val="00981E64"/>
    <w:rsid w:val="00982472"/>
    <w:rsid w:val="009824EC"/>
    <w:rsid w:val="00982AE4"/>
    <w:rsid w:val="00984248"/>
    <w:rsid w:val="00984465"/>
    <w:rsid w:val="009844E8"/>
    <w:rsid w:val="009854A5"/>
    <w:rsid w:val="00985AE4"/>
    <w:rsid w:val="00985B8E"/>
    <w:rsid w:val="009865A8"/>
    <w:rsid w:val="00987DB9"/>
    <w:rsid w:val="00990EF0"/>
    <w:rsid w:val="00990F11"/>
    <w:rsid w:val="00991466"/>
    <w:rsid w:val="00991A35"/>
    <w:rsid w:val="00991C65"/>
    <w:rsid w:val="00992A2B"/>
    <w:rsid w:val="00992C26"/>
    <w:rsid w:val="00993A75"/>
    <w:rsid w:val="0099421B"/>
    <w:rsid w:val="00994229"/>
    <w:rsid w:val="00994737"/>
    <w:rsid w:val="00994741"/>
    <w:rsid w:val="0099495C"/>
    <w:rsid w:val="00994FF8"/>
    <w:rsid w:val="00995330"/>
    <w:rsid w:val="00995500"/>
    <w:rsid w:val="00995D0B"/>
    <w:rsid w:val="00996514"/>
    <w:rsid w:val="009967C1"/>
    <w:rsid w:val="009969FC"/>
    <w:rsid w:val="00996F39"/>
    <w:rsid w:val="00996F50"/>
    <w:rsid w:val="009974A3"/>
    <w:rsid w:val="00997763"/>
    <w:rsid w:val="009A221D"/>
    <w:rsid w:val="009A236D"/>
    <w:rsid w:val="009A2673"/>
    <w:rsid w:val="009A2EBC"/>
    <w:rsid w:val="009A3379"/>
    <w:rsid w:val="009A3D2F"/>
    <w:rsid w:val="009A3DCE"/>
    <w:rsid w:val="009A3E8D"/>
    <w:rsid w:val="009A4653"/>
    <w:rsid w:val="009A4B83"/>
    <w:rsid w:val="009A52DE"/>
    <w:rsid w:val="009A565E"/>
    <w:rsid w:val="009A58FF"/>
    <w:rsid w:val="009A693E"/>
    <w:rsid w:val="009A6D2A"/>
    <w:rsid w:val="009A70DA"/>
    <w:rsid w:val="009A7387"/>
    <w:rsid w:val="009A7D16"/>
    <w:rsid w:val="009A7E7E"/>
    <w:rsid w:val="009B0605"/>
    <w:rsid w:val="009B0849"/>
    <w:rsid w:val="009B0851"/>
    <w:rsid w:val="009B1091"/>
    <w:rsid w:val="009B190B"/>
    <w:rsid w:val="009B2614"/>
    <w:rsid w:val="009B303A"/>
    <w:rsid w:val="009B3362"/>
    <w:rsid w:val="009B3A15"/>
    <w:rsid w:val="009B3EB0"/>
    <w:rsid w:val="009B505D"/>
    <w:rsid w:val="009B53CA"/>
    <w:rsid w:val="009B627D"/>
    <w:rsid w:val="009B66AE"/>
    <w:rsid w:val="009B70A8"/>
    <w:rsid w:val="009B7706"/>
    <w:rsid w:val="009C0F8A"/>
    <w:rsid w:val="009C13C2"/>
    <w:rsid w:val="009C24AE"/>
    <w:rsid w:val="009C28FD"/>
    <w:rsid w:val="009C2BAE"/>
    <w:rsid w:val="009C45A6"/>
    <w:rsid w:val="009C4B2D"/>
    <w:rsid w:val="009C4ECC"/>
    <w:rsid w:val="009C53E2"/>
    <w:rsid w:val="009C53FC"/>
    <w:rsid w:val="009C546F"/>
    <w:rsid w:val="009C67F6"/>
    <w:rsid w:val="009C7E4D"/>
    <w:rsid w:val="009D010F"/>
    <w:rsid w:val="009D0EC9"/>
    <w:rsid w:val="009D167A"/>
    <w:rsid w:val="009D191A"/>
    <w:rsid w:val="009D221A"/>
    <w:rsid w:val="009D2452"/>
    <w:rsid w:val="009D2751"/>
    <w:rsid w:val="009D3B1C"/>
    <w:rsid w:val="009D3F14"/>
    <w:rsid w:val="009D4188"/>
    <w:rsid w:val="009D42A6"/>
    <w:rsid w:val="009D4845"/>
    <w:rsid w:val="009D49FD"/>
    <w:rsid w:val="009D4ED9"/>
    <w:rsid w:val="009D5010"/>
    <w:rsid w:val="009D55EE"/>
    <w:rsid w:val="009D5E19"/>
    <w:rsid w:val="009D6593"/>
    <w:rsid w:val="009D7425"/>
    <w:rsid w:val="009D7794"/>
    <w:rsid w:val="009E001F"/>
    <w:rsid w:val="009E03A4"/>
    <w:rsid w:val="009E0562"/>
    <w:rsid w:val="009E056F"/>
    <w:rsid w:val="009E0769"/>
    <w:rsid w:val="009E1943"/>
    <w:rsid w:val="009E199B"/>
    <w:rsid w:val="009E234D"/>
    <w:rsid w:val="009E26FA"/>
    <w:rsid w:val="009E2BFE"/>
    <w:rsid w:val="009E36FB"/>
    <w:rsid w:val="009E373B"/>
    <w:rsid w:val="009E439C"/>
    <w:rsid w:val="009E48F3"/>
    <w:rsid w:val="009E4F9E"/>
    <w:rsid w:val="009E60F0"/>
    <w:rsid w:val="009E6C64"/>
    <w:rsid w:val="009E7A61"/>
    <w:rsid w:val="009E7C3D"/>
    <w:rsid w:val="009F067E"/>
    <w:rsid w:val="009F0712"/>
    <w:rsid w:val="009F0920"/>
    <w:rsid w:val="009F0990"/>
    <w:rsid w:val="009F09EE"/>
    <w:rsid w:val="009F165F"/>
    <w:rsid w:val="009F2CEB"/>
    <w:rsid w:val="009F2CED"/>
    <w:rsid w:val="009F315C"/>
    <w:rsid w:val="009F3525"/>
    <w:rsid w:val="009F36B1"/>
    <w:rsid w:val="009F3BEF"/>
    <w:rsid w:val="009F3E47"/>
    <w:rsid w:val="009F44E5"/>
    <w:rsid w:val="009F5437"/>
    <w:rsid w:val="009F55C0"/>
    <w:rsid w:val="009F588F"/>
    <w:rsid w:val="009F6491"/>
    <w:rsid w:val="009F66BD"/>
    <w:rsid w:val="009F6764"/>
    <w:rsid w:val="009F68CC"/>
    <w:rsid w:val="009F7285"/>
    <w:rsid w:val="009F79BD"/>
    <w:rsid w:val="009F7A87"/>
    <w:rsid w:val="009F7DB3"/>
    <w:rsid w:val="00A00C9C"/>
    <w:rsid w:val="00A016F9"/>
    <w:rsid w:val="00A018C0"/>
    <w:rsid w:val="00A0193B"/>
    <w:rsid w:val="00A01A8F"/>
    <w:rsid w:val="00A02069"/>
    <w:rsid w:val="00A0281B"/>
    <w:rsid w:val="00A02D44"/>
    <w:rsid w:val="00A02F62"/>
    <w:rsid w:val="00A03AD4"/>
    <w:rsid w:val="00A0424A"/>
    <w:rsid w:val="00A053CF"/>
    <w:rsid w:val="00A05DAF"/>
    <w:rsid w:val="00A05E8F"/>
    <w:rsid w:val="00A06174"/>
    <w:rsid w:val="00A062AA"/>
    <w:rsid w:val="00A062EE"/>
    <w:rsid w:val="00A069B5"/>
    <w:rsid w:val="00A06A7D"/>
    <w:rsid w:val="00A07227"/>
    <w:rsid w:val="00A072D3"/>
    <w:rsid w:val="00A10237"/>
    <w:rsid w:val="00A10D21"/>
    <w:rsid w:val="00A10EEC"/>
    <w:rsid w:val="00A110C3"/>
    <w:rsid w:val="00A11EB8"/>
    <w:rsid w:val="00A12C89"/>
    <w:rsid w:val="00A133D0"/>
    <w:rsid w:val="00A138A9"/>
    <w:rsid w:val="00A1397F"/>
    <w:rsid w:val="00A14272"/>
    <w:rsid w:val="00A1560F"/>
    <w:rsid w:val="00A15C55"/>
    <w:rsid w:val="00A162FF"/>
    <w:rsid w:val="00A17506"/>
    <w:rsid w:val="00A17B0D"/>
    <w:rsid w:val="00A17EA9"/>
    <w:rsid w:val="00A17F31"/>
    <w:rsid w:val="00A20E95"/>
    <w:rsid w:val="00A21025"/>
    <w:rsid w:val="00A217B2"/>
    <w:rsid w:val="00A218CF"/>
    <w:rsid w:val="00A218E5"/>
    <w:rsid w:val="00A21D13"/>
    <w:rsid w:val="00A225C5"/>
    <w:rsid w:val="00A22731"/>
    <w:rsid w:val="00A23C67"/>
    <w:rsid w:val="00A23E7D"/>
    <w:rsid w:val="00A24850"/>
    <w:rsid w:val="00A248C2"/>
    <w:rsid w:val="00A249BE"/>
    <w:rsid w:val="00A24EE6"/>
    <w:rsid w:val="00A26A7B"/>
    <w:rsid w:val="00A26C1B"/>
    <w:rsid w:val="00A26EAF"/>
    <w:rsid w:val="00A27965"/>
    <w:rsid w:val="00A27D24"/>
    <w:rsid w:val="00A27FE2"/>
    <w:rsid w:val="00A30D9E"/>
    <w:rsid w:val="00A31432"/>
    <w:rsid w:val="00A31CC1"/>
    <w:rsid w:val="00A31F20"/>
    <w:rsid w:val="00A327B1"/>
    <w:rsid w:val="00A32EDA"/>
    <w:rsid w:val="00A330FE"/>
    <w:rsid w:val="00A33370"/>
    <w:rsid w:val="00A3360C"/>
    <w:rsid w:val="00A33EC7"/>
    <w:rsid w:val="00A3442F"/>
    <w:rsid w:val="00A346A4"/>
    <w:rsid w:val="00A34CFA"/>
    <w:rsid w:val="00A35870"/>
    <w:rsid w:val="00A3660C"/>
    <w:rsid w:val="00A36794"/>
    <w:rsid w:val="00A36805"/>
    <w:rsid w:val="00A36B4A"/>
    <w:rsid w:val="00A36BAA"/>
    <w:rsid w:val="00A36D3C"/>
    <w:rsid w:val="00A37092"/>
    <w:rsid w:val="00A4081D"/>
    <w:rsid w:val="00A40DB5"/>
    <w:rsid w:val="00A4184A"/>
    <w:rsid w:val="00A41956"/>
    <w:rsid w:val="00A42F74"/>
    <w:rsid w:val="00A43F93"/>
    <w:rsid w:val="00A43FDB"/>
    <w:rsid w:val="00A44083"/>
    <w:rsid w:val="00A446E8"/>
    <w:rsid w:val="00A44DFE"/>
    <w:rsid w:val="00A45464"/>
    <w:rsid w:val="00A45695"/>
    <w:rsid w:val="00A46A51"/>
    <w:rsid w:val="00A46A7F"/>
    <w:rsid w:val="00A46C19"/>
    <w:rsid w:val="00A476EF"/>
    <w:rsid w:val="00A4796E"/>
    <w:rsid w:val="00A50330"/>
    <w:rsid w:val="00A50334"/>
    <w:rsid w:val="00A50543"/>
    <w:rsid w:val="00A50690"/>
    <w:rsid w:val="00A51B51"/>
    <w:rsid w:val="00A51DAF"/>
    <w:rsid w:val="00A51F45"/>
    <w:rsid w:val="00A52BEF"/>
    <w:rsid w:val="00A52D30"/>
    <w:rsid w:val="00A531E4"/>
    <w:rsid w:val="00A537C6"/>
    <w:rsid w:val="00A53F96"/>
    <w:rsid w:val="00A54A50"/>
    <w:rsid w:val="00A552A6"/>
    <w:rsid w:val="00A55984"/>
    <w:rsid w:val="00A55BC1"/>
    <w:rsid w:val="00A55D8F"/>
    <w:rsid w:val="00A56044"/>
    <w:rsid w:val="00A562D8"/>
    <w:rsid w:val="00A56A8A"/>
    <w:rsid w:val="00A56AD1"/>
    <w:rsid w:val="00A572E6"/>
    <w:rsid w:val="00A5781C"/>
    <w:rsid w:val="00A57DEA"/>
    <w:rsid w:val="00A60670"/>
    <w:rsid w:val="00A612FC"/>
    <w:rsid w:val="00A613F0"/>
    <w:rsid w:val="00A6192E"/>
    <w:rsid w:val="00A61A32"/>
    <w:rsid w:val="00A61B72"/>
    <w:rsid w:val="00A621C8"/>
    <w:rsid w:val="00A621ED"/>
    <w:rsid w:val="00A62DEE"/>
    <w:rsid w:val="00A637B9"/>
    <w:rsid w:val="00A649D6"/>
    <w:rsid w:val="00A65044"/>
    <w:rsid w:val="00A66A19"/>
    <w:rsid w:val="00A66A93"/>
    <w:rsid w:val="00A66FC4"/>
    <w:rsid w:val="00A67484"/>
    <w:rsid w:val="00A67587"/>
    <w:rsid w:val="00A67ADB"/>
    <w:rsid w:val="00A67B9A"/>
    <w:rsid w:val="00A67BAA"/>
    <w:rsid w:val="00A67C4A"/>
    <w:rsid w:val="00A67E0E"/>
    <w:rsid w:val="00A71495"/>
    <w:rsid w:val="00A71FBD"/>
    <w:rsid w:val="00A726FF"/>
    <w:rsid w:val="00A7277F"/>
    <w:rsid w:val="00A729CA"/>
    <w:rsid w:val="00A72D91"/>
    <w:rsid w:val="00A73256"/>
    <w:rsid w:val="00A7460B"/>
    <w:rsid w:val="00A74B1A"/>
    <w:rsid w:val="00A74D3D"/>
    <w:rsid w:val="00A7514F"/>
    <w:rsid w:val="00A75420"/>
    <w:rsid w:val="00A75CC4"/>
    <w:rsid w:val="00A75DD9"/>
    <w:rsid w:val="00A75F56"/>
    <w:rsid w:val="00A766AB"/>
    <w:rsid w:val="00A767D1"/>
    <w:rsid w:val="00A76F57"/>
    <w:rsid w:val="00A773FD"/>
    <w:rsid w:val="00A77A80"/>
    <w:rsid w:val="00A8029D"/>
    <w:rsid w:val="00A80D50"/>
    <w:rsid w:val="00A80F6F"/>
    <w:rsid w:val="00A80FA2"/>
    <w:rsid w:val="00A81EE3"/>
    <w:rsid w:val="00A8211A"/>
    <w:rsid w:val="00A821D0"/>
    <w:rsid w:val="00A821F9"/>
    <w:rsid w:val="00A83109"/>
    <w:rsid w:val="00A83C91"/>
    <w:rsid w:val="00A845CC"/>
    <w:rsid w:val="00A84D11"/>
    <w:rsid w:val="00A85798"/>
    <w:rsid w:val="00A858A1"/>
    <w:rsid w:val="00A862E2"/>
    <w:rsid w:val="00A8675D"/>
    <w:rsid w:val="00A86BAA"/>
    <w:rsid w:val="00A86C5E"/>
    <w:rsid w:val="00A86CF9"/>
    <w:rsid w:val="00A87EA6"/>
    <w:rsid w:val="00A90068"/>
    <w:rsid w:val="00A9076B"/>
    <w:rsid w:val="00A910F8"/>
    <w:rsid w:val="00A91642"/>
    <w:rsid w:val="00A91710"/>
    <w:rsid w:val="00A91D4F"/>
    <w:rsid w:val="00A91F2F"/>
    <w:rsid w:val="00A9204F"/>
    <w:rsid w:val="00A928E7"/>
    <w:rsid w:val="00A92A60"/>
    <w:rsid w:val="00A92E09"/>
    <w:rsid w:val="00A93E5A"/>
    <w:rsid w:val="00A943F6"/>
    <w:rsid w:val="00A94501"/>
    <w:rsid w:val="00A9562F"/>
    <w:rsid w:val="00A96312"/>
    <w:rsid w:val="00A9678A"/>
    <w:rsid w:val="00A96905"/>
    <w:rsid w:val="00A96956"/>
    <w:rsid w:val="00A96BB4"/>
    <w:rsid w:val="00A96C15"/>
    <w:rsid w:val="00A972CA"/>
    <w:rsid w:val="00A97A3A"/>
    <w:rsid w:val="00A97E25"/>
    <w:rsid w:val="00AA00DA"/>
    <w:rsid w:val="00AA0D0B"/>
    <w:rsid w:val="00AA134C"/>
    <w:rsid w:val="00AA1A2C"/>
    <w:rsid w:val="00AA2366"/>
    <w:rsid w:val="00AA28C7"/>
    <w:rsid w:val="00AA2A15"/>
    <w:rsid w:val="00AA3352"/>
    <w:rsid w:val="00AA45FD"/>
    <w:rsid w:val="00AA587B"/>
    <w:rsid w:val="00AA5C23"/>
    <w:rsid w:val="00AA6199"/>
    <w:rsid w:val="00AA6710"/>
    <w:rsid w:val="00AA6C38"/>
    <w:rsid w:val="00AA7120"/>
    <w:rsid w:val="00AA74FB"/>
    <w:rsid w:val="00AA7CC7"/>
    <w:rsid w:val="00AA7EA6"/>
    <w:rsid w:val="00AB014F"/>
    <w:rsid w:val="00AB01AE"/>
    <w:rsid w:val="00AB0830"/>
    <w:rsid w:val="00AB083C"/>
    <w:rsid w:val="00AB09B1"/>
    <w:rsid w:val="00AB0EBA"/>
    <w:rsid w:val="00AB1589"/>
    <w:rsid w:val="00AB1711"/>
    <w:rsid w:val="00AB1B1E"/>
    <w:rsid w:val="00AB1C49"/>
    <w:rsid w:val="00AB1CD9"/>
    <w:rsid w:val="00AB2557"/>
    <w:rsid w:val="00AB2D4A"/>
    <w:rsid w:val="00AB30C1"/>
    <w:rsid w:val="00AB3592"/>
    <w:rsid w:val="00AB3BC9"/>
    <w:rsid w:val="00AB4466"/>
    <w:rsid w:val="00AB5349"/>
    <w:rsid w:val="00AB57E5"/>
    <w:rsid w:val="00AB58AC"/>
    <w:rsid w:val="00AB695B"/>
    <w:rsid w:val="00AB6CD8"/>
    <w:rsid w:val="00AB706A"/>
    <w:rsid w:val="00AB748B"/>
    <w:rsid w:val="00AC06B8"/>
    <w:rsid w:val="00AC06DB"/>
    <w:rsid w:val="00AC19A1"/>
    <w:rsid w:val="00AC1FFB"/>
    <w:rsid w:val="00AC26DF"/>
    <w:rsid w:val="00AC2798"/>
    <w:rsid w:val="00AC3130"/>
    <w:rsid w:val="00AC32AB"/>
    <w:rsid w:val="00AC34EF"/>
    <w:rsid w:val="00AC383B"/>
    <w:rsid w:val="00AC3CD7"/>
    <w:rsid w:val="00AC3E9B"/>
    <w:rsid w:val="00AC4E4D"/>
    <w:rsid w:val="00AC54FD"/>
    <w:rsid w:val="00AC589D"/>
    <w:rsid w:val="00AC745A"/>
    <w:rsid w:val="00AC7B79"/>
    <w:rsid w:val="00AC7C83"/>
    <w:rsid w:val="00AD028C"/>
    <w:rsid w:val="00AD03A8"/>
    <w:rsid w:val="00AD0C20"/>
    <w:rsid w:val="00AD14D6"/>
    <w:rsid w:val="00AD1DEA"/>
    <w:rsid w:val="00AD3921"/>
    <w:rsid w:val="00AD4B89"/>
    <w:rsid w:val="00AD540A"/>
    <w:rsid w:val="00AD5AED"/>
    <w:rsid w:val="00AD628F"/>
    <w:rsid w:val="00AD6C23"/>
    <w:rsid w:val="00AD77D7"/>
    <w:rsid w:val="00AD7802"/>
    <w:rsid w:val="00AE0DE8"/>
    <w:rsid w:val="00AE0FC8"/>
    <w:rsid w:val="00AE10A1"/>
    <w:rsid w:val="00AE2209"/>
    <w:rsid w:val="00AE25D0"/>
    <w:rsid w:val="00AE2D7E"/>
    <w:rsid w:val="00AE3C6C"/>
    <w:rsid w:val="00AE4491"/>
    <w:rsid w:val="00AE4787"/>
    <w:rsid w:val="00AE5ED3"/>
    <w:rsid w:val="00AE6257"/>
    <w:rsid w:val="00AE631D"/>
    <w:rsid w:val="00AE6813"/>
    <w:rsid w:val="00AE799B"/>
    <w:rsid w:val="00AF0499"/>
    <w:rsid w:val="00AF0702"/>
    <w:rsid w:val="00AF0A16"/>
    <w:rsid w:val="00AF0BCC"/>
    <w:rsid w:val="00AF0ED3"/>
    <w:rsid w:val="00AF0FD1"/>
    <w:rsid w:val="00AF1AAB"/>
    <w:rsid w:val="00AF1E1D"/>
    <w:rsid w:val="00AF24E5"/>
    <w:rsid w:val="00AF27E8"/>
    <w:rsid w:val="00AF3335"/>
    <w:rsid w:val="00AF430A"/>
    <w:rsid w:val="00AF431F"/>
    <w:rsid w:val="00AF4531"/>
    <w:rsid w:val="00AF4E95"/>
    <w:rsid w:val="00AF5229"/>
    <w:rsid w:val="00AF6F7E"/>
    <w:rsid w:val="00AF7108"/>
    <w:rsid w:val="00AF7417"/>
    <w:rsid w:val="00AF760C"/>
    <w:rsid w:val="00AF7BA8"/>
    <w:rsid w:val="00B00969"/>
    <w:rsid w:val="00B00F82"/>
    <w:rsid w:val="00B01986"/>
    <w:rsid w:val="00B01BB8"/>
    <w:rsid w:val="00B0263C"/>
    <w:rsid w:val="00B02DC0"/>
    <w:rsid w:val="00B02EF8"/>
    <w:rsid w:val="00B02F52"/>
    <w:rsid w:val="00B02FB8"/>
    <w:rsid w:val="00B046C9"/>
    <w:rsid w:val="00B04F4E"/>
    <w:rsid w:val="00B05C1F"/>
    <w:rsid w:val="00B06929"/>
    <w:rsid w:val="00B06A69"/>
    <w:rsid w:val="00B06AA6"/>
    <w:rsid w:val="00B06F76"/>
    <w:rsid w:val="00B073FF"/>
    <w:rsid w:val="00B118AA"/>
    <w:rsid w:val="00B121C5"/>
    <w:rsid w:val="00B12211"/>
    <w:rsid w:val="00B130C0"/>
    <w:rsid w:val="00B132B1"/>
    <w:rsid w:val="00B1385A"/>
    <w:rsid w:val="00B13A48"/>
    <w:rsid w:val="00B14984"/>
    <w:rsid w:val="00B14D76"/>
    <w:rsid w:val="00B152A4"/>
    <w:rsid w:val="00B15835"/>
    <w:rsid w:val="00B168DD"/>
    <w:rsid w:val="00B169EF"/>
    <w:rsid w:val="00B17047"/>
    <w:rsid w:val="00B17213"/>
    <w:rsid w:val="00B173A4"/>
    <w:rsid w:val="00B176EF"/>
    <w:rsid w:val="00B201CD"/>
    <w:rsid w:val="00B20343"/>
    <w:rsid w:val="00B203C2"/>
    <w:rsid w:val="00B205F4"/>
    <w:rsid w:val="00B20714"/>
    <w:rsid w:val="00B2129E"/>
    <w:rsid w:val="00B21E9A"/>
    <w:rsid w:val="00B21ED5"/>
    <w:rsid w:val="00B2210C"/>
    <w:rsid w:val="00B221AA"/>
    <w:rsid w:val="00B222E5"/>
    <w:rsid w:val="00B22FE1"/>
    <w:rsid w:val="00B23892"/>
    <w:rsid w:val="00B23B33"/>
    <w:rsid w:val="00B240E1"/>
    <w:rsid w:val="00B24201"/>
    <w:rsid w:val="00B24545"/>
    <w:rsid w:val="00B25452"/>
    <w:rsid w:val="00B25653"/>
    <w:rsid w:val="00B25664"/>
    <w:rsid w:val="00B257C8"/>
    <w:rsid w:val="00B2646C"/>
    <w:rsid w:val="00B26C3C"/>
    <w:rsid w:val="00B2704C"/>
    <w:rsid w:val="00B272E9"/>
    <w:rsid w:val="00B278B4"/>
    <w:rsid w:val="00B27B1C"/>
    <w:rsid w:val="00B27E93"/>
    <w:rsid w:val="00B30701"/>
    <w:rsid w:val="00B30726"/>
    <w:rsid w:val="00B30760"/>
    <w:rsid w:val="00B31BC6"/>
    <w:rsid w:val="00B328AE"/>
    <w:rsid w:val="00B33622"/>
    <w:rsid w:val="00B337DC"/>
    <w:rsid w:val="00B339DC"/>
    <w:rsid w:val="00B33A11"/>
    <w:rsid w:val="00B33B29"/>
    <w:rsid w:val="00B340E2"/>
    <w:rsid w:val="00B34DE2"/>
    <w:rsid w:val="00B34F4D"/>
    <w:rsid w:val="00B34FF1"/>
    <w:rsid w:val="00B35319"/>
    <w:rsid w:val="00B356B7"/>
    <w:rsid w:val="00B365B9"/>
    <w:rsid w:val="00B36E72"/>
    <w:rsid w:val="00B37057"/>
    <w:rsid w:val="00B3720F"/>
    <w:rsid w:val="00B376BF"/>
    <w:rsid w:val="00B37A43"/>
    <w:rsid w:val="00B37CFE"/>
    <w:rsid w:val="00B37F25"/>
    <w:rsid w:val="00B40340"/>
    <w:rsid w:val="00B408CF"/>
    <w:rsid w:val="00B412FE"/>
    <w:rsid w:val="00B42FD6"/>
    <w:rsid w:val="00B43BD9"/>
    <w:rsid w:val="00B46411"/>
    <w:rsid w:val="00B4653A"/>
    <w:rsid w:val="00B46FE8"/>
    <w:rsid w:val="00B473C8"/>
    <w:rsid w:val="00B47667"/>
    <w:rsid w:val="00B477DB"/>
    <w:rsid w:val="00B503E1"/>
    <w:rsid w:val="00B50B73"/>
    <w:rsid w:val="00B51841"/>
    <w:rsid w:val="00B520DC"/>
    <w:rsid w:val="00B52C51"/>
    <w:rsid w:val="00B52CF4"/>
    <w:rsid w:val="00B52FE9"/>
    <w:rsid w:val="00B53043"/>
    <w:rsid w:val="00B53944"/>
    <w:rsid w:val="00B539BF"/>
    <w:rsid w:val="00B53A71"/>
    <w:rsid w:val="00B5475F"/>
    <w:rsid w:val="00B551A1"/>
    <w:rsid w:val="00B5543C"/>
    <w:rsid w:val="00B55733"/>
    <w:rsid w:val="00B56181"/>
    <w:rsid w:val="00B564EC"/>
    <w:rsid w:val="00B56715"/>
    <w:rsid w:val="00B57D4F"/>
    <w:rsid w:val="00B57E53"/>
    <w:rsid w:val="00B60E8C"/>
    <w:rsid w:val="00B6109E"/>
    <w:rsid w:val="00B61381"/>
    <w:rsid w:val="00B63C32"/>
    <w:rsid w:val="00B65366"/>
    <w:rsid w:val="00B658E6"/>
    <w:rsid w:val="00B65A01"/>
    <w:rsid w:val="00B65E74"/>
    <w:rsid w:val="00B66091"/>
    <w:rsid w:val="00B66618"/>
    <w:rsid w:val="00B66AC2"/>
    <w:rsid w:val="00B66C4F"/>
    <w:rsid w:val="00B67167"/>
    <w:rsid w:val="00B67425"/>
    <w:rsid w:val="00B678E6"/>
    <w:rsid w:val="00B7007E"/>
    <w:rsid w:val="00B704C3"/>
    <w:rsid w:val="00B7069D"/>
    <w:rsid w:val="00B70DB5"/>
    <w:rsid w:val="00B717D5"/>
    <w:rsid w:val="00B72572"/>
    <w:rsid w:val="00B725E8"/>
    <w:rsid w:val="00B72670"/>
    <w:rsid w:val="00B7279C"/>
    <w:rsid w:val="00B733A5"/>
    <w:rsid w:val="00B733ED"/>
    <w:rsid w:val="00B735C4"/>
    <w:rsid w:val="00B736E8"/>
    <w:rsid w:val="00B7465E"/>
    <w:rsid w:val="00B75468"/>
    <w:rsid w:val="00B761D6"/>
    <w:rsid w:val="00B76F13"/>
    <w:rsid w:val="00B76FF6"/>
    <w:rsid w:val="00B77B53"/>
    <w:rsid w:val="00B80227"/>
    <w:rsid w:val="00B803BA"/>
    <w:rsid w:val="00B8093D"/>
    <w:rsid w:val="00B8121E"/>
    <w:rsid w:val="00B8137F"/>
    <w:rsid w:val="00B81CCF"/>
    <w:rsid w:val="00B81E2B"/>
    <w:rsid w:val="00B82480"/>
    <w:rsid w:val="00B82566"/>
    <w:rsid w:val="00B834B7"/>
    <w:rsid w:val="00B84737"/>
    <w:rsid w:val="00B852BD"/>
    <w:rsid w:val="00B85A3F"/>
    <w:rsid w:val="00B85AD9"/>
    <w:rsid w:val="00B85C61"/>
    <w:rsid w:val="00B863B5"/>
    <w:rsid w:val="00B86E35"/>
    <w:rsid w:val="00B9095B"/>
    <w:rsid w:val="00B91062"/>
    <w:rsid w:val="00B91264"/>
    <w:rsid w:val="00B92439"/>
    <w:rsid w:val="00B92B2A"/>
    <w:rsid w:val="00B93F18"/>
    <w:rsid w:val="00B9481B"/>
    <w:rsid w:val="00B94FFA"/>
    <w:rsid w:val="00B95079"/>
    <w:rsid w:val="00B952F0"/>
    <w:rsid w:val="00B95C52"/>
    <w:rsid w:val="00B96C9B"/>
    <w:rsid w:val="00B96F6E"/>
    <w:rsid w:val="00B970DA"/>
    <w:rsid w:val="00B97394"/>
    <w:rsid w:val="00B97CB9"/>
    <w:rsid w:val="00B97E00"/>
    <w:rsid w:val="00B97FF9"/>
    <w:rsid w:val="00BA0FFC"/>
    <w:rsid w:val="00BA1673"/>
    <w:rsid w:val="00BA1A7A"/>
    <w:rsid w:val="00BA240E"/>
    <w:rsid w:val="00BA2C7A"/>
    <w:rsid w:val="00BA2EDD"/>
    <w:rsid w:val="00BA3CF3"/>
    <w:rsid w:val="00BA3F4B"/>
    <w:rsid w:val="00BA44F6"/>
    <w:rsid w:val="00BA47FA"/>
    <w:rsid w:val="00BA51C2"/>
    <w:rsid w:val="00BA56BA"/>
    <w:rsid w:val="00BA7103"/>
    <w:rsid w:val="00BA7995"/>
    <w:rsid w:val="00BA7D8C"/>
    <w:rsid w:val="00BB0326"/>
    <w:rsid w:val="00BB070B"/>
    <w:rsid w:val="00BB0B5F"/>
    <w:rsid w:val="00BB0CE3"/>
    <w:rsid w:val="00BB1720"/>
    <w:rsid w:val="00BB1BC0"/>
    <w:rsid w:val="00BB24DC"/>
    <w:rsid w:val="00BB3CE2"/>
    <w:rsid w:val="00BB3DC9"/>
    <w:rsid w:val="00BB4790"/>
    <w:rsid w:val="00BB47BC"/>
    <w:rsid w:val="00BB515D"/>
    <w:rsid w:val="00BB6053"/>
    <w:rsid w:val="00BB63D4"/>
    <w:rsid w:val="00BC0801"/>
    <w:rsid w:val="00BC0916"/>
    <w:rsid w:val="00BC13B1"/>
    <w:rsid w:val="00BC1534"/>
    <w:rsid w:val="00BC1A4D"/>
    <w:rsid w:val="00BC1C24"/>
    <w:rsid w:val="00BC2E4F"/>
    <w:rsid w:val="00BC2F0D"/>
    <w:rsid w:val="00BC35BA"/>
    <w:rsid w:val="00BC3822"/>
    <w:rsid w:val="00BC4F73"/>
    <w:rsid w:val="00BC5674"/>
    <w:rsid w:val="00BC5784"/>
    <w:rsid w:val="00BC5C01"/>
    <w:rsid w:val="00BC6531"/>
    <w:rsid w:val="00BC6949"/>
    <w:rsid w:val="00BC69BA"/>
    <w:rsid w:val="00BC6E32"/>
    <w:rsid w:val="00BC76CF"/>
    <w:rsid w:val="00BC7AA5"/>
    <w:rsid w:val="00BC7D05"/>
    <w:rsid w:val="00BD0333"/>
    <w:rsid w:val="00BD1420"/>
    <w:rsid w:val="00BD16D1"/>
    <w:rsid w:val="00BD204F"/>
    <w:rsid w:val="00BD2149"/>
    <w:rsid w:val="00BD2621"/>
    <w:rsid w:val="00BD33B6"/>
    <w:rsid w:val="00BD39EC"/>
    <w:rsid w:val="00BD4443"/>
    <w:rsid w:val="00BD4483"/>
    <w:rsid w:val="00BD4CB7"/>
    <w:rsid w:val="00BD5647"/>
    <w:rsid w:val="00BD577B"/>
    <w:rsid w:val="00BD60F3"/>
    <w:rsid w:val="00BD6B40"/>
    <w:rsid w:val="00BD6F1E"/>
    <w:rsid w:val="00BE0781"/>
    <w:rsid w:val="00BE0CC6"/>
    <w:rsid w:val="00BE1781"/>
    <w:rsid w:val="00BE18D3"/>
    <w:rsid w:val="00BE3397"/>
    <w:rsid w:val="00BE3C9B"/>
    <w:rsid w:val="00BE4694"/>
    <w:rsid w:val="00BE4830"/>
    <w:rsid w:val="00BE485C"/>
    <w:rsid w:val="00BE568B"/>
    <w:rsid w:val="00BE5C82"/>
    <w:rsid w:val="00BE5FFA"/>
    <w:rsid w:val="00BE7772"/>
    <w:rsid w:val="00BE7FB9"/>
    <w:rsid w:val="00BF044C"/>
    <w:rsid w:val="00BF09E4"/>
    <w:rsid w:val="00BF104B"/>
    <w:rsid w:val="00BF27EB"/>
    <w:rsid w:val="00BF4348"/>
    <w:rsid w:val="00BF54A5"/>
    <w:rsid w:val="00BF5754"/>
    <w:rsid w:val="00BF5A78"/>
    <w:rsid w:val="00BF6B14"/>
    <w:rsid w:val="00BF7212"/>
    <w:rsid w:val="00C0031F"/>
    <w:rsid w:val="00C003D2"/>
    <w:rsid w:val="00C004AC"/>
    <w:rsid w:val="00C00635"/>
    <w:rsid w:val="00C009FE"/>
    <w:rsid w:val="00C01392"/>
    <w:rsid w:val="00C0192E"/>
    <w:rsid w:val="00C02816"/>
    <w:rsid w:val="00C033E3"/>
    <w:rsid w:val="00C03669"/>
    <w:rsid w:val="00C03679"/>
    <w:rsid w:val="00C03CB0"/>
    <w:rsid w:val="00C05B10"/>
    <w:rsid w:val="00C05BE2"/>
    <w:rsid w:val="00C068D3"/>
    <w:rsid w:val="00C06E5F"/>
    <w:rsid w:val="00C07858"/>
    <w:rsid w:val="00C078BB"/>
    <w:rsid w:val="00C107BB"/>
    <w:rsid w:val="00C10D86"/>
    <w:rsid w:val="00C11EF8"/>
    <w:rsid w:val="00C12013"/>
    <w:rsid w:val="00C1267B"/>
    <w:rsid w:val="00C12B3C"/>
    <w:rsid w:val="00C12BD8"/>
    <w:rsid w:val="00C134D6"/>
    <w:rsid w:val="00C13502"/>
    <w:rsid w:val="00C143E5"/>
    <w:rsid w:val="00C149DF"/>
    <w:rsid w:val="00C14C08"/>
    <w:rsid w:val="00C16FF3"/>
    <w:rsid w:val="00C2055A"/>
    <w:rsid w:val="00C206B6"/>
    <w:rsid w:val="00C20ACC"/>
    <w:rsid w:val="00C21E8C"/>
    <w:rsid w:val="00C21F00"/>
    <w:rsid w:val="00C228E4"/>
    <w:rsid w:val="00C232FE"/>
    <w:rsid w:val="00C24626"/>
    <w:rsid w:val="00C24739"/>
    <w:rsid w:val="00C24C83"/>
    <w:rsid w:val="00C25C89"/>
    <w:rsid w:val="00C27A06"/>
    <w:rsid w:val="00C27FF5"/>
    <w:rsid w:val="00C3061D"/>
    <w:rsid w:val="00C30EA3"/>
    <w:rsid w:val="00C31C15"/>
    <w:rsid w:val="00C31DF0"/>
    <w:rsid w:val="00C32327"/>
    <w:rsid w:val="00C328F4"/>
    <w:rsid w:val="00C32D1F"/>
    <w:rsid w:val="00C330C6"/>
    <w:rsid w:val="00C3355E"/>
    <w:rsid w:val="00C340CA"/>
    <w:rsid w:val="00C345A4"/>
    <w:rsid w:val="00C359CE"/>
    <w:rsid w:val="00C36203"/>
    <w:rsid w:val="00C36275"/>
    <w:rsid w:val="00C36ABE"/>
    <w:rsid w:val="00C36B0B"/>
    <w:rsid w:val="00C37566"/>
    <w:rsid w:val="00C37570"/>
    <w:rsid w:val="00C37A3A"/>
    <w:rsid w:val="00C37CF9"/>
    <w:rsid w:val="00C37F25"/>
    <w:rsid w:val="00C37FC7"/>
    <w:rsid w:val="00C4062C"/>
    <w:rsid w:val="00C40F94"/>
    <w:rsid w:val="00C4265F"/>
    <w:rsid w:val="00C426B4"/>
    <w:rsid w:val="00C42ADF"/>
    <w:rsid w:val="00C42D8E"/>
    <w:rsid w:val="00C43140"/>
    <w:rsid w:val="00C43A2E"/>
    <w:rsid w:val="00C45034"/>
    <w:rsid w:val="00C451B4"/>
    <w:rsid w:val="00C4547C"/>
    <w:rsid w:val="00C4579C"/>
    <w:rsid w:val="00C45C7C"/>
    <w:rsid w:val="00C45EB8"/>
    <w:rsid w:val="00C46C6A"/>
    <w:rsid w:val="00C46CA4"/>
    <w:rsid w:val="00C47905"/>
    <w:rsid w:val="00C50359"/>
    <w:rsid w:val="00C50518"/>
    <w:rsid w:val="00C50A46"/>
    <w:rsid w:val="00C516C7"/>
    <w:rsid w:val="00C51E2B"/>
    <w:rsid w:val="00C51EA2"/>
    <w:rsid w:val="00C534C6"/>
    <w:rsid w:val="00C542D3"/>
    <w:rsid w:val="00C546F8"/>
    <w:rsid w:val="00C54E0E"/>
    <w:rsid w:val="00C55498"/>
    <w:rsid w:val="00C56A52"/>
    <w:rsid w:val="00C57313"/>
    <w:rsid w:val="00C57DB4"/>
    <w:rsid w:val="00C60087"/>
    <w:rsid w:val="00C607CF"/>
    <w:rsid w:val="00C62764"/>
    <w:rsid w:val="00C627A7"/>
    <w:rsid w:val="00C62916"/>
    <w:rsid w:val="00C62F2C"/>
    <w:rsid w:val="00C63193"/>
    <w:rsid w:val="00C63407"/>
    <w:rsid w:val="00C636C1"/>
    <w:rsid w:val="00C63E67"/>
    <w:rsid w:val="00C64031"/>
    <w:rsid w:val="00C6483B"/>
    <w:rsid w:val="00C64C19"/>
    <w:rsid w:val="00C64E1A"/>
    <w:rsid w:val="00C64F65"/>
    <w:rsid w:val="00C65243"/>
    <w:rsid w:val="00C65A2E"/>
    <w:rsid w:val="00C65ACD"/>
    <w:rsid w:val="00C6602E"/>
    <w:rsid w:val="00C66D4F"/>
    <w:rsid w:val="00C66D78"/>
    <w:rsid w:val="00C67C0B"/>
    <w:rsid w:val="00C703E6"/>
    <w:rsid w:val="00C70854"/>
    <w:rsid w:val="00C70BA1"/>
    <w:rsid w:val="00C7223B"/>
    <w:rsid w:val="00C72451"/>
    <w:rsid w:val="00C724AA"/>
    <w:rsid w:val="00C72D10"/>
    <w:rsid w:val="00C735E6"/>
    <w:rsid w:val="00C74CB7"/>
    <w:rsid w:val="00C765DE"/>
    <w:rsid w:val="00C766C0"/>
    <w:rsid w:val="00C76E22"/>
    <w:rsid w:val="00C76E2E"/>
    <w:rsid w:val="00C76ED5"/>
    <w:rsid w:val="00C77019"/>
    <w:rsid w:val="00C77FEB"/>
    <w:rsid w:val="00C805E5"/>
    <w:rsid w:val="00C80851"/>
    <w:rsid w:val="00C80A1C"/>
    <w:rsid w:val="00C80C73"/>
    <w:rsid w:val="00C80CBB"/>
    <w:rsid w:val="00C814F4"/>
    <w:rsid w:val="00C81CFD"/>
    <w:rsid w:val="00C82AD8"/>
    <w:rsid w:val="00C83C52"/>
    <w:rsid w:val="00C83FA5"/>
    <w:rsid w:val="00C84410"/>
    <w:rsid w:val="00C84664"/>
    <w:rsid w:val="00C84BB3"/>
    <w:rsid w:val="00C85186"/>
    <w:rsid w:val="00C854F5"/>
    <w:rsid w:val="00C86423"/>
    <w:rsid w:val="00C86A72"/>
    <w:rsid w:val="00C8735B"/>
    <w:rsid w:val="00C87C80"/>
    <w:rsid w:val="00C87ECB"/>
    <w:rsid w:val="00C87F92"/>
    <w:rsid w:val="00C9003D"/>
    <w:rsid w:val="00C90A99"/>
    <w:rsid w:val="00C91810"/>
    <w:rsid w:val="00C91A58"/>
    <w:rsid w:val="00C91D57"/>
    <w:rsid w:val="00C924A2"/>
    <w:rsid w:val="00C92A14"/>
    <w:rsid w:val="00C92D42"/>
    <w:rsid w:val="00C934D2"/>
    <w:rsid w:val="00C9452A"/>
    <w:rsid w:val="00C94675"/>
    <w:rsid w:val="00C94729"/>
    <w:rsid w:val="00C94AA9"/>
    <w:rsid w:val="00C94B49"/>
    <w:rsid w:val="00C95327"/>
    <w:rsid w:val="00C95621"/>
    <w:rsid w:val="00C957E9"/>
    <w:rsid w:val="00C95B6C"/>
    <w:rsid w:val="00C95EE7"/>
    <w:rsid w:val="00C967A5"/>
    <w:rsid w:val="00C96D04"/>
    <w:rsid w:val="00C96EBA"/>
    <w:rsid w:val="00C973E2"/>
    <w:rsid w:val="00C97F14"/>
    <w:rsid w:val="00CA084D"/>
    <w:rsid w:val="00CA26F2"/>
    <w:rsid w:val="00CA2BDE"/>
    <w:rsid w:val="00CA2C5C"/>
    <w:rsid w:val="00CA2C8C"/>
    <w:rsid w:val="00CA3025"/>
    <w:rsid w:val="00CA3641"/>
    <w:rsid w:val="00CA3EB2"/>
    <w:rsid w:val="00CA428D"/>
    <w:rsid w:val="00CA43E9"/>
    <w:rsid w:val="00CA447B"/>
    <w:rsid w:val="00CA454F"/>
    <w:rsid w:val="00CA5028"/>
    <w:rsid w:val="00CA5461"/>
    <w:rsid w:val="00CA5781"/>
    <w:rsid w:val="00CA5C1D"/>
    <w:rsid w:val="00CA6016"/>
    <w:rsid w:val="00CA62C2"/>
    <w:rsid w:val="00CA70AA"/>
    <w:rsid w:val="00CA7842"/>
    <w:rsid w:val="00CB02B8"/>
    <w:rsid w:val="00CB066F"/>
    <w:rsid w:val="00CB15C9"/>
    <w:rsid w:val="00CB18CC"/>
    <w:rsid w:val="00CB197C"/>
    <w:rsid w:val="00CB19E2"/>
    <w:rsid w:val="00CB2522"/>
    <w:rsid w:val="00CB2D22"/>
    <w:rsid w:val="00CB3D91"/>
    <w:rsid w:val="00CB3E89"/>
    <w:rsid w:val="00CB3FF0"/>
    <w:rsid w:val="00CB4383"/>
    <w:rsid w:val="00CB570A"/>
    <w:rsid w:val="00CB59E2"/>
    <w:rsid w:val="00CB5D1B"/>
    <w:rsid w:val="00CB5FEB"/>
    <w:rsid w:val="00CB654B"/>
    <w:rsid w:val="00CB794D"/>
    <w:rsid w:val="00CB7ADC"/>
    <w:rsid w:val="00CC009C"/>
    <w:rsid w:val="00CC0175"/>
    <w:rsid w:val="00CC0270"/>
    <w:rsid w:val="00CC1755"/>
    <w:rsid w:val="00CC269E"/>
    <w:rsid w:val="00CC2C01"/>
    <w:rsid w:val="00CC3F9B"/>
    <w:rsid w:val="00CC40A2"/>
    <w:rsid w:val="00CC4540"/>
    <w:rsid w:val="00CC5016"/>
    <w:rsid w:val="00CC6756"/>
    <w:rsid w:val="00CC6A78"/>
    <w:rsid w:val="00CD1658"/>
    <w:rsid w:val="00CD177A"/>
    <w:rsid w:val="00CD19A4"/>
    <w:rsid w:val="00CD298B"/>
    <w:rsid w:val="00CD387B"/>
    <w:rsid w:val="00CD3972"/>
    <w:rsid w:val="00CD3F64"/>
    <w:rsid w:val="00CD41B3"/>
    <w:rsid w:val="00CD4894"/>
    <w:rsid w:val="00CD5AE0"/>
    <w:rsid w:val="00CD6321"/>
    <w:rsid w:val="00CD75F2"/>
    <w:rsid w:val="00CE012E"/>
    <w:rsid w:val="00CE0A67"/>
    <w:rsid w:val="00CE1415"/>
    <w:rsid w:val="00CE172E"/>
    <w:rsid w:val="00CE1A0A"/>
    <w:rsid w:val="00CE27E1"/>
    <w:rsid w:val="00CE2AA4"/>
    <w:rsid w:val="00CE34A3"/>
    <w:rsid w:val="00CE353D"/>
    <w:rsid w:val="00CE36D6"/>
    <w:rsid w:val="00CE39F4"/>
    <w:rsid w:val="00CE4FF4"/>
    <w:rsid w:val="00CE54CF"/>
    <w:rsid w:val="00CE57A0"/>
    <w:rsid w:val="00CE5BE6"/>
    <w:rsid w:val="00CE5E96"/>
    <w:rsid w:val="00CE6C9D"/>
    <w:rsid w:val="00CE6CF4"/>
    <w:rsid w:val="00CE7E79"/>
    <w:rsid w:val="00CF0A41"/>
    <w:rsid w:val="00CF0FC6"/>
    <w:rsid w:val="00CF1A93"/>
    <w:rsid w:val="00CF1F40"/>
    <w:rsid w:val="00CF21C4"/>
    <w:rsid w:val="00CF23BA"/>
    <w:rsid w:val="00CF2685"/>
    <w:rsid w:val="00CF2C08"/>
    <w:rsid w:val="00CF2DDB"/>
    <w:rsid w:val="00CF2E9D"/>
    <w:rsid w:val="00CF3B67"/>
    <w:rsid w:val="00CF3F3B"/>
    <w:rsid w:val="00CF5153"/>
    <w:rsid w:val="00CF524B"/>
    <w:rsid w:val="00CF5597"/>
    <w:rsid w:val="00CF58BC"/>
    <w:rsid w:val="00CF5B39"/>
    <w:rsid w:val="00CF5C48"/>
    <w:rsid w:val="00CF636A"/>
    <w:rsid w:val="00CF650A"/>
    <w:rsid w:val="00CF6655"/>
    <w:rsid w:val="00CF6DD9"/>
    <w:rsid w:val="00CF73AB"/>
    <w:rsid w:val="00CF75B5"/>
    <w:rsid w:val="00D00933"/>
    <w:rsid w:val="00D01282"/>
    <w:rsid w:val="00D0131E"/>
    <w:rsid w:val="00D017C7"/>
    <w:rsid w:val="00D01A3F"/>
    <w:rsid w:val="00D01E52"/>
    <w:rsid w:val="00D020BB"/>
    <w:rsid w:val="00D022F6"/>
    <w:rsid w:val="00D02331"/>
    <w:rsid w:val="00D0244E"/>
    <w:rsid w:val="00D024E9"/>
    <w:rsid w:val="00D027AD"/>
    <w:rsid w:val="00D0291B"/>
    <w:rsid w:val="00D02A8E"/>
    <w:rsid w:val="00D02DE2"/>
    <w:rsid w:val="00D04E58"/>
    <w:rsid w:val="00D07026"/>
    <w:rsid w:val="00D0747C"/>
    <w:rsid w:val="00D077C0"/>
    <w:rsid w:val="00D10AA4"/>
    <w:rsid w:val="00D10FCE"/>
    <w:rsid w:val="00D11447"/>
    <w:rsid w:val="00D118B9"/>
    <w:rsid w:val="00D11EB9"/>
    <w:rsid w:val="00D12589"/>
    <w:rsid w:val="00D127F9"/>
    <w:rsid w:val="00D12C68"/>
    <w:rsid w:val="00D1336B"/>
    <w:rsid w:val="00D13C6E"/>
    <w:rsid w:val="00D1417D"/>
    <w:rsid w:val="00D14B67"/>
    <w:rsid w:val="00D15F90"/>
    <w:rsid w:val="00D16098"/>
    <w:rsid w:val="00D16DC3"/>
    <w:rsid w:val="00D16E6C"/>
    <w:rsid w:val="00D16EEC"/>
    <w:rsid w:val="00D1766B"/>
    <w:rsid w:val="00D179F0"/>
    <w:rsid w:val="00D17C6B"/>
    <w:rsid w:val="00D20C0F"/>
    <w:rsid w:val="00D212BD"/>
    <w:rsid w:val="00D21603"/>
    <w:rsid w:val="00D21711"/>
    <w:rsid w:val="00D21714"/>
    <w:rsid w:val="00D21720"/>
    <w:rsid w:val="00D2199E"/>
    <w:rsid w:val="00D21B76"/>
    <w:rsid w:val="00D21D61"/>
    <w:rsid w:val="00D223C5"/>
    <w:rsid w:val="00D22B44"/>
    <w:rsid w:val="00D22BEC"/>
    <w:rsid w:val="00D22E90"/>
    <w:rsid w:val="00D2354A"/>
    <w:rsid w:val="00D23804"/>
    <w:rsid w:val="00D257A6"/>
    <w:rsid w:val="00D25870"/>
    <w:rsid w:val="00D25FF6"/>
    <w:rsid w:val="00D2630E"/>
    <w:rsid w:val="00D26930"/>
    <w:rsid w:val="00D27649"/>
    <w:rsid w:val="00D2793E"/>
    <w:rsid w:val="00D27F10"/>
    <w:rsid w:val="00D30A9D"/>
    <w:rsid w:val="00D312E2"/>
    <w:rsid w:val="00D31443"/>
    <w:rsid w:val="00D314CB"/>
    <w:rsid w:val="00D31594"/>
    <w:rsid w:val="00D316CA"/>
    <w:rsid w:val="00D3349A"/>
    <w:rsid w:val="00D34864"/>
    <w:rsid w:val="00D34BDC"/>
    <w:rsid w:val="00D355F1"/>
    <w:rsid w:val="00D35E86"/>
    <w:rsid w:val="00D360EC"/>
    <w:rsid w:val="00D36132"/>
    <w:rsid w:val="00D36B4B"/>
    <w:rsid w:val="00D36D13"/>
    <w:rsid w:val="00D373F8"/>
    <w:rsid w:val="00D37D34"/>
    <w:rsid w:val="00D37F18"/>
    <w:rsid w:val="00D403ED"/>
    <w:rsid w:val="00D41B62"/>
    <w:rsid w:val="00D41EB2"/>
    <w:rsid w:val="00D420C6"/>
    <w:rsid w:val="00D42195"/>
    <w:rsid w:val="00D4270D"/>
    <w:rsid w:val="00D42ABE"/>
    <w:rsid w:val="00D44B69"/>
    <w:rsid w:val="00D44CB4"/>
    <w:rsid w:val="00D4579D"/>
    <w:rsid w:val="00D4599E"/>
    <w:rsid w:val="00D46825"/>
    <w:rsid w:val="00D46882"/>
    <w:rsid w:val="00D46E44"/>
    <w:rsid w:val="00D4722B"/>
    <w:rsid w:val="00D477B5"/>
    <w:rsid w:val="00D50943"/>
    <w:rsid w:val="00D50C70"/>
    <w:rsid w:val="00D5344E"/>
    <w:rsid w:val="00D54877"/>
    <w:rsid w:val="00D548BF"/>
    <w:rsid w:val="00D549A9"/>
    <w:rsid w:val="00D54FAD"/>
    <w:rsid w:val="00D55376"/>
    <w:rsid w:val="00D55629"/>
    <w:rsid w:val="00D55A46"/>
    <w:rsid w:val="00D55D2E"/>
    <w:rsid w:val="00D569CD"/>
    <w:rsid w:val="00D5707F"/>
    <w:rsid w:val="00D57595"/>
    <w:rsid w:val="00D6007C"/>
    <w:rsid w:val="00D60CC1"/>
    <w:rsid w:val="00D6165C"/>
    <w:rsid w:val="00D6206A"/>
    <w:rsid w:val="00D624B7"/>
    <w:rsid w:val="00D62D05"/>
    <w:rsid w:val="00D639D7"/>
    <w:rsid w:val="00D64800"/>
    <w:rsid w:val="00D6495A"/>
    <w:rsid w:val="00D64FB0"/>
    <w:rsid w:val="00D65B47"/>
    <w:rsid w:val="00D65D87"/>
    <w:rsid w:val="00D66030"/>
    <w:rsid w:val="00D6607C"/>
    <w:rsid w:val="00D66659"/>
    <w:rsid w:val="00D66837"/>
    <w:rsid w:val="00D6693B"/>
    <w:rsid w:val="00D66A6B"/>
    <w:rsid w:val="00D66E82"/>
    <w:rsid w:val="00D66F73"/>
    <w:rsid w:val="00D7012B"/>
    <w:rsid w:val="00D70791"/>
    <w:rsid w:val="00D711F2"/>
    <w:rsid w:val="00D7143C"/>
    <w:rsid w:val="00D7184F"/>
    <w:rsid w:val="00D71E65"/>
    <w:rsid w:val="00D7201D"/>
    <w:rsid w:val="00D72074"/>
    <w:rsid w:val="00D72A0A"/>
    <w:rsid w:val="00D72A8D"/>
    <w:rsid w:val="00D73157"/>
    <w:rsid w:val="00D7379F"/>
    <w:rsid w:val="00D73900"/>
    <w:rsid w:val="00D74375"/>
    <w:rsid w:val="00D74F98"/>
    <w:rsid w:val="00D75157"/>
    <w:rsid w:val="00D75221"/>
    <w:rsid w:val="00D7525E"/>
    <w:rsid w:val="00D75AF4"/>
    <w:rsid w:val="00D767F8"/>
    <w:rsid w:val="00D77238"/>
    <w:rsid w:val="00D7779B"/>
    <w:rsid w:val="00D8046C"/>
    <w:rsid w:val="00D808AC"/>
    <w:rsid w:val="00D81F18"/>
    <w:rsid w:val="00D81F80"/>
    <w:rsid w:val="00D828D5"/>
    <w:rsid w:val="00D838E3"/>
    <w:rsid w:val="00D85012"/>
    <w:rsid w:val="00D85FC6"/>
    <w:rsid w:val="00D8773B"/>
    <w:rsid w:val="00D900D8"/>
    <w:rsid w:val="00D907CE"/>
    <w:rsid w:val="00D9153C"/>
    <w:rsid w:val="00D92D79"/>
    <w:rsid w:val="00D94127"/>
    <w:rsid w:val="00D9506B"/>
    <w:rsid w:val="00D956FF"/>
    <w:rsid w:val="00D95CBE"/>
    <w:rsid w:val="00D95EDF"/>
    <w:rsid w:val="00D95FA3"/>
    <w:rsid w:val="00D9642C"/>
    <w:rsid w:val="00D964AF"/>
    <w:rsid w:val="00D96690"/>
    <w:rsid w:val="00D969D3"/>
    <w:rsid w:val="00D9705C"/>
    <w:rsid w:val="00D976AD"/>
    <w:rsid w:val="00DA0983"/>
    <w:rsid w:val="00DA0B02"/>
    <w:rsid w:val="00DA0CCB"/>
    <w:rsid w:val="00DA0D02"/>
    <w:rsid w:val="00DA13D4"/>
    <w:rsid w:val="00DA1528"/>
    <w:rsid w:val="00DA1550"/>
    <w:rsid w:val="00DA1605"/>
    <w:rsid w:val="00DA1985"/>
    <w:rsid w:val="00DA32D6"/>
    <w:rsid w:val="00DA42DF"/>
    <w:rsid w:val="00DA51A0"/>
    <w:rsid w:val="00DA5CC2"/>
    <w:rsid w:val="00DA5FBC"/>
    <w:rsid w:val="00DA6248"/>
    <w:rsid w:val="00DA63F9"/>
    <w:rsid w:val="00DA6657"/>
    <w:rsid w:val="00DA7CAB"/>
    <w:rsid w:val="00DA7FFD"/>
    <w:rsid w:val="00DB06F9"/>
    <w:rsid w:val="00DB0E5C"/>
    <w:rsid w:val="00DB1ED5"/>
    <w:rsid w:val="00DB3858"/>
    <w:rsid w:val="00DB3B49"/>
    <w:rsid w:val="00DB3EEC"/>
    <w:rsid w:val="00DB42E9"/>
    <w:rsid w:val="00DB4328"/>
    <w:rsid w:val="00DB490A"/>
    <w:rsid w:val="00DB5429"/>
    <w:rsid w:val="00DB57FB"/>
    <w:rsid w:val="00DB5A46"/>
    <w:rsid w:val="00DB5C49"/>
    <w:rsid w:val="00DB64BB"/>
    <w:rsid w:val="00DB695F"/>
    <w:rsid w:val="00DB698C"/>
    <w:rsid w:val="00DB76F6"/>
    <w:rsid w:val="00DB7A05"/>
    <w:rsid w:val="00DB7A50"/>
    <w:rsid w:val="00DB7E69"/>
    <w:rsid w:val="00DC03EC"/>
    <w:rsid w:val="00DC0BFD"/>
    <w:rsid w:val="00DC0F2D"/>
    <w:rsid w:val="00DC18A7"/>
    <w:rsid w:val="00DC2040"/>
    <w:rsid w:val="00DC26AA"/>
    <w:rsid w:val="00DC2E7C"/>
    <w:rsid w:val="00DC39C3"/>
    <w:rsid w:val="00DC3EE0"/>
    <w:rsid w:val="00DC4380"/>
    <w:rsid w:val="00DC4765"/>
    <w:rsid w:val="00DC5A01"/>
    <w:rsid w:val="00DC5E36"/>
    <w:rsid w:val="00DC775D"/>
    <w:rsid w:val="00DC7C4F"/>
    <w:rsid w:val="00DD0350"/>
    <w:rsid w:val="00DD04E5"/>
    <w:rsid w:val="00DD065D"/>
    <w:rsid w:val="00DD0A04"/>
    <w:rsid w:val="00DD1907"/>
    <w:rsid w:val="00DD1B2A"/>
    <w:rsid w:val="00DD1BBB"/>
    <w:rsid w:val="00DD1CD9"/>
    <w:rsid w:val="00DD1DC4"/>
    <w:rsid w:val="00DD26F6"/>
    <w:rsid w:val="00DD2AA0"/>
    <w:rsid w:val="00DD3E26"/>
    <w:rsid w:val="00DD4227"/>
    <w:rsid w:val="00DD47DE"/>
    <w:rsid w:val="00DD4930"/>
    <w:rsid w:val="00DD49BD"/>
    <w:rsid w:val="00DD531D"/>
    <w:rsid w:val="00DD611A"/>
    <w:rsid w:val="00DD6163"/>
    <w:rsid w:val="00DD6243"/>
    <w:rsid w:val="00DD6AB8"/>
    <w:rsid w:val="00DD6BEC"/>
    <w:rsid w:val="00DD6CA8"/>
    <w:rsid w:val="00DD6EDD"/>
    <w:rsid w:val="00DD725D"/>
    <w:rsid w:val="00DD7A52"/>
    <w:rsid w:val="00DD7E3D"/>
    <w:rsid w:val="00DE03DD"/>
    <w:rsid w:val="00DE150A"/>
    <w:rsid w:val="00DE1578"/>
    <w:rsid w:val="00DE2F67"/>
    <w:rsid w:val="00DE2FDC"/>
    <w:rsid w:val="00DE351B"/>
    <w:rsid w:val="00DE3DC7"/>
    <w:rsid w:val="00DE4131"/>
    <w:rsid w:val="00DE42B2"/>
    <w:rsid w:val="00DE43C5"/>
    <w:rsid w:val="00DE445F"/>
    <w:rsid w:val="00DE47BB"/>
    <w:rsid w:val="00DE5624"/>
    <w:rsid w:val="00DE58C5"/>
    <w:rsid w:val="00DE59C7"/>
    <w:rsid w:val="00DE6021"/>
    <w:rsid w:val="00DE6394"/>
    <w:rsid w:val="00DE6857"/>
    <w:rsid w:val="00DE6FD9"/>
    <w:rsid w:val="00DE70F6"/>
    <w:rsid w:val="00DE7EE9"/>
    <w:rsid w:val="00DE7FAA"/>
    <w:rsid w:val="00DF0041"/>
    <w:rsid w:val="00DF06EA"/>
    <w:rsid w:val="00DF0743"/>
    <w:rsid w:val="00DF0F34"/>
    <w:rsid w:val="00DF2DB5"/>
    <w:rsid w:val="00DF3260"/>
    <w:rsid w:val="00DF361A"/>
    <w:rsid w:val="00DF3B79"/>
    <w:rsid w:val="00DF3CD3"/>
    <w:rsid w:val="00DF44F1"/>
    <w:rsid w:val="00DF45DD"/>
    <w:rsid w:val="00DF463E"/>
    <w:rsid w:val="00DF5BD3"/>
    <w:rsid w:val="00DF62C4"/>
    <w:rsid w:val="00DF70A1"/>
    <w:rsid w:val="00DF72DF"/>
    <w:rsid w:val="00DF76B7"/>
    <w:rsid w:val="00DF7A8A"/>
    <w:rsid w:val="00E00099"/>
    <w:rsid w:val="00E00389"/>
    <w:rsid w:val="00E0071F"/>
    <w:rsid w:val="00E01DA2"/>
    <w:rsid w:val="00E021BD"/>
    <w:rsid w:val="00E02A99"/>
    <w:rsid w:val="00E02DF0"/>
    <w:rsid w:val="00E02F8B"/>
    <w:rsid w:val="00E03182"/>
    <w:rsid w:val="00E03B94"/>
    <w:rsid w:val="00E048D0"/>
    <w:rsid w:val="00E04BF4"/>
    <w:rsid w:val="00E05ADC"/>
    <w:rsid w:val="00E05E04"/>
    <w:rsid w:val="00E06E70"/>
    <w:rsid w:val="00E06EA4"/>
    <w:rsid w:val="00E06F94"/>
    <w:rsid w:val="00E07966"/>
    <w:rsid w:val="00E07C13"/>
    <w:rsid w:val="00E10DD5"/>
    <w:rsid w:val="00E111A1"/>
    <w:rsid w:val="00E11478"/>
    <w:rsid w:val="00E116BE"/>
    <w:rsid w:val="00E11B31"/>
    <w:rsid w:val="00E12237"/>
    <w:rsid w:val="00E12F45"/>
    <w:rsid w:val="00E13212"/>
    <w:rsid w:val="00E138C2"/>
    <w:rsid w:val="00E1406A"/>
    <w:rsid w:val="00E16522"/>
    <w:rsid w:val="00E1726F"/>
    <w:rsid w:val="00E17359"/>
    <w:rsid w:val="00E17670"/>
    <w:rsid w:val="00E17DBA"/>
    <w:rsid w:val="00E17E1E"/>
    <w:rsid w:val="00E20475"/>
    <w:rsid w:val="00E20536"/>
    <w:rsid w:val="00E20B94"/>
    <w:rsid w:val="00E20D40"/>
    <w:rsid w:val="00E21EE7"/>
    <w:rsid w:val="00E2253C"/>
    <w:rsid w:val="00E22BD2"/>
    <w:rsid w:val="00E236EF"/>
    <w:rsid w:val="00E2430C"/>
    <w:rsid w:val="00E243E9"/>
    <w:rsid w:val="00E24928"/>
    <w:rsid w:val="00E24DAF"/>
    <w:rsid w:val="00E257C7"/>
    <w:rsid w:val="00E25B7B"/>
    <w:rsid w:val="00E25CEF"/>
    <w:rsid w:val="00E26162"/>
    <w:rsid w:val="00E27700"/>
    <w:rsid w:val="00E2776A"/>
    <w:rsid w:val="00E278CA"/>
    <w:rsid w:val="00E3092F"/>
    <w:rsid w:val="00E30DC9"/>
    <w:rsid w:val="00E315F7"/>
    <w:rsid w:val="00E319AD"/>
    <w:rsid w:val="00E31A08"/>
    <w:rsid w:val="00E31B9D"/>
    <w:rsid w:val="00E3225D"/>
    <w:rsid w:val="00E322CE"/>
    <w:rsid w:val="00E3254D"/>
    <w:rsid w:val="00E32708"/>
    <w:rsid w:val="00E32D1B"/>
    <w:rsid w:val="00E33816"/>
    <w:rsid w:val="00E33CB7"/>
    <w:rsid w:val="00E33FF6"/>
    <w:rsid w:val="00E3406B"/>
    <w:rsid w:val="00E34077"/>
    <w:rsid w:val="00E342F5"/>
    <w:rsid w:val="00E34B27"/>
    <w:rsid w:val="00E34BA1"/>
    <w:rsid w:val="00E34D48"/>
    <w:rsid w:val="00E36B71"/>
    <w:rsid w:val="00E36D2B"/>
    <w:rsid w:val="00E36F90"/>
    <w:rsid w:val="00E37569"/>
    <w:rsid w:val="00E37E8D"/>
    <w:rsid w:val="00E40105"/>
    <w:rsid w:val="00E41041"/>
    <w:rsid w:val="00E41465"/>
    <w:rsid w:val="00E41DB1"/>
    <w:rsid w:val="00E41FC3"/>
    <w:rsid w:val="00E4212E"/>
    <w:rsid w:val="00E42480"/>
    <w:rsid w:val="00E424AD"/>
    <w:rsid w:val="00E42984"/>
    <w:rsid w:val="00E4323F"/>
    <w:rsid w:val="00E44B4E"/>
    <w:rsid w:val="00E44BC3"/>
    <w:rsid w:val="00E45497"/>
    <w:rsid w:val="00E45638"/>
    <w:rsid w:val="00E45735"/>
    <w:rsid w:val="00E4589D"/>
    <w:rsid w:val="00E46060"/>
    <w:rsid w:val="00E465A2"/>
    <w:rsid w:val="00E468C2"/>
    <w:rsid w:val="00E46CB3"/>
    <w:rsid w:val="00E47E30"/>
    <w:rsid w:val="00E50CD1"/>
    <w:rsid w:val="00E51256"/>
    <w:rsid w:val="00E512DB"/>
    <w:rsid w:val="00E51DCE"/>
    <w:rsid w:val="00E52BA7"/>
    <w:rsid w:val="00E52DE7"/>
    <w:rsid w:val="00E531F3"/>
    <w:rsid w:val="00E54F87"/>
    <w:rsid w:val="00E55192"/>
    <w:rsid w:val="00E55813"/>
    <w:rsid w:val="00E55B72"/>
    <w:rsid w:val="00E55FB7"/>
    <w:rsid w:val="00E56A87"/>
    <w:rsid w:val="00E56D65"/>
    <w:rsid w:val="00E57643"/>
    <w:rsid w:val="00E57AE7"/>
    <w:rsid w:val="00E6049C"/>
    <w:rsid w:val="00E61BFC"/>
    <w:rsid w:val="00E62F2F"/>
    <w:rsid w:val="00E62F84"/>
    <w:rsid w:val="00E630E4"/>
    <w:rsid w:val="00E63855"/>
    <w:rsid w:val="00E63C1B"/>
    <w:rsid w:val="00E63E8B"/>
    <w:rsid w:val="00E642B4"/>
    <w:rsid w:val="00E64CA5"/>
    <w:rsid w:val="00E656BB"/>
    <w:rsid w:val="00E65A8C"/>
    <w:rsid w:val="00E65B2E"/>
    <w:rsid w:val="00E66A6C"/>
    <w:rsid w:val="00E66A99"/>
    <w:rsid w:val="00E679BF"/>
    <w:rsid w:val="00E67E9B"/>
    <w:rsid w:val="00E70198"/>
    <w:rsid w:val="00E71290"/>
    <w:rsid w:val="00E7183B"/>
    <w:rsid w:val="00E719B0"/>
    <w:rsid w:val="00E72186"/>
    <w:rsid w:val="00E7238E"/>
    <w:rsid w:val="00E73048"/>
    <w:rsid w:val="00E7343F"/>
    <w:rsid w:val="00E73B1F"/>
    <w:rsid w:val="00E75584"/>
    <w:rsid w:val="00E759EC"/>
    <w:rsid w:val="00E75C5E"/>
    <w:rsid w:val="00E769C5"/>
    <w:rsid w:val="00E772C2"/>
    <w:rsid w:val="00E7749C"/>
    <w:rsid w:val="00E775E3"/>
    <w:rsid w:val="00E800D2"/>
    <w:rsid w:val="00E82EAE"/>
    <w:rsid w:val="00E834A6"/>
    <w:rsid w:val="00E83967"/>
    <w:rsid w:val="00E83D6D"/>
    <w:rsid w:val="00E84053"/>
    <w:rsid w:val="00E84106"/>
    <w:rsid w:val="00E8478E"/>
    <w:rsid w:val="00E84F47"/>
    <w:rsid w:val="00E8500D"/>
    <w:rsid w:val="00E851D7"/>
    <w:rsid w:val="00E854EE"/>
    <w:rsid w:val="00E85ADE"/>
    <w:rsid w:val="00E8601E"/>
    <w:rsid w:val="00E86138"/>
    <w:rsid w:val="00E875B8"/>
    <w:rsid w:val="00E879B3"/>
    <w:rsid w:val="00E87C86"/>
    <w:rsid w:val="00E902DA"/>
    <w:rsid w:val="00E90412"/>
    <w:rsid w:val="00E90DDB"/>
    <w:rsid w:val="00E911FD"/>
    <w:rsid w:val="00E912B3"/>
    <w:rsid w:val="00E91A98"/>
    <w:rsid w:val="00E91BE7"/>
    <w:rsid w:val="00E92062"/>
    <w:rsid w:val="00E922DD"/>
    <w:rsid w:val="00E92756"/>
    <w:rsid w:val="00E9282E"/>
    <w:rsid w:val="00E92C16"/>
    <w:rsid w:val="00E931C2"/>
    <w:rsid w:val="00E940F6"/>
    <w:rsid w:val="00E94676"/>
    <w:rsid w:val="00E94B71"/>
    <w:rsid w:val="00E94CA4"/>
    <w:rsid w:val="00E95234"/>
    <w:rsid w:val="00E95A1D"/>
    <w:rsid w:val="00EA15A7"/>
    <w:rsid w:val="00EA19EE"/>
    <w:rsid w:val="00EA275D"/>
    <w:rsid w:val="00EA29E6"/>
    <w:rsid w:val="00EA2B6E"/>
    <w:rsid w:val="00EA2D57"/>
    <w:rsid w:val="00EA3751"/>
    <w:rsid w:val="00EA382F"/>
    <w:rsid w:val="00EA40B9"/>
    <w:rsid w:val="00EA506F"/>
    <w:rsid w:val="00EA57AB"/>
    <w:rsid w:val="00EA682D"/>
    <w:rsid w:val="00EA6A44"/>
    <w:rsid w:val="00EA6C7D"/>
    <w:rsid w:val="00EA6FCB"/>
    <w:rsid w:val="00EA72C4"/>
    <w:rsid w:val="00EA72EE"/>
    <w:rsid w:val="00EA76CD"/>
    <w:rsid w:val="00EA7A8F"/>
    <w:rsid w:val="00EB01A7"/>
    <w:rsid w:val="00EB0D35"/>
    <w:rsid w:val="00EB2115"/>
    <w:rsid w:val="00EB2462"/>
    <w:rsid w:val="00EB2679"/>
    <w:rsid w:val="00EB3CD4"/>
    <w:rsid w:val="00EB4159"/>
    <w:rsid w:val="00EB4B66"/>
    <w:rsid w:val="00EB53E1"/>
    <w:rsid w:val="00EB6476"/>
    <w:rsid w:val="00EB6D4F"/>
    <w:rsid w:val="00EB73B1"/>
    <w:rsid w:val="00EB7B59"/>
    <w:rsid w:val="00EC092C"/>
    <w:rsid w:val="00EC0AE9"/>
    <w:rsid w:val="00EC0E9A"/>
    <w:rsid w:val="00EC0EFF"/>
    <w:rsid w:val="00EC100A"/>
    <w:rsid w:val="00EC1530"/>
    <w:rsid w:val="00EC22EB"/>
    <w:rsid w:val="00EC27C3"/>
    <w:rsid w:val="00EC2893"/>
    <w:rsid w:val="00EC3CBD"/>
    <w:rsid w:val="00EC45D8"/>
    <w:rsid w:val="00EC4772"/>
    <w:rsid w:val="00EC4CA5"/>
    <w:rsid w:val="00EC517C"/>
    <w:rsid w:val="00EC6F0F"/>
    <w:rsid w:val="00EC7AD4"/>
    <w:rsid w:val="00ED0554"/>
    <w:rsid w:val="00ED1967"/>
    <w:rsid w:val="00ED1C9E"/>
    <w:rsid w:val="00ED2113"/>
    <w:rsid w:val="00ED3272"/>
    <w:rsid w:val="00ED3B8C"/>
    <w:rsid w:val="00ED41E0"/>
    <w:rsid w:val="00ED4336"/>
    <w:rsid w:val="00ED52D4"/>
    <w:rsid w:val="00ED591D"/>
    <w:rsid w:val="00ED5E03"/>
    <w:rsid w:val="00ED5FF4"/>
    <w:rsid w:val="00ED6F25"/>
    <w:rsid w:val="00ED6F86"/>
    <w:rsid w:val="00ED7BFF"/>
    <w:rsid w:val="00ED7EC2"/>
    <w:rsid w:val="00ED7F2D"/>
    <w:rsid w:val="00EE0DF4"/>
    <w:rsid w:val="00EE164A"/>
    <w:rsid w:val="00EE1EB7"/>
    <w:rsid w:val="00EE262C"/>
    <w:rsid w:val="00EE274A"/>
    <w:rsid w:val="00EE291D"/>
    <w:rsid w:val="00EE2F30"/>
    <w:rsid w:val="00EE34AB"/>
    <w:rsid w:val="00EE3B8C"/>
    <w:rsid w:val="00EE42C9"/>
    <w:rsid w:val="00EE43A4"/>
    <w:rsid w:val="00EE47F1"/>
    <w:rsid w:val="00EE4A82"/>
    <w:rsid w:val="00EE5147"/>
    <w:rsid w:val="00EE53EF"/>
    <w:rsid w:val="00EE5576"/>
    <w:rsid w:val="00EE5AED"/>
    <w:rsid w:val="00EE5D0E"/>
    <w:rsid w:val="00EE6208"/>
    <w:rsid w:val="00EE79D7"/>
    <w:rsid w:val="00EF030A"/>
    <w:rsid w:val="00EF0F88"/>
    <w:rsid w:val="00EF12D6"/>
    <w:rsid w:val="00EF14CA"/>
    <w:rsid w:val="00EF1A12"/>
    <w:rsid w:val="00EF3227"/>
    <w:rsid w:val="00EF355C"/>
    <w:rsid w:val="00EF400B"/>
    <w:rsid w:val="00EF47B2"/>
    <w:rsid w:val="00EF4911"/>
    <w:rsid w:val="00EF49EA"/>
    <w:rsid w:val="00EF4CBB"/>
    <w:rsid w:val="00EF4D5B"/>
    <w:rsid w:val="00EF4F47"/>
    <w:rsid w:val="00EF5289"/>
    <w:rsid w:val="00EF624D"/>
    <w:rsid w:val="00EF6725"/>
    <w:rsid w:val="00EF6A15"/>
    <w:rsid w:val="00EF6D51"/>
    <w:rsid w:val="00EF7037"/>
    <w:rsid w:val="00EF76A1"/>
    <w:rsid w:val="00F00246"/>
    <w:rsid w:val="00F004EE"/>
    <w:rsid w:val="00F0074B"/>
    <w:rsid w:val="00F00767"/>
    <w:rsid w:val="00F014CD"/>
    <w:rsid w:val="00F01560"/>
    <w:rsid w:val="00F015F3"/>
    <w:rsid w:val="00F017DE"/>
    <w:rsid w:val="00F01B4D"/>
    <w:rsid w:val="00F02711"/>
    <w:rsid w:val="00F0272B"/>
    <w:rsid w:val="00F02CA8"/>
    <w:rsid w:val="00F02D30"/>
    <w:rsid w:val="00F02D93"/>
    <w:rsid w:val="00F035F9"/>
    <w:rsid w:val="00F05374"/>
    <w:rsid w:val="00F0588A"/>
    <w:rsid w:val="00F05BFB"/>
    <w:rsid w:val="00F060F2"/>
    <w:rsid w:val="00F06516"/>
    <w:rsid w:val="00F069B9"/>
    <w:rsid w:val="00F0701B"/>
    <w:rsid w:val="00F07E6F"/>
    <w:rsid w:val="00F1079E"/>
    <w:rsid w:val="00F12BA2"/>
    <w:rsid w:val="00F1384B"/>
    <w:rsid w:val="00F13874"/>
    <w:rsid w:val="00F14186"/>
    <w:rsid w:val="00F145EE"/>
    <w:rsid w:val="00F148E4"/>
    <w:rsid w:val="00F14C53"/>
    <w:rsid w:val="00F15327"/>
    <w:rsid w:val="00F15762"/>
    <w:rsid w:val="00F15FB3"/>
    <w:rsid w:val="00F16E7B"/>
    <w:rsid w:val="00F17766"/>
    <w:rsid w:val="00F179DC"/>
    <w:rsid w:val="00F17F8D"/>
    <w:rsid w:val="00F21CDF"/>
    <w:rsid w:val="00F225FC"/>
    <w:rsid w:val="00F22892"/>
    <w:rsid w:val="00F22C92"/>
    <w:rsid w:val="00F23A0D"/>
    <w:rsid w:val="00F23DEB"/>
    <w:rsid w:val="00F24B62"/>
    <w:rsid w:val="00F2605A"/>
    <w:rsid w:val="00F2629C"/>
    <w:rsid w:val="00F26AA7"/>
    <w:rsid w:val="00F26D65"/>
    <w:rsid w:val="00F26D81"/>
    <w:rsid w:val="00F270ED"/>
    <w:rsid w:val="00F27139"/>
    <w:rsid w:val="00F276E3"/>
    <w:rsid w:val="00F2794A"/>
    <w:rsid w:val="00F27E53"/>
    <w:rsid w:val="00F30EAE"/>
    <w:rsid w:val="00F315CE"/>
    <w:rsid w:val="00F31D5B"/>
    <w:rsid w:val="00F32203"/>
    <w:rsid w:val="00F3273A"/>
    <w:rsid w:val="00F3311D"/>
    <w:rsid w:val="00F34A2A"/>
    <w:rsid w:val="00F34BA7"/>
    <w:rsid w:val="00F34C78"/>
    <w:rsid w:val="00F34F29"/>
    <w:rsid w:val="00F3584F"/>
    <w:rsid w:val="00F35B8D"/>
    <w:rsid w:val="00F3618C"/>
    <w:rsid w:val="00F365DC"/>
    <w:rsid w:val="00F36F0B"/>
    <w:rsid w:val="00F3726E"/>
    <w:rsid w:val="00F37B1E"/>
    <w:rsid w:val="00F40751"/>
    <w:rsid w:val="00F41953"/>
    <w:rsid w:val="00F41ABF"/>
    <w:rsid w:val="00F43340"/>
    <w:rsid w:val="00F43B3E"/>
    <w:rsid w:val="00F44035"/>
    <w:rsid w:val="00F44674"/>
    <w:rsid w:val="00F446FD"/>
    <w:rsid w:val="00F44702"/>
    <w:rsid w:val="00F44721"/>
    <w:rsid w:val="00F44958"/>
    <w:rsid w:val="00F44A89"/>
    <w:rsid w:val="00F45B34"/>
    <w:rsid w:val="00F46192"/>
    <w:rsid w:val="00F46742"/>
    <w:rsid w:val="00F472F3"/>
    <w:rsid w:val="00F47C4B"/>
    <w:rsid w:val="00F509A8"/>
    <w:rsid w:val="00F5280F"/>
    <w:rsid w:val="00F52C9F"/>
    <w:rsid w:val="00F532DC"/>
    <w:rsid w:val="00F5376C"/>
    <w:rsid w:val="00F53F6A"/>
    <w:rsid w:val="00F54135"/>
    <w:rsid w:val="00F543E9"/>
    <w:rsid w:val="00F54757"/>
    <w:rsid w:val="00F54D0B"/>
    <w:rsid w:val="00F551EC"/>
    <w:rsid w:val="00F553F9"/>
    <w:rsid w:val="00F556D6"/>
    <w:rsid w:val="00F55B4B"/>
    <w:rsid w:val="00F56E9C"/>
    <w:rsid w:val="00F572C2"/>
    <w:rsid w:val="00F575A2"/>
    <w:rsid w:val="00F57CDA"/>
    <w:rsid w:val="00F57ED6"/>
    <w:rsid w:val="00F60B9C"/>
    <w:rsid w:val="00F63D73"/>
    <w:rsid w:val="00F64694"/>
    <w:rsid w:val="00F64D12"/>
    <w:rsid w:val="00F64F81"/>
    <w:rsid w:val="00F652A8"/>
    <w:rsid w:val="00F65C14"/>
    <w:rsid w:val="00F65DAD"/>
    <w:rsid w:val="00F661D0"/>
    <w:rsid w:val="00F67164"/>
    <w:rsid w:val="00F67533"/>
    <w:rsid w:val="00F675C8"/>
    <w:rsid w:val="00F67728"/>
    <w:rsid w:val="00F67D6E"/>
    <w:rsid w:val="00F67E28"/>
    <w:rsid w:val="00F70097"/>
    <w:rsid w:val="00F71E35"/>
    <w:rsid w:val="00F72079"/>
    <w:rsid w:val="00F72A44"/>
    <w:rsid w:val="00F73BD4"/>
    <w:rsid w:val="00F73DED"/>
    <w:rsid w:val="00F74672"/>
    <w:rsid w:val="00F75134"/>
    <w:rsid w:val="00F75762"/>
    <w:rsid w:val="00F757E5"/>
    <w:rsid w:val="00F758CC"/>
    <w:rsid w:val="00F75AA0"/>
    <w:rsid w:val="00F75E9F"/>
    <w:rsid w:val="00F762D7"/>
    <w:rsid w:val="00F76906"/>
    <w:rsid w:val="00F7702D"/>
    <w:rsid w:val="00F77281"/>
    <w:rsid w:val="00F77B21"/>
    <w:rsid w:val="00F77F89"/>
    <w:rsid w:val="00F80FDE"/>
    <w:rsid w:val="00F82279"/>
    <w:rsid w:val="00F83AFE"/>
    <w:rsid w:val="00F83EFE"/>
    <w:rsid w:val="00F8402E"/>
    <w:rsid w:val="00F841D9"/>
    <w:rsid w:val="00F84751"/>
    <w:rsid w:val="00F847FA"/>
    <w:rsid w:val="00F85058"/>
    <w:rsid w:val="00F85383"/>
    <w:rsid w:val="00F86189"/>
    <w:rsid w:val="00F86CBD"/>
    <w:rsid w:val="00F8755B"/>
    <w:rsid w:val="00F87B72"/>
    <w:rsid w:val="00F901CA"/>
    <w:rsid w:val="00F90304"/>
    <w:rsid w:val="00F9086E"/>
    <w:rsid w:val="00F908EE"/>
    <w:rsid w:val="00F91662"/>
    <w:rsid w:val="00F919B8"/>
    <w:rsid w:val="00F926FC"/>
    <w:rsid w:val="00F932A9"/>
    <w:rsid w:val="00F93E6B"/>
    <w:rsid w:val="00F9491B"/>
    <w:rsid w:val="00F94D30"/>
    <w:rsid w:val="00F94EEE"/>
    <w:rsid w:val="00F95202"/>
    <w:rsid w:val="00F95591"/>
    <w:rsid w:val="00F95937"/>
    <w:rsid w:val="00F96ABD"/>
    <w:rsid w:val="00F96B86"/>
    <w:rsid w:val="00F96C92"/>
    <w:rsid w:val="00F96E76"/>
    <w:rsid w:val="00F971B9"/>
    <w:rsid w:val="00F974A7"/>
    <w:rsid w:val="00F9756A"/>
    <w:rsid w:val="00F97686"/>
    <w:rsid w:val="00FA02BE"/>
    <w:rsid w:val="00FA0563"/>
    <w:rsid w:val="00FA06E5"/>
    <w:rsid w:val="00FA0F79"/>
    <w:rsid w:val="00FA162B"/>
    <w:rsid w:val="00FA1DC1"/>
    <w:rsid w:val="00FA1EE7"/>
    <w:rsid w:val="00FA22A4"/>
    <w:rsid w:val="00FA2542"/>
    <w:rsid w:val="00FA2D44"/>
    <w:rsid w:val="00FA2D45"/>
    <w:rsid w:val="00FA2F0E"/>
    <w:rsid w:val="00FA36A1"/>
    <w:rsid w:val="00FA39AF"/>
    <w:rsid w:val="00FA3F84"/>
    <w:rsid w:val="00FA433C"/>
    <w:rsid w:val="00FA4535"/>
    <w:rsid w:val="00FA4565"/>
    <w:rsid w:val="00FA5880"/>
    <w:rsid w:val="00FA5DF5"/>
    <w:rsid w:val="00FA6540"/>
    <w:rsid w:val="00FA6906"/>
    <w:rsid w:val="00FA6B9B"/>
    <w:rsid w:val="00FA6EF2"/>
    <w:rsid w:val="00FA7DE8"/>
    <w:rsid w:val="00FB0B70"/>
    <w:rsid w:val="00FB0D4B"/>
    <w:rsid w:val="00FB1187"/>
    <w:rsid w:val="00FB129F"/>
    <w:rsid w:val="00FB1A02"/>
    <w:rsid w:val="00FB1AC5"/>
    <w:rsid w:val="00FB27EC"/>
    <w:rsid w:val="00FB295C"/>
    <w:rsid w:val="00FB2986"/>
    <w:rsid w:val="00FB2F6A"/>
    <w:rsid w:val="00FB3F86"/>
    <w:rsid w:val="00FB4485"/>
    <w:rsid w:val="00FB4BB5"/>
    <w:rsid w:val="00FB4BFE"/>
    <w:rsid w:val="00FB509C"/>
    <w:rsid w:val="00FB53FB"/>
    <w:rsid w:val="00FB67E8"/>
    <w:rsid w:val="00FC049B"/>
    <w:rsid w:val="00FC0A07"/>
    <w:rsid w:val="00FC0C62"/>
    <w:rsid w:val="00FC0D5C"/>
    <w:rsid w:val="00FC13D3"/>
    <w:rsid w:val="00FC146A"/>
    <w:rsid w:val="00FC17A4"/>
    <w:rsid w:val="00FC19F0"/>
    <w:rsid w:val="00FC1E0E"/>
    <w:rsid w:val="00FC1EF4"/>
    <w:rsid w:val="00FC23A6"/>
    <w:rsid w:val="00FC2484"/>
    <w:rsid w:val="00FC2605"/>
    <w:rsid w:val="00FC2750"/>
    <w:rsid w:val="00FC294A"/>
    <w:rsid w:val="00FC2A7B"/>
    <w:rsid w:val="00FC32E2"/>
    <w:rsid w:val="00FC3590"/>
    <w:rsid w:val="00FC42CA"/>
    <w:rsid w:val="00FC4382"/>
    <w:rsid w:val="00FC5469"/>
    <w:rsid w:val="00FC54C4"/>
    <w:rsid w:val="00FC5641"/>
    <w:rsid w:val="00FC585A"/>
    <w:rsid w:val="00FC6448"/>
    <w:rsid w:val="00FC6542"/>
    <w:rsid w:val="00FD035E"/>
    <w:rsid w:val="00FD08A5"/>
    <w:rsid w:val="00FD0925"/>
    <w:rsid w:val="00FD0ACA"/>
    <w:rsid w:val="00FD13CD"/>
    <w:rsid w:val="00FD1851"/>
    <w:rsid w:val="00FD2DD9"/>
    <w:rsid w:val="00FD3277"/>
    <w:rsid w:val="00FD3C01"/>
    <w:rsid w:val="00FD42B1"/>
    <w:rsid w:val="00FD532A"/>
    <w:rsid w:val="00FD5731"/>
    <w:rsid w:val="00FD58CC"/>
    <w:rsid w:val="00FD5AD4"/>
    <w:rsid w:val="00FD5E9B"/>
    <w:rsid w:val="00FD5EB1"/>
    <w:rsid w:val="00FD65C2"/>
    <w:rsid w:val="00FD6943"/>
    <w:rsid w:val="00FD7C48"/>
    <w:rsid w:val="00FD7F5C"/>
    <w:rsid w:val="00FE0592"/>
    <w:rsid w:val="00FE063E"/>
    <w:rsid w:val="00FE0E4A"/>
    <w:rsid w:val="00FE0FCC"/>
    <w:rsid w:val="00FE0FD3"/>
    <w:rsid w:val="00FE10BF"/>
    <w:rsid w:val="00FE1B15"/>
    <w:rsid w:val="00FE1D70"/>
    <w:rsid w:val="00FE219B"/>
    <w:rsid w:val="00FE2461"/>
    <w:rsid w:val="00FE2611"/>
    <w:rsid w:val="00FE2844"/>
    <w:rsid w:val="00FE2BA3"/>
    <w:rsid w:val="00FE3078"/>
    <w:rsid w:val="00FE37F3"/>
    <w:rsid w:val="00FE389A"/>
    <w:rsid w:val="00FE409D"/>
    <w:rsid w:val="00FE4ABE"/>
    <w:rsid w:val="00FE5063"/>
    <w:rsid w:val="00FE535F"/>
    <w:rsid w:val="00FE586A"/>
    <w:rsid w:val="00FE5F77"/>
    <w:rsid w:val="00FE62EA"/>
    <w:rsid w:val="00FE6BE9"/>
    <w:rsid w:val="00FE7A42"/>
    <w:rsid w:val="00FF0174"/>
    <w:rsid w:val="00FF0E17"/>
    <w:rsid w:val="00FF190B"/>
    <w:rsid w:val="00FF2C4F"/>
    <w:rsid w:val="00FF49A2"/>
    <w:rsid w:val="00FF4BB4"/>
    <w:rsid w:val="00FF54B0"/>
    <w:rsid w:val="00FF57AB"/>
    <w:rsid w:val="00FF58D5"/>
    <w:rsid w:val="00FF58E1"/>
    <w:rsid w:val="00FF5ACE"/>
    <w:rsid w:val="00FF6110"/>
    <w:rsid w:val="00FF62E3"/>
    <w:rsid w:val="00FF68CE"/>
    <w:rsid w:val="00FF6CDB"/>
    <w:rsid w:val="00FF7184"/>
    <w:rsid w:val="00FF71A8"/>
    <w:rsid w:val="00FF7208"/>
    <w:rsid w:val="00FF72E9"/>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457fc"/>
    </o:shapedefaults>
    <o:shapelayout v:ext="edit">
      <o:idmap v:ext="edit" data="2"/>
    </o:shapelayout>
  </w:shapeDefaults>
  <w:decimalSymbol w:val="."/>
  <w:listSeparator w:val=","/>
  <w14:docId w14:val="05D25134"/>
  <w15:chartTrackingRefBased/>
  <w15:docId w15:val="{94A38A29-96F6-4DFB-B446-67279186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C5C"/>
    <w:pPr>
      <w:spacing w:after="120" w:line="240" w:lineRule="auto"/>
    </w:pPr>
    <w:rPr>
      <w:color w:val="000000" w:themeColor="text1"/>
    </w:rPr>
  </w:style>
  <w:style w:type="paragraph" w:styleId="Heading1">
    <w:name w:val="heading 1"/>
    <w:basedOn w:val="Normal"/>
    <w:next w:val="Normal"/>
    <w:link w:val="Heading1Char"/>
    <w:uiPriority w:val="9"/>
    <w:qFormat/>
    <w:rsid w:val="00DD1CD9"/>
    <w:pPr>
      <w:keepNext/>
      <w:keepLines/>
      <w:spacing w:before="240" w:after="0"/>
      <w:outlineLvl w:val="0"/>
    </w:pPr>
    <w:rPr>
      <w:rFonts w:asciiTheme="majorHAnsi" w:eastAsiaTheme="majorEastAsia" w:hAnsiTheme="majorHAnsi" w:cstheme="majorBidi"/>
      <w:color w:val="00407B" w:themeColor="accent1" w:themeShade="BF"/>
      <w:sz w:val="32"/>
      <w:szCs w:val="32"/>
    </w:rPr>
  </w:style>
  <w:style w:type="paragraph" w:styleId="Heading2">
    <w:name w:val="heading 2"/>
    <w:basedOn w:val="Normal"/>
    <w:next w:val="Normal"/>
    <w:link w:val="Heading2Char"/>
    <w:uiPriority w:val="9"/>
    <w:semiHidden/>
    <w:unhideWhenUsed/>
    <w:qFormat/>
    <w:rsid w:val="00561F98"/>
    <w:pPr>
      <w:keepNext/>
      <w:keepLines/>
      <w:spacing w:before="40" w:after="0"/>
      <w:outlineLvl w:val="1"/>
    </w:pPr>
    <w:rPr>
      <w:rFonts w:asciiTheme="majorHAnsi" w:eastAsiaTheme="majorEastAsia" w:hAnsiTheme="majorHAnsi" w:cstheme="majorBidi"/>
      <w:color w:val="00407B" w:themeColor="accent1" w:themeShade="BF"/>
      <w:sz w:val="26"/>
      <w:szCs w:val="26"/>
    </w:rPr>
  </w:style>
  <w:style w:type="paragraph" w:styleId="Heading4">
    <w:name w:val="heading 4"/>
    <w:basedOn w:val="Normal"/>
    <w:next w:val="Normal"/>
    <w:link w:val="Heading4Char"/>
    <w:uiPriority w:val="9"/>
    <w:semiHidden/>
    <w:unhideWhenUsed/>
    <w:qFormat/>
    <w:rsid w:val="00DC2040"/>
    <w:pPr>
      <w:keepNext/>
      <w:keepLines/>
      <w:spacing w:before="40" w:after="0"/>
      <w:outlineLvl w:val="3"/>
    </w:pPr>
    <w:rPr>
      <w:rFonts w:asciiTheme="majorHAnsi" w:eastAsiaTheme="majorEastAsia" w:hAnsiTheme="majorHAnsi" w:cstheme="majorBidi"/>
      <w:i/>
      <w:iCs/>
      <w:color w:val="0040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3021"/>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3A3021"/>
    <w:rPr>
      <w:rFonts w:asciiTheme="minorHAnsi" w:eastAsiaTheme="minorEastAsia" w:hAnsiTheme="minorHAnsi"/>
      <w:sz w:val="22"/>
    </w:rPr>
  </w:style>
  <w:style w:type="paragraph" w:customStyle="1" w:styleId="CoverPageTitle">
    <w:name w:val="Cover Page Title"/>
    <w:basedOn w:val="NoSpacing"/>
    <w:uiPriority w:val="30"/>
    <w:qFormat/>
    <w:rsid w:val="003A3021"/>
    <w:pPr>
      <w:jc w:val="center"/>
    </w:pPr>
    <w:rPr>
      <w:rFonts w:ascii="Arial" w:eastAsiaTheme="majorEastAsia" w:hAnsi="Arial" w:cstheme="majorBidi"/>
      <w:b/>
      <w:caps/>
      <w:color w:val="000000" w:themeColor="text1"/>
      <w:sz w:val="48"/>
      <w:szCs w:val="72"/>
    </w:rPr>
  </w:style>
  <w:style w:type="paragraph" w:styleId="Header">
    <w:name w:val="header"/>
    <w:basedOn w:val="Normal"/>
    <w:link w:val="HeaderChar"/>
    <w:uiPriority w:val="99"/>
    <w:unhideWhenUsed/>
    <w:rsid w:val="003A3021"/>
    <w:pPr>
      <w:tabs>
        <w:tab w:val="center" w:pos="4680"/>
        <w:tab w:val="right" w:pos="9360"/>
      </w:tabs>
      <w:spacing w:after="0"/>
    </w:pPr>
  </w:style>
  <w:style w:type="character" w:customStyle="1" w:styleId="HeaderChar">
    <w:name w:val="Header Char"/>
    <w:basedOn w:val="DefaultParagraphFont"/>
    <w:link w:val="Header"/>
    <w:uiPriority w:val="99"/>
    <w:rsid w:val="003A3021"/>
  </w:style>
  <w:style w:type="paragraph" w:styleId="Footer">
    <w:name w:val="footer"/>
    <w:basedOn w:val="Normal"/>
    <w:link w:val="FooterChar"/>
    <w:uiPriority w:val="99"/>
    <w:unhideWhenUsed/>
    <w:rsid w:val="003A3021"/>
    <w:pPr>
      <w:tabs>
        <w:tab w:val="center" w:pos="4680"/>
        <w:tab w:val="right" w:pos="9360"/>
      </w:tabs>
      <w:spacing w:after="0"/>
    </w:pPr>
  </w:style>
  <w:style w:type="character" w:customStyle="1" w:styleId="FooterChar">
    <w:name w:val="Footer Char"/>
    <w:basedOn w:val="DefaultParagraphFont"/>
    <w:link w:val="Footer"/>
    <w:uiPriority w:val="99"/>
    <w:rsid w:val="003A3021"/>
  </w:style>
  <w:style w:type="paragraph" w:customStyle="1" w:styleId="ExecutiveSummary">
    <w:name w:val="Executive Summary"/>
    <w:basedOn w:val="Normal"/>
    <w:uiPriority w:val="1"/>
    <w:qFormat/>
    <w:rsid w:val="00DD1CD9"/>
    <w:pPr>
      <w:spacing w:after="0"/>
      <w:jc w:val="center"/>
    </w:pPr>
    <w:rPr>
      <w:b/>
      <w:sz w:val="52"/>
    </w:rPr>
  </w:style>
  <w:style w:type="paragraph" w:customStyle="1" w:styleId="Mission">
    <w:name w:val="Mission"/>
    <w:basedOn w:val="Normal"/>
    <w:uiPriority w:val="1"/>
    <w:qFormat/>
    <w:rsid w:val="00F30EAE"/>
    <w:pPr>
      <w:spacing w:before="240" w:after="240"/>
    </w:pPr>
    <w:rPr>
      <w:b/>
      <w:i/>
    </w:rPr>
  </w:style>
  <w:style w:type="table" w:styleId="TableGrid">
    <w:name w:val="Table Grid"/>
    <w:basedOn w:val="TableNormal"/>
    <w:uiPriority w:val="39"/>
    <w:rsid w:val="00F3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1"/>
    <w:qFormat/>
    <w:rsid w:val="00F30EAE"/>
    <w:pPr>
      <w:spacing w:after="0"/>
    </w:pPr>
  </w:style>
  <w:style w:type="character" w:styleId="CommentReference">
    <w:name w:val="annotation reference"/>
    <w:basedOn w:val="DefaultParagraphFont"/>
    <w:uiPriority w:val="99"/>
    <w:semiHidden/>
    <w:unhideWhenUsed/>
    <w:rsid w:val="004703F9"/>
    <w:rPr>
      <w:sz w:val="16"/>
      <w:szCs w:val="16"/>
    </w:rPr>
  </w:style>
  <w:style w:type="paragraph" w:styleId="CommentText">
    <w:name w:val="annotation text"/>
    <w:basedOn w:val="Normal"/>
    <w:link w:val="CommentTextChar"/>
    <w:uiPriority w:val="99"/>
    <w:semiHidden/>
    <w:unhideWhenUsed/>
    <w:rsid w:val="004703F9"/>
    <w:rPr>
      <w:sz w:val="20"/>
      <w:szCs w:val="20"/>
    </w:rPr>
  </w:style>
  <w:style w:type="character" w:customStyle="1" w:styleId="CommentTextChar">
    <w:name w:val="Comment Text Char"/>
    <w:basedOn w:val="DefaultParagraphFont"/>
    <w:link w:val="CommentText"/>
    <w:uiPriority w:val="99"/>
    <w:semiHidden/>
    <w:rsid w:val="004703F9"/>
    <w:rPr>
      <w:sz w:val="20"/>
      <w:szCs w:val="20"/>
    </w:rPr>
  </w:style>
  <w:style w:type="paragraph" w:styleId="CommentSubject">
    <w:name w:val="annotation subject"/>
    <w:basedOn w:val="CommentText"/>
    <w:next w:val="CommentText"/>
    <w:link w:val="CommentSubjectChar"/>
    <w:uiPriority w:val="99"/>
    <w:semiHidden/>
    <w:unhideWhenUsed/>
    <w:rsid w:val="004703F9"/>
    <w:rPr>
      <w:b/>
      <w:bCs/>
    </w:rPr>
  </w:style>
  <w:style w:type="character" w:customStyle="1" w:styleId="CommentSubjectChar">
    <w:name w:val="Comment Subject Char"/>
    <w:basedOn w:val="CommentTextChar"/>
    <w:link w:val="CommentSubject"/>
    <w:uiPriority w:val="99"/>
    <w:semiHidden/>
    <w:rsid w:val="004703F9"/>
    <w:rPr>
      <w:b/>
      <w:bCs/>
      <w:sz w:val="20"/>
      <w:szCs w:val="20"/>
    </w:rPr>
  </w:style>
  <w:style w:type="paragraph" w:customStyle="1" w:styleId="SectionHeadings">
    <w:name w:val="Section Headings"/>
    <w:basedOn w:val="Heading1"/>
    <w:next w:val="Normal"/>
    <w:qFormat/>
    <w:rsid w:val="005B2167"/>
    <w:pPr>
      <w:spacing w:before="480"/>
    </w:pPr>
    <w:rPr>
      <w:b/>
      <w:caps/>
      <w:color w:val="000000" w:themeColor="text1"/>
      <w:sz w:val="40"/>
    </w:rPr>
  </w:style>
  <w:style w:type="paragraph" w:customStyle="1" w:styleId="SectionSub-Headings">
    <w:name w:val="Section Sub-Headings"/>
    <w:basedOn w:val="Normal"/>
    <w:next w:val="Normal"/>
    <w:qFormat/>
    <w:rsid w:val="00635226"/>
    <w:pPr>
      <w:numPr>
        <w:numId w:val="1"/>
      </w:numPr>
      <w:spacing w:before="360" w:after="0"/>
      <w:outlineLvl w:val="1"/>
    </w:pPr>
    <w:rPr>
      <w:b/>
      <w:caps/>
      <w:color w:val="0156A5" w:themeColor="accent1"/>
      <w:sz w:val="32"/>
    </w:rPr>
  </w:style>
  <w:style w:type="paragraph" w:styleId="ListParagraph">
    <w:name w:val="List Paragraph"/>
    <w:basedOn w:val="Normal"/>
    <w:uiPriority w:val="34"/>
    <w:qFormat/>
    <w:rsid w:val="00FA0F79"/>
    <w:pPr>
      <w:ind w:left="720"/>
      <w:contextualSpacing/>
    </w:pPr>
  </w:style>
  <w:style w:type="character" w:customStyle="1" w:styleId="Heading1Char">
    <w:name w:val="Heading 1 Char"/>
    <w:basedOn w:val="DefaultParagraphFont"/>
    <w:link w:val="Heading1"/>
    <w:uiPriority w:val="9"/>
    <w:rsid w:val="00DD1CD9"/>
    <w:rPr>
      <w:rFonts w:asciiTheme="majorHAnsi" w:eastAsiaTheme="majorEastAsia" w:hAnsiTheme="majorHAnsi" w:cstheme="majorBidi"/>
      <w:color w:val="00407B" w:themeColor="accent1" w:themeShade="BF"/>
      <w:sz w:val="32"/>
      <w:szCs w:val="32"/>
    </w:rPr>
  </w:style>
  <w:style w:type="paragraph" w:customStyle="1" w:styleId="TableTitle">
    <w:name w:val="Table Title"/>
    <w:basedOn w:val="Normal"/>
    <w:qFormat/>
    <w:rsid w:val="007E1A49"/>
    <w:pPr>
      <w:keepNext/>
      <w:numPr>
        <w:numId w:val="4"/>
      </w:numPr>
      <w:spacing w:before="240"/>
      <w:ind w:left="1440" w:hanging="1440"/>
      <w:contextualSpacing/>
      <w:outlineLvl w:val="3"/>
    </w:pPr>
    <w:rPr>
      <w:b/>
      <w:bCs/>
    </w:rPr>
  </w:style>
  <w:style w:type="paragraph" w:customStyle="1" w:styleId="TableFootnotes">
    <w:name w:val="Table Footnotes"/>
    <w:basedOn w:val="Normal"/>
    <w:qFormat/>
    <w:rsid w:val="00C54E0E"/>
    <w:pPr>
      <w:widowControl w:val="0"/>
      <w:numPr>
        <w:numId w:val="18"/>
      </w:numPr>
      <w:spacing w:before="120" w:after="240"/>
      <w:ind w:right="1440"/>
      <w:contextualSpacing/>
      <w:jc w:val="both"/>
    </w:pPr>
  </w:style>
  <w:style w:type="paragraph" w:styleId="NormalWeb">
    <w:name w:val="Normal (Web)"/>
    <w:basedOn w:val="Normal"/>
    <w:uiPriority w:val="99"/>
    <w:semiHidden/>
    <w:unhideWhenUsed/>
    <w:rsid w:val="00FA0F79"/>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semiHidden/>
    <w:rsid w:val="00561F98"/>
    <w:rPr>
      <w:rFonts w:asciiTheme="majorHAnsi" w:eastAsiaTheme="majorEastAsia" w:hAnsiTheme="majorHAnsi" w:cstheme="majorBidi"/>
      <w:color w:val="00407B" w:themeColor="accent1" w:themeShade="BF"/>
      <w:sz w:val="26"/>
      <w:szCs w:val="26"/>
    </w:rPr>
  </w:style>
  <w:style w:type="table" w:styleId="TableGridLight">
    <w:name w:val="Grid Table Light"/>
    <w:basedOn w:val="TableNormal"/>
    <w:uiPriority w:val="40"/>
    <w:rsid w:val="004D6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B717D5"/>
    <w:pPr>
      <w:spacing w:after="0"/>
    </w:pPr>
    <w:rPr>
      <w:sz w:val="20"/>
      <w:szCs w:val="20"/>
    </w:rPr>
  </w:style>
  <w:style w:type="character" w:customStyle="1" w:styleId="FootnoteTextChar">
    <w:name w:val="Footnote Text Char"/>
    <w:basedOn w:val="DefaultParagraphFont"/>
    <w:link w:val="FootnoteText"/>
    <w:uiPriority w:val="99"/>
    <w:semiHidden/>
    <w:rsid w:val="00B717D5"/>
    <w:rPr>
      <w:color w:val="00263E" w:themeColor="text2"/>
      <w:sz w:val="20"/>
      <w:szCs w:val="20"/>
    </w:rPr>
  </w:style>
  <w:style w:type="character" w:styleId="FootnoteReference">
    <w:name w:val="footnote reference"/>
    <w:basedOn w:val="DefaultParagraphFont"/>
    <w:uiPriority w:val="99"/>
    <w:semiHidden/>
    <w:unhideWhenUsed/>
    <w:rsid w:val="00B717D5"/>
    <w:rPr>
      <w:vertAlign w:val="superscript"/>
    </w:rPr>
  </w:style>
  <w:style w:type="character" w:styleId="PlaceholderText">
    <w:name w:val="Placeholder Text"/>
    <w:basedOn w:val="DefaultParagraphFont"/>
    <w:uiPriority w:val="99"/>
    <w:semiHidden/>
    <w:rsid w:val="001A7F42"/>
    <w:rPr>
      <w:color w:val="808080"/>
    </w:rPr>
  </w:style>
  <w:style w:type="paragraph" w:customStyle="1" w:styleId="SectionSub-HeadingsTopics">
    <w:name w:val="Section Sub-Headings Topics"/>
    <w:basedOn w:val="SectionSub-Headings"/>
    <w:next w:val="Normal"/>
    <w:qFormat/>
    <w:rsid w:val="009A70DA"/>
    <w:pPr>
      <w:numPr>
        <w:numId w:val="3"/>
      </w:numPr>
      <w:spacing w:before="240" w:after="120"/>
      <w:outlineLvl w:val="2"/>
    </w:pPr>
    <w:rPr>
      <w:caps w:val="0"/>
      <w:color w:val="000000" w:themeColor="text1"/>
      <w:sz w:val="28"/>
    </w:rPr>
  </w:style>
  <w:style w:type="paragraph" w:customStyle="1" w:styleId="FigureTitle">
    <w:name w:val="Figure Title"/>
    <w:basedOn w:val="TableTitle"/>
    <w:qFormat/>
    <w:rsid w:val="00B25653"/>
    <w:pPr>
      <w:numPr>
        <w:numId w:val="5"/>
      </w:numPr>
      <w:ind w:left="1440" w:hanging="1440"/>
    </w:pPr>
  </w:style>
  <w:style w:type="paragraph" w:customStyle="1" w:styleId="FigureFootnotes">
    <w:name w:val="Figure Footnotes"/>
    <w:basedOn w:val="TableFootnotes"/>
    <w:qFormat/>
    <w:rsid w:val="005B2167"/>
    <w:pPr>
      <w:numPr>
        <w:numId w:val="6"/>
      </w:numPr>
      <w:ind w:left="1440" w:firstLine="0"/>
    </w:pPr>
  </w:style>
  <w:style w:type="paragraph" w:styleId="Caption">
    <w:name w:val="caption"/>
    <w:basedOn w:val="Normal"/>
    <w:next w:val="Normal"/>
    <w:uiPriority w:val="35"/>
    <w:unhideWhenUsed/>
    <w:qFormat/>
    <w:rsid w:val="008D0E6E"/>
    <w:pPr>
      <w:spacing w:after="200"/>
    </w:pPr>
    <w:rPr>
      <w:i/>
      <w:iCs/>
      <w:sz w:val="18"/>
      <w:szCs w:val="18"/>
    </w:rPr>
  </w:style>
  <w:style w:type="paragraph" w:styleId="Revision">
    <w:name w:val="Revision"/>
    <w:hidden/>
    <w:uiPriority w:val="99"/>
    <w:semiHidden/>
    <w:rsid w:val="00B65A01"/>
    <w:pPr>
      <w:spacing w:after="0" w:line="240" w:lineRule="auto"/>
    </w:pPr>
    <w:rPr>
      <w:color w:val="00263E" w:themeColor="text2"/>
    </w:rPr>
  </w:style>
  <w:style w:type="paragraph" w:styleId="TOCHeading">
    <w:name w:val="TOC Heading"/>
    <w:basedOn w:val="Heading1"/>
    <w:next w:val="Normal"/>
    <w:uiPriority w:val="39"/>
    <w:unhideWhenUsed/>
    <w:qFormat/>
    <w:rsid w:val="000E65D6"/>
    <w:pPr>
      <w:spacing w:line="259" w:lineRule="auto"/>
      <w:outlineLvl w:val="9"/>
    </w:pPr>
  </w:style>
  <w:style w:type="paragraph" w:styleId="TOC1">
    <w:name w:val="toc 1"/>
    <w:basedOn w:val="Normal"/>
    <w:next w:val="Normal"/>
    <w:autoRedefine/>
    <w:uiPriority w:val="39"/>
    <w:unhideWhenUsed/>
    <w:rsid w:val="00CA5028"/>
    <w:pPr>
      <w:tabs>
        <w:tab w:val="right" w:leader="dot" w:pos="10790"/>
      </w:tabs>
      <w:spacing w:before="240" w:after="0"/>
    </w:pPr>
    <w:rPr>
      <w:b/>
      <w:caps/>
      <w:noProof/>
      <w:color w:val="00407B" w:themeColor="accent1" w:themeShade="BF"/>
      <w:sz w:val="32"/>
    </w:rPr>
  </w:style>
  <w:style w:type="paragraph" w:styleId="TOC2">
    <w:name w:val="toc 2"/>
    <w:basedOn w:val="Normal"/>
    <w:next w:val="Normal"/>
    <w:autoRedefine/>
    <w:uiPriority w:val="39"/>
    <w:unhideWhenUsed/>
    <w:rsid w:val="005A38FD"/>
    <w:pPr>
      <w:spacing w:before="120" w:after="0"/>
      <w:ind w:left="288"/>
    </w:pPr>
    <w:rPr>
      <w:b/>
    </w:rPr>
  </w:style>
  <w:style w:type="paragraph" w:styleId="TOC3">
    <w:name w:val="toc 3"/>
    <w:basedOn w:val="Normal"/>
    <w:next w:val="Normal"/>
    <w:autoRedefine/>
    <w:uiPriority w:val="39"/>
    <w:unhideWhenUsed/>
    <w:rsid w:val="005A38FD"/>
    <w:pPr>
      <w:spacing w:after="0"/>
      <w:ind w:left="1008"/>
    </w:pPr>
  </w:style>
  <w:style w:type="character" w:styleId="Hyperlink">
    <w:name w:val="Hyperlink"/>
    <w:basedOn w:val="DefaultParagraphFont"/>
    <w:uiPriority w:val="99"/>
    <w:unhideWhenUsed/>
    <w:rsid w:val="000E65D6"/>
    <w:rPr>
      <w:color w:val="83C7AE" w:themeColor="hyperlink"/>
      <w:u w:val="single"/>
    </w:rPr>
  </w:style>
  <w:style w:type="paragraph" w:styleId="TOC4">
    <w:name w:val="toc 4"/>
    <w:basedOn w:val="Normal"/>
    <w:next w:val="Normal"/>
    <w:autoRedefine/>
    <w:uiPriority w:val="39"/>
    <w:unhideWhenUsed/>
    <w:rsid w:val="00BD60F3"/>
    <w:pPr>
      <w:spacing w:after="100"/>
      <w:ind w:left="840"/>
    </w:pPr>
    <w:rPr>
      <w:i/>
    </w:rPr>
  </w:style>
  <w:style w:type="character" w:customStyle="1" w:styleId="Heading4Char">
    <w:name w:val="Heading 4 Char"/>
    <w:basedOn w:val="DefaultParagraphFont"/>
    <w:link w:val="Heading4"/>
    <w:uiPriority w:val="9"/>
    <w:semiHidden/>
    <w:rsid w:val="00DC2040"/>
    <w:rPr>
      <w:rFonts w:asciiTheme="majorHAnsi" w:eastAsiaTheme="majorEastAsia" w:hAnsiTheme="majorHAnsi" w:cstheme="majorBidi"/>
      <w:i/>
      <w:iCs/>
      <w:color w:val="00407B" w:themeColor="accent1" w:themeShade="BF"/>
    </w:rPr>
  </w:style>
  <w:style w:type="character" w:styleId="FollowedHyperlink">
    <w:name w:val="FollowedHyperlink"/>
    <w:basedOn w:val="DefaultParagraphFont"/>
    <w:uiPriority w:val="99"/>
    <w:semiHidden/>
    <w:unhideWhenUsed/>
    <w:rsid w:val="008B58C5"/>
    <w:rPr>
      <w:color w:val="694D9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518">
      <w:bodyDiv w:val="1"/>
      <w:marLeft w:val="0"/>
      <w:marRight w:val="0"/>
      <w:marTop w:val="0"/>
      <w:marBottom w:val="0"/>
      <w:divBdr>
        <w:top w:val="none" w:sz="0" w:space="0" w:color="auto"/>
        <w:left w:val="none" w:sz="0" w:space="0" w:color="auto"/>
        <w:bottom w:val="none" w:sz="0" w:space="0" w:color="auto"/>
        <w:right w:val="none" w:sz="0" w:space="0" w:color="auto"/>
      </w:divBdr>
    </w:div>
    <w:div w:id="27339774">
      <w:bodyDiv w:val="1"/>
      <w:marLeft w:val="0"/>
      <w:marRight w:val="0"/>
      <w:marTop w:val="0"/>
      <w:marBottom w:val="0"/>
      <w:divBdr>
        <w:top w:val="none" w:sz="0" w:space="0" w:color="auto"/>
        <w:left w:val="none" w:sz="0" w:space="0" w:color="auto"/>
        <w:bottom w:val="none" w:sz="0" w:space="0" w:color="auto"/>
        <w:right w:val="none" w:sz="0" w:space="0" w:color="auto"/>
      </w:divBdr>
    </w:div>
    <w:div w:id="71051306">
      <w:bodyDiv w:val="1"/>
      <w:marLeft w:val="0"/>
      <w:marRight w:val="0"/>
      <w:marTop w:val="0"/>
      <w:marBottom w:val="0"/>
      <w:divBdr>
        <w:top w:val="none" w:sz="0" w:space="0" w:color="auto"/>
        <w:left w:val="none" w:sz="0" w:space="0" w:color="auto"/>
        <w:bottom w:val="none" w:sz="0" w:space="0" w:color="auto"/>
        <w:right w:val="none" w:sz="0" w:space="0" w:color="auto"/>
      </w:divBdr>
    </w:div>
    <w:div w:id="75976980">
      <w:bodyDiv w:val="1"/>
      <w:marLeft w:val="0"/>
      <w:marRight w:val="0"/>
      <w:marTop w:val="0"/>
      <w:marBottom w:val="0"/>
      <w:divBdr>
        <w:top w:val="none" w:sz="0" w:space="0" w:color="auto"/>
        <w:left w:val="none" w:sz="0" w:space="0" w:color="auto"/>
        <w:bottom w:val="none" w:sz="0" w:space="0" w:color="auto"/>
        <w:right w:val="none" w:sz="0" w:space="0" w:color="auto"/>
      </w:divBdr>
    </w:div>
    <w:div w:id="90243906">
      <w:bodyDiv w:val="1"/>
      <w:marLeft w:val="0"/>
      <w:marRight w:val="0"/>
      <w:marTop w:val="0"/>
      <w:marBottom w:val="0"/>
      <w:divBdr>
        <w:top w:val="none" w:sz="0" w:space="0" w:color="auto"/>
        <w:left w:val="none" w:sz="0" w:space="0" w:color="auto"/>
        <w:bottom w:val="none" w:sz="0" w:space="0" w:color="auto"/>
        <w:right w:val="none" w:sz="0" w:space="0" w:color="auto"/>
      </w:divBdr>
    </w:div>
    <w:div w:id="108088388">
      <w:bodyDiv w:val="1"/>
      <w:marLeft w:val="0"/>
      <w:marRight w:val="0"/>
      <w:marTop w:val="0"/>
      <w:marBottom w:val="0"/>
      <w:divBdr>
        <w:top w:val="none" w:sz="0" w:space="0" w:color="auto"/>
        <w:left w:val="none" w:sz="0" w:space="0" w:color="auto"/>
        <w:bottom w:val="none" w:sz="0" w:space="0" w:color="auto"/>
        <w:right w:val="none" w:sz="0" w:space="0" w:color="auto"/>
      </w:divBdr>
    </w:div>
    <w:div w:id="111946772">
      <w:bodyDiv w:val="1"/>
      <w:marLeft w:val="0"/>
      <w:marRight w:val="0"/>
      <w:marTop w:val="0"/>
      <w:marBottom w:val="0"/>
      <w:divBdr>
        <w:top w:val="none" w:sz="0" w:space="0" w:color="auto"/>
        <w:left w:val="none" w:sz="0" w:space="0" w:color="auto"/>
        <w:bottom w:val="none" w:sz="0" w:space="0" w:color="auto"/>
        <w:right w:val="none" w:sz="0" w:space="0" w:color="auto"/>
      </w:divBdr>
    </w:div>
    <w:div w:id="164368723">
      <w:bodyDiv w:val="1"/>
      <w:marLeft w:val="0"/>
      <w:marRight w:val="0"/>
      <w:marTop w:val="0"/>
      <w:marBottom w:val="0"/>
      <w:divBdr>
        <w:top w:val="none" w:sz="0" w:space="0" w:color="auto"/>
        <w:left w:val="none" w:sz="0" w:space="0" w:color="auto"/>
        <w:bottom w:val="none" w:sz="0" w:space="0" w:color="auto"/>
        <w:right w:val="none" w:sz="0" w:space="0" w:color="auto"/>
      </w:divBdr>
    </w:div>
    <w:div w:id="168646097">
      <w:bodyDiv w:val="1"/>
      <w:marLeft w:val="0"/>
      <w:marRight w:val="0"/>
      <w:marTop w:val="0"/>
      <w:marBottom w:val="0"/>
      <w:divBdr>
        <w:top w:val="none" w:sz="0" w:space="0" w:color="auto"/>
        <w:left w:val="none" w:sz="0" w:space="0" w:color="auto"/>
        <w:bottom w:val="none" w:sz="0" w:space="0" w:color="auto"/>
        <w:right w:val="none" w:sz="0" w:space="0" w:color="auto"/>
      </w:divBdr>
    </w:div>
    <w:div w:id="169804628">
      <w:bodyDiv w:val="1"/>
      <w:marLeft w:val="0"/>
      <w:marRight w:val="0"/>
      <w:marTop w:val="0"/>
      <w:marBottom w:val="0"/>
      <w:divBdr>
        <w:top w:val="none" w:sz="0" w:space="0" w:color="auto"/>
        <w:left w:val="none" w:sz="0" w:space="0" w:color="auto"/>
        <w:bottom w:val="none" w:sz="0" w:space="0" w:color="auto"/>
        <w:right w:val="none" w:sz="0" w:space="0" w:color="auto"/>
      </w:divBdr>
    </w:div>
    <w:div w:id="193272603">
      <w:bodyDiv w:val="1"/>
      <w:marLeft w:val="0"/>
      <w:marRight w:val="0"/>
      <w:marTop w:val="0"/>
      <w:marBottom w:val="0"/>
      <w:divBdr>
        <w:top w:val="none" w:sz="0" w:space="0" w:color="auto"/>
        <w:left w:val="none" w:sz="0" w:space="0" w:color="auto"/>
        <w:bottom w:val="none" w:sz="0" w:space="0" w:color="auto"/>
        <w:right w:val="none" w:sz="0" w:space="0" w:color="auto"/>
      </w:divBdr>
    </w:div>
    <w:div w:id="198326858">
      <w:bodyDiv w:val="1"/>
      <w:marLeft w:val="0"/>
      <w:marRight w:val="0"/>
      <w:marTop w:val="0"/>
      <w:marBottom w:val="0"/>
      <w:divBdr>
        <w:top w:val="none" w:sz="0" w:space="0" w:color="auto"/>
        <w:left w:val="none" w:sz="0" w:space="0" w:color="auto"/>
        <w:bottom w:val="none" w:sz="0" w:space="0" w:color="auto"/>
        <w:right w:val="none" w:sz="0" w:space="0" w:color="auto"/>
      </w:divBdr>
    </w:div>
    <w:div w:id="257714792">
      <w:bodyDiv w:val="1"/>
      <w:marLeft w:val="0"/>
      <w:marRight w:val="0"/>
      <w:marTop w:val="0"/>
      <w:marBottom w:val="0"/>
      <w:divBdr>
        <w:top w:val="none" w:sz="0" w:space="0" w:color="auto"/>
        <w:left w:val="none" w:sz="0" w:space="0" w:color="auto"/>
        <w:bottom w:val="none" w:sz="0" w:space="0" w:color="auto"/>
        <w:right w:val="none" w:sz="0" w:space="0" w:color="auto"/>
      </w:divBdr>
    </w:div>
    <w:div w:id="262612346">
      <w:bodyDiv w:val="1"/>
      <w:marLeft w:val="0"/>
      <w:marRight w:val="0"/>
      <w:marTop w:val="0"/>
      <w:marBottom w:val="0"/>
      <w:divBdr>
        <w:top w:val="none" w:sz="0" w:space="0" w:color="auto"/>
        <w:left w:val="none" w:sz="0" w:space="0" w:color="auto"/>
        <w:bottom w:val="none" w:sz="0" w:space="0" w:color="auto"/>
        <w:right w:val="none" w:sz="0" w:space="0" w:color="auto"/>
      </w:divBdr>
    </w:div>
    <w:div w:id="289631437">
      <w:bodyDiv w:val="1"/>
      <w:marLeft w:val="0"/>
      <w:marRight w:val="0"/>
      <w:marTop w:val="0"/>
      <w:marBottom w:val="0"/>
      <w:divBdr>
        <w:top w:val="none" w:sz="0" w:space="0" w:color="auto"/>
        <w:left w:val="none" w:sz="0" w:space="0" w:color="auto"/>
        <w:bottom w:val="none" w:sz="0" w:space="0" w:color="auto"/>
        <w:right w:val="none" w:sz="0" w:space="0" w:color="auto"/>
      </w:divBdr>
    </w:div>
    <w:div w:id="292640892">
      <w:bodyDiv w:val="1"/>
      <w:marLeft w:val="0"/>
      <w:marRight w:val="0"/>
      <w:marTop w:val="0"/>
      <w:marBottom w:val="0"/>
      <w:divBdr>
        <w:top w:val="none" w:sz="0" w:space="0" w:color="auto"/>
        <w:left w:val="none" w:sz="0" w:space="0" w:color="auto"/>
        <w:bottom w:val="none" w:sz="0" w:space="0" w:color="auto"/>
        <w:right w:val="none" w:sz="0" w:space="0" w:color="auto"/>
      </w:divBdr>
    </w:div>
    <w:div w:id="310447402">
      <w:bodyDiv w:val="1"/>
      <w:marLeft w:val="0"/>
      <w:marRight w:val="0"/>
      <w:marTop w:val="0"/>
      <w:marBottom w:val="0"/>
      <w:divBdr>
        <w:top w:val="none" w:sz="0" w:space="0" w:color="auto"/>
        <w:left w:val="none" w:sz="0" w:space="0" w:color="auto"/>
        <w:bottom w:val="none" w:sz="0" w:space="0" w:color="auto"/>
        <w:right w:val="none" w:sz="0" w:space="0" w:color="auto"/>
      </w:divBdr>
    </w:div>
    <w:div w:id="313338394">
      <w:bodyDiv w:val="1"/>
      <w:marLeft w:val="0"/>
      <w:marRight w:val="0"/>
      <w:marTop w:val="0"/>
      <w:marBottom w:val="0"/>
      <w:divBdr>
        <w:top w:val="none" w:sz="0" w:space="0" w:color="auto"/>
        <w:left w:val="none" w:sz="0" w:space="0" w:color="auto"/>
        <w:bottom w:val="none" w:sz="0" w:space="0" w:color="auto"/>
        <w:right w:val="none" w:sz="0" w:space="0" w:color="auto"/>
      </w:divBdr>
    </w:div>
    <w:div w:id="438258161">
      <w:bodyDiv w:val="1"/>
      <w:marLeft w:val="0"/>
      <w:marRight w:val="0"/>
      <w:marTop w:val="0"/>
      <w:marBottom w:val="0"/>
      <w:divBdr>
        <w:top w:val="none" w:sz="0" w:space="0" w:color="auto"/>
        <w:left w:val="none" w:sz="0" w:space="0" w:color="auto"/>
        <w:bottom w:val="none" w:sz="0" w:space="0" w:color="auto"/>
        <w:right w:val="none" w:sz="0" w:space="0" w:color="auto"/>
      </w:divBdr>
    </w:div>
    <w:div w:id="469053851">
      <w:bodyDiv w:val="1"/>
      <w:marLeft w:val="0"/>
      <w:marRight w:val="0"/>
      <w:marTop w:val="0"/>
      <w:marBottom w:val="0"/>
      <w:divBdr>
        <w:top w:val="none" w:sz="0" w:space="0" w:color="auto"/>
        <w:left w:val="none" w:sz="0" w:space="0" w:color="auto"/>
        <w:bottom w:val="none" w:sz="0" w:space="0" w:color="auto"/>
        <w:right w:val="none" w:sz="0" w:space="0" w:color="auto"/>
      </w:divBdr>
    </w:div>
    <w:div w:id="502555518">
      <w:bodyDiv w:val="1"/>
      <w:marLeft w:val="0"/>
      <w:marRight w:val="0"/>
      <w:marTop w:val="0"/>
      <w:marBottom w:val="0"/>
      <w:divBdr>
        <w:top w:val="none" w:sz="0" w:space="0" w:color="auto"/>
        <w:left w:val="none" w:sz="0" w:space="0" w:color="auto"/>
        <w:bottom w:val="none" w:sz="0" w:space="0" w:color="auto"/>
        <w:right w:val="none" w:sz="0" w:space="0" w:color="auto"/>
      </w:divBdr>
    </w:div>
    <w:div w:id="533689545">
      <w:bodyDiv w:val="1"/>
      <w:marLeft w:val="0"/>
      <w:marRight w:val="0"/>
      <w:marTop w:val="0"/>
      <w:marBottom w:val="0"/>
      <w:divBdr>
        <w:top w:val="none" w:sz="0" w:space="0" w:color="auto"/>
        <w:left w:val="none" w:sz="0" w:space="0" w:color="auto"/>
        <w:bottom w:val="none" w:sz="0" w:space="0" w:color="auto"/>
        <w:right w:val="none" w:sz="0" w:space="0" w:color="auto"/>
      </w:divBdr>
    </w:div>
    <w:div w:id="535391770">
      <w:bodyDiv w:val="1"/>
      <w:marLeft w:val="0"/>
      <w:marRight w:val="0"/>
      <w:marTop w:val="0"/>
      <w:marBottom w:val="0"/>
      <w:divBdr>
        <w:top w:val="none" w:sz="0" w:space="0" w:color="auto"/>
        <w:left w:val="none" w:sz="0" w:space="0" w:color="auto"/>
        <w:bottom w:val="none" w:sz="0" w:space="0" w:color="auto"/>
        <w:right w:val="none" w:sz="0" w:space="0" w:color="auto"/>
      </w:divBdr>
    </w:div>
    <w:div w:id="571238872">
      <w:bodyDiv w:val="1"/>
      <w:marLeft w:val="0"/>
      <w:marRight w:val="0"/>
      <w:marTop w:val="0"/>
      <w:marBottom w:val="0"/>
      <w:divBdr>
        <w:top w:val="none" w:sz="0" w:space="0" w:color="auto"/>
        <w:left w:val="none" w:sz="0" w:space="0" w:color="auto"/>
        <w:bottom w:val="none" w:sz="0" w:space="0" w:color="auto"/>
        <w:right w:val="none" w:sz="0" w:space="0" w:color="auto"/>
      </w:divBdr>
    </w:div>
    <w:div w:id="605623286">
      <w:bodyDiv w:val="1"/>
      <w:marLeft w:val="0"/>
      <w:marRight w:val="0"/>
      <w:marTop w:val="0"/>
      <w:marBottom w:val="0"/>
      <w:divBdr>
        <w:top w:val="none" w:sz="0" w:space="0" w:color="auto"/>
        <w:left w:val="none" w:sz="0" w:space="0" w:color="auto"/>
        <w:bottom w:val="none" w:sz="0" w:space="0" w:color="auto"/>
        <w:right w:val="none" w:sz="0" w:space="0" w:color="auto"/>
      </w:divBdr>
    </w:div>
    <w:div w:id="629020465">
      <w:bodyDiv w:val="1"/>
      <w:marLeft w:val="0"/>
      <w:marRight w:val="0"/>
      <w:marTop w:val="0"/>
      <w:marBottom w:val="0"/>
      <w:divBdr>
        <w:top w:val="none" w:sz="0" w:space="0" w:color="auto"/>
        <w:left w:val="none" w:sz="0" w:space="0" w:color="auto"/>
        <w:bottom w:val="none" w:sz="0" w:space="0" w:color="auto"/>
        <w:right w:val="none" w:sz="0" w:space="0" w:color="auto"/>
      </w:divBdr>
    </w:div>
    <w:div w:id="643776216">
      <w:bodyDiv w:val="1"/>
      <w:marLeft w:val="0"/>
      <w:marRight w:val="0"/>
      <w:marTop w:val="0"/>
      <w:marBottom w:val="0"/>
      <w:divBdr>
        <w:top w:val="none" w:sz="0" w:space="0" w:color="auto"/>
        <w:left w:val="none" w:sz="0" w:space="0" w:color="auto"/>
        <w:bottom w:val="none" w:sz="0" w:space="0" w:color="auto"/>
        <w:right w:val="none" w:sz="0" w:space="0" w:color="auto"/>
      </w:divBdr>
    </w:div>
    <w:div w:id="650644803">
      <w:bodyDiv w:val="1"/>
      <w:marLeft w:val="0"/>
      <w:marRight w:val="0"/>
      <w:marTop w:val="0"/>
      <w:marBottom w:val="0"/>
      <w:divBdr>
        <w:top w:val="none" w:sz="0" w:space="0" w:color="auto"/>
        <w:left w:val="none" w:sz="0" w:space="0" w:color="auto"/>
        <w:bottom w:val="none" w:sz="0" w:space="0" w:color="auto"/>
        <w:right w:val="none" w:sz="0" w:space="0" w:color="auto"/>
      </w:divBdr>
    </w:div>
    <w:div w:id="653873023">
      <w:bodyDiv w:val="1"/>
      <w:marLeft w:val="0"/>
      <w:marRight w:val="0"/>
      <w:marTop w:val="0"/>
      <w:marBottom w:val="0"/>
      <w:divBdr>
        <w:top w:val="none" w:sz="0" w:space="0" w:color="auto"/>
        <w:left w:val="none" w:sz="0" w:space="0" w:color="auto"/>
        <w:bottom w:val="none" w:sz="0" w:space="0" w:color="auto"/>
        <w:right w:val="none" w:sz="0" w:space="0" w:color="auto"/>
      </w:divBdr>
    </w:div>
    <w:div w:id="678892550">
      <w:bodyDiv w:val="1"/>
      <w:marLeft w:val="0"/>
      <w:marRight w:val="0"/>
      <w:marTop w:val="0"/>
      <w:marBottom w:val="0"/>
      <w:divBdr>
        <w:top w:val="none" w:sz="0" w:space="0" w:color="auto"/>
        <w:left w:val="none" w:sz="0" w:space="0" w:color="auto"/>
        <w:bottom w:val="none" w:sz="0" w:space="0" w:color="auto"/>
        <w:right w:val="none" w:sz="0" w:space="0" w:color="auto"/>
      </w:divBdr>
    </w:div>
    <w:div w:id="686520809">
      <w:bodyDiv w:val="1"/>
      <w:marLeft w:val="0"/>
      <w:marRight w:val="0"/>
      <w:marTop w:val="0"/>
      <w:marBottom w:val="0"/>
      <w:divBdr>
        <w:top w:val="none" w:sz="0" w:space="0" w:color="auto"/>
        <w:left w:val="none" w:sz="0" w:space="0" w:color="auto"/>
        <w:bottom w:val="none" w:sz="0" w:space="0" w:color="auto"/>
        <w:right w:val="none" w:sz="0" w:space="0" w:color="auto"/>
      </w:divBdr>
    </w:div>
    <w:div w:id="741029023">
      <w:bodyDiv w:val="1"/>
      <w:marLeft w:val="0"/>
      <w:marRight w:val="0"/>
      <w:marTop w:val="0"/>
      <w:marBottom w:val="0"/>
      <w:divBdr>
        <w:top w:val="none" w:sz="0" w:space="0" w:color="auto"/>
        <w:left w:val="none" w:sz="0" w:space="0" w:color="auto"/>
        <w:bottom w:val="none" w:sz="0" w:space="0" w:color="auto"/>
        <w:right w:val="none" w:sz="0" w:space="0" w:color="auto"/>
      </w:divBdr>
    </w:div>
    <w:div w:id="762651328">
      <w:bodyDiv w:val="1"/>
      <w:marLeft w:val="0"/>
      <w:marRight w:val="0"/>
      <w:marTop w:val="0"/>
      <w:marBottom w:val="0"/>
      <w:divBdr>
        <w:top w:val="none" w:sz="0" w:space="0" w:color="auto"/>
        <w:left w:val="none" w:sz="0" w:space="0" w:color="auto"/>
        <w:bottom w:val="none" w:sz="0" w:space="0" w:color="auto"/>
        <w:right w:val="none" w:sz="0" w:space="0" w:color="auto"/>
      </w:divBdr>
    </w:div>
    <w:div w:id="772897712">
      <w:bodyDiv w:val="1"/>
      <w:marLeft w:val="0"/>
      <w:marRight w:val="0"/>
      <w:marTop w:val="0"/>
      <w:marBottom w:val="0"/>
      <w:divBdr>
        <w:top w:val="none" w:sz="0" w:space="0" w:color="auto"/>
        <w:left w:val="none" w:sz="0" w:space="0" w:color="auto"/>
        <w:bottom w:val="none" w:sz="0" w:space="0" w:color="auto"/>
        <w:right w:val="none" w:sz="0" w:space="0" w:color="auto"/>
      </w:divBdr>
    </w:div>
    <w:div w:id="781146700">
      <w:bodyDiv w:val="1"/>
      <w:marLeft w:val="0"/>
      <w:marRight w:val="0"/>
      <w:marTop w:val="0"/>
      <w:marBottom w:val="0"/>
      <w:divBdr>
        <w:top w:val="none" w:sz="0" w:space="0" w:color="auto"/>
        <w:left w:val="none" w:sz="0" w:space="0" w:color="auto"/>
        <w:bottom w:val="none" w:sz="0" w:space="0" w:color="auto"/>
        <w:right w:val="none" w:sz="0" w:space="0" w:color="auto"/>
      </w:divBdr>
    </w:div>
    <w:div w:id="825897281">
      <w:bodyDiv w:val="1"/>
      <w:marLeft w:val="0"/>
      <w:marRight w:val="0"/>
      <w:marTop w:val="0"/>
      <w:marBottom w:val="0"/>
      <w:divBdr>
        <w:top w:val="none" w:sz="0" w:space="0" w:color="auto"/>
        <w:left w:val="none" w:sz="0" w:space="0" w:color="auto"/>
        <w:bottom w:val="none" w:sz="0" w:space="0" w:color="auto"/>
        <w:right w:val="none" w:sz="0" w:space="0" w:color="auto"/>
      </w:divBdr>
    </w:div>
    <w:div w:id="827476594">
      <w:bodyDiv w:val="1"/>
      <w:marLeft w:val="0"/>
      <w:marRight w:val="0"/>
      <w:marTop w:val="0"/>
      <w:marBottom w:val="0"/>
      <w:divBdr>
        <w:top w:val="none" w:sz="0" w:space="0" w:color="auto"/>
        <w:left w:val="none" w:sz="0" w:space="0" w:color="auto"/>
        <w:bottom w:val="none" w:sz="0" w:space="0" w:color="auto"/>
        <w:right w:val="none" w:sz="0" w:space="0" w:color="auto"/>
      </w:divBdr>
    </w:div>
    <w:div w:id="925379760">
      <w:bodyDiv w:val="1"/>
      <w:marLeft w:val="0"/>
      <w:marRight w:val="0"/>
      <w:marTop w:val="0"/>
      <w:marBottom w:val="0"/>
      <w:divBdr>
        <w:top w:val="none" w:sz="0" w:space="0" w:color="auto"/>
        <w:left w:val="none" w:sz="0" w:space="0" w:color="auto"/>
        <w:bottom w:val="none" w:sz="0" w:space="0" w:color="auto"/>
        <w:right w:val="none" w:sz="0" w:space="0" w:color="auto"/>
      </w:divBdr>
    </w:div>
    <w:div w:id="950282042">
      <w:bodyDiv w:val="1"/>
      <w:marLeft w:val="0"/>
      <w:marRight w:val="0"/>
      <w:marTop w:val="0"/>
      <w:marBottom w:val="0"/>
      <w:divBdr>
        <w:top w:val="none" w:sz="0" w:space="0" w:color="auto"/>
        <w:left w:val="none" w:sz="0" w:space="0" w:color="auto"/>
        <w:bottom w:val="none" w:sz="0" w:space="0" w:color="auto"/>
        <w:right w:val="none" w:sz="0" w:space="0" w:color="auto"/>
      </w:divBdr>
    </w:div>
    <w:div w:id="950625299">
      <w:bodyDiv w:val="1"/>
      <w:marLeft w:val="0"/>
      <w:marRight w:val="0"/>
      <w:marTop w:val="0"/>
      <w:marBottom w:val="0"/>
      <w:divBdr>
        <w:top w:val="none" w:sz="0" w:space="0" w:color="auto"/>
        <w:left w:val="none" w:sz="0" w:space="0" w:color="auto"/>
        <w:bottom w:val="none" w:sz="0" w:space="0" w:color="auto"/>
        <w:right w:val="none" w:sz="0" w:space="0" w:color="auto"/>
      </w:divBdr>
    </w:div>
    <w:div w:id="962811531">
      <w:bodyDiv w:val="1"/>
      <w:marLeft w:val="0"/>
      <w:marRight w:val="0"/>
      <w:marTop w:val="0"/>
      <w:marBottom w:val="0"/>
      <w:divBdr>
        <w:top w:val="none" w:sz="0" w:space="0" w:color="auto"/>
        <w:left w:val="none" w:sz="0" w:space="0" w:color="auto"/>
        <w:bottom w:val="none" w:sz="0" w:space="0" w:color="auto"/>
        <w:right w:val="none" w:sz="0" w:space="0" w:color="auto"/>
      </w:divBdr>
    </w:div>
    <w:div w:id="998728711">
      <w:bodyDiv w:val="1"/>
      <w:marLeft w:val="0"/>
      <w:marRight w:val="0"/>
      <w:marTop w:val="0"/>
      <w:marBottom w:val="0"/>
      <w:divBdr>
        <w:top w:val="none" w:sz="0" w:space="0" w:color="auto"/>
        <w:left w:val="none" w:sz="0" w:space="0" w:color="auto"/>
        <w:bottom w:val="none" w:sz="0" w:space="0" w:color="auto"/>
        <w:right w:val="none" w:sz="0" w:space="0" w:color="auto"/>
      </w:divBdr>
    </w:div>
    <w:div w:id="1009404595">
      <w:bodyDiv w:val="1"/>
      <w:marLeft w:val="0"/>
      <w:marRight w:val="0"/>
      <w:marTop w:val="0"/>
      <w:marBottom w:val="0"/>
      <w:divBdr>
        <w:top w:val="none" w:sz="0" w:space="0" w:color="auto"/>
        <w:left w:val="none" w:sz="0" w:space="0" w:color="auto"/>
        <w:bottom w:val="none" w:sz="0" w:space="0" w:color="auto"/>
        <w:right w:val="none" w:sz="0" w:space="0" w:color="auto"/>
      </w:divBdr>
    </w:div>
    <w:div w:id="1058288109">
      <w:bodyDiv w:val="1"/>
      <w:marLeft w:val="0"/>
      <w:marRight w:val="0"/>
      <w:marTop w:val="0"/>
      <w:marBottom w:val="0"/>
      <w:divBdr>
        <w:top w:val="none" w:sz="0" w:space="0" w:color="auto"/>
        <w:left w:val="none" w:sz="0" w:space="0" w:color="auto"/>
        <w:bottom w:val="none" w:sz="0" w:space="0" w:color="auto"/>
        <w:right w:val="none" w:sz="0" w:space="0" w:color="auto"/>
      </w:divBdr>
    </w:div>
    <w:div w:id="1086729836">
      <w:bodyDiv w:val="1"/>
      <w:marLeft w:val="0"/>
      <w:marRight w:val="0"/>
      <w:marTop w:val="0"/>
      <w:marBottom w:val="0"/>
      <w:divBdr>
        <w:top w:val="none" w:sz="0" w:space="0" w:color="auto"/>
        <w:left w:val="none" w:sz="0" w:space="0" w:color="auto"/>
        <w:bottom w:val="none" w:sz="0" w:space="0" w:color="auto"/>
        <w:right w:val="none" w:sz="0" w:space="0" w:color="auto"/>
      </w:divBdr>
    </w:div>
    <w:div w:id="1164591919">
      <w:bodyDiv w:val="1"/>
      <w:marLeft w:val="0"/>
      <w:marRight w:val="0"/>
      <w:marTop w:val="0"/>
      <w:marBottom w:val="0"/>
      <w:divBdr>
        <w:top w:val="none" w:sz="0" w:space="0" w:color="auto"/>
        <w:left w:val="none" w:sz="0" w:space="0" w:color="auto"/>
        <w:bottom w:val="none" w:sz="0" w:space="0" w:color="auto"/>
        <w:right w:val="none" w:sz="0" w:space="0" w:color="auto"/>
      </w:divBdr>
    </w:div>
    <w:div w:id="1187987957">
      <w:bodyDiv w:val="1"/>
      <w:marLeft w:val="0"/>
      <w:marRight w:val="0"/>
      <w:marTop w:val="0"/>
      <w:marBottom w:val="0"/>
      <w:divBdr>
        <w:top w:val="none" w:sz="0" w:space="0" w:color="auto"/>
        <w:left w:val="none" w:sz="0" w:space="0" w:color="auto"/>
        <w:bottom w:val="none" w:sz="0" w:space="0" w:color="auto"/>
        <w:right w:val="none" w:sz="0" w:space="0" w:color="auto"/>
      </w:divBdr>
    </w:div>
    <w:div w:id="1191799466">
      <w:bodyDiv w:val="1"/>
      <w:marLeft w:val="0"/>
      <w:marRight w:val="0"/>
      <w:marTop w:val="0"/>
      <w:marBottom w:val="0"/>
      <w:divBdr>
        <w:top w:val="none" w:sz="0" w:space="0" w:color="auto"/>
        <w:left w:val="none" w:sz="0" w:space="0" w:color="auto"/>
        <w:bottom w:val="none" w:sz="0" w:space="0" w:color="auto"/>
        <w:right w:val="none" w:sz="0" w:space="0" w:color="auto"/>
      </w:divBdr>
    </w:div>
    <w:div w:id="1264997056">
      <w:bodyDiv w:val="1"/>
      <w:marLeft w:val="0"/>
      <w:marRight w:val="0"/>
      <w:marTop w:val="0"/>
      <w:marBottom w:val="0"/>
      <w:divBdr>
        <w:top w:val="none" w:sz="0" w:space="0" w:color="auto"/>
        <w:left w:val="none" w:sz="0" w:space="0" w:color="auto"/>
        <w:bottom w:val="none" w:sz="0" w:space="0" w:color="auto"/>
        <w:right w:val="none" w:sz="0" w:space="0" w:color="auto"/>
      </w:divBdr>
    </w:div>
    <w:div w:id="1272740250">
      <w:bodyDiv w:val="1"/>
      <w:marLeft w:val="0"/>
      <w:marRight w:val="0"/>
      <w:marTop w:val="0"/>
      <w:marBottom w:val="0"/>
      <w:divBdr>
        <w:top w:val="none" w:sz="0" w:space="0" w:color="auto"/>
        <w:left w:val="none" w:sz="0" w:space="0" w:color="auto"/>
        <w:bottom w:val="none" w:sz="0" w:space="0" w:color="auto"/>
        <w:right w:val="none" w:sz="0" w:space="0" w:color="auto"/>
      </w:divBdr>
    </w:div>
    <w:div w:id="1287930172">
      <w:bodyDiv w:val="1"/>
      <w:marLeft w:val="0"/>
      <w:marRight w:val="0"/>
      <w:marTop w:val="0"/>
      <w:marBottom w:val="0"/>
      <w:divBdr>
        <w:top w:val="none" w:sz="0" w:space="0" w:color="auto"/>
        <w:left w:val="none" w:sz="0" w:space="0" w:color="auto"/>
        <w:bottom w:val="none" w:sz="0" w:space="0" w:color="auto"/>
        <w:right w:val="none" w:sz="0" w:space="0" w:color="auto"/>
      </w:divBdr>
    </w:div>
    <w:div w:id="1317995862">
      <w:bodyDiv w:val="1"/>
      <w:marLeft w:val="0"/>
      <w:marRight w:val="0"/>
      <w:marTop w:val="0"/>
      <w:marBottom w:val="0"/>
      <w:divBdr>
        <w:top w:val="none" w:sz="0" w:space="0" w:color="auto"/>
        <w:left w:val="none" w:sz="0" w:space="0" w:color="auto"/>
        <w:bottom w:val="none" w:sz="0" w:space="0" w:color="auto"/>
        <w:right w:val="none" w:sz="0" w:space="0" w:color="auto"/>
      </w:divBdr>
    </w:div>
    <w:div w:id="1341468154">
      <w:bodyDiv w:val="1"/>
      <w:marLeft w:val="0"/>
      <w:marRight w:val="0"/>
      <w:marTop w:val="0"/>
      <w:marBottom w:val="0"/>
      <w:divBdr>
        <w:top w:val="none" w:sz="0" w:space="0" w:color="auto"/>
        <w:left w:val="none" w:sz="0" w:space="0" w:color="auto"/>
        <w:bottom w:val="none" w:sz="0" w:space="0" w:color="auto"/>
        <w:right w:val="none" w:sz="0" w:space="0" w:color="auto"/>
      </w:divBdr>
    </w:div>
    <w:div w:id="1386292390">
      <w:bodyDiv w:val="1"/>
      <w:marLeft w:val="0"/>
      <w:marRight w:val="0"/>
      <w:marTop w:val="0"/>
      <w:marBottom w:val="0"/>
      <w:divBdr>
        <w:top w:val="none" w:sz="0" w:space="0" w:color="auto"/>
        <w:left w:val="none" w:sz="0" w:space="0" w:color="auto"/>
        <w:bottom w:val="none" w:sz="0" w:space="0" w:color="auto"/>
        <w:right w:val="none" w:sz="0" w:space="0" w:color="auto"/>
      </w:divBdr>
    </w:div>
    <w:div w:id="1396659518">
      <w:bodyDiv w:val="1"/>
      <w:marLeft w:val="0"/>
      <w:marRight w:val="0"/>
      <w:marTop w:val="0"/>
      <w:marBottom w:val="0"/>
      <w:divBdr>
        <w:top w:val="none" w:sz="0" w:space="0" w:color="auto"/>
        <w:left w:val="none" w:sz="0" w:space="0" w:color="auto"/>
        <w:bottom w:val="none" w:sz="0" w:space="0" w:color="auto"/>
        <w:right w:val="none" w:sz="0" w:space="0" w:color="auto"/>
      </w:divBdr>
    </w:div>
    <w:div w:id="1418400759">
      <w:bodyDiv w:val="1"/>
      <w:marLeft w:val="0"/>
      <w:marRight w:val="0"/>
      <w:marTop w:val="0"/>
      <w:marBottom w:val="0"/>
      <w:divBdr>
        <w:top w:val="none" w:sz="0" w:space="0" w:color="auto"/>
        <w:left w:val="none" w:sz="0" w:space="0" w:color="auto"/>
        <w:bottom w:val="none" w:sz="0" w:space="0" w:color="auto"/>
        <w:right w:val="none" w:sz="0" w:space="0" w:color="auto"/>
      </w:divBdr>
    </w:div>
    <w:div w:id="1427187555">
      <w:bodyDiv w:val="1"/>
      <w:marLeft w:val="0"/>
      <w:marRight w:val="0"/>
      <w:marTop w:val="0"/>
      <w:marBottom w:val="0"/>
      <w:divBdr>
        <w:top w:val="none" w:sz="0" w:space="0" w:color="auto"/>
        <w:left w:val="none" w:sz="0" w:space="0" w:color="auto"/>
        <w:bottom w:val="none" w:sz="0" w:space="0" w:color="auto"/>
        <w:right w:val="none" w:sz="0" w:space="0" w:color="auto"/>
      </w:divBdr>
    </w:div>
    <w:div w:id="1438330583">
      <w:bodyDiv w:val="1"/>
      <w:marLeft w:val="0"/>
      <w:marRight w:val="0"/>
      <w:marTop w:val="0"/>
      <w:marBottom w:val="0"/>
      <w:divBdr>
        <w:top w:val="none" w:sz="0" w:space="0" w:color="auto"/>
        <w:left w:val="none" w:sz="0" w:space="0" w:color="auto"/>
        <w:bottom w:val="none" w:sz="0" w:space="0" w:color="auto"/>
        <w:right w:val="none" w:sz="0" w:space="0" w:color="auto"/>
      </w:divBdr>
    </w:div>
    <w:div w:id="1502160677">
      <w:bodyDiv w:val="1"/>
      <w:marLeft w:val="0"/>
      <w:marRight w:val="0"/>
      <w:marTop w:val="0"/>
      <w:marBottom w:val="0"/>
      <w:divBdr>
        <w:top w:val="none" w:sz="0" w:space="0" w:color="auto"/>
        <w:left w:val="none" w:sz="0" w:space="0" w:color="auto"/>
        <w:bottom w:val="none" w:sz="0" w:space="0" w:color="auto"/>
        <w:right w:val="none" w:sz="0" w:space="0" w:color="auto"/>
      </w:divBdr>
    </w:div>
    <w:div w:id="1518806398">
      <w:bodyDiv w:val="1"/>
      <w:marLeft w:val="0"/>
      <w:marRight w:val="0"/>
      <w:marTop w:val="0"/>
      <w:marBottom w:val="0"/>
      <w:divBdr>
        <w:top w:val="none" w:sz="0" w:space="0" w:color="auto"/>
        <w:left w:val="none" w:sz="0" w:space="0" w:color="auto"/>
        <w:bottom w:val="none" w:sz="0" w:space="0" w:color="auto"/>
        <w:right w:val="none" w:sz="0" w:space="0" w:color="auto"/>
      </w:divBdr>
    </w:div>
    <w:div w:id="1560089444">
      <w:bodyDiv w:val="1"/>
      <w:marLeft w:val="0"/>
      <w:marRight w:val="0"/>
      <w:marTop w:val="0"/>
      <w:marBottom w:val="0"/>
      <w:divBdr>
        <w:top w:val="none" w:sz="0" w:space="0" w:color="auto"/>
        <w:left w:val="none" w:sz="0" w:space="0" w:color="auto"/>
        <w:bottom w:val="none" w:sz="0" w:space="0" w:color="auto"/>
        <w:right w:val="none" w:sz="0" w:space="0" w:color="auto"/>
      </w:divBdr>
    </w:div>
    <w:div w:id="1639797099">
      <w:bodyDiv w:val="1"/>
      <w:marLeft w:val="0"/>
      <w:marRight w:val="0"/>
      <w:marTop w:val="0"/>
      <w:marBottom w:val="0"/>
      <w:divBdr>
        <w:top w:val="none" w:sz="0" w:space="0" w:color="auto"/>
        <w:left w:val="none" w:sz="0" w:space="0" w:color="auto"/>
        <w:bottom w:val="none" w:sz="0" w:space="0" w:color="auto"/>
        <w:right w:val="none" w:sz="0" w:space="0" w:color="auto"/>
      </w:divBdr>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44771432">
      <w:bodyDiv w:val="1"/>
      <w:marLeft w:val="0"/>
      <w:marRight w:val="0"/>
      <w:marTop w:val="0"/>
      <w:marBottom w:val="0"/>
      <w:divBdr>
        <w:top w:val="none" w:sz="0" w:space="0" w:color="auto"/>
        <w:left w:val="none" w:sz="0" w:space="0" w:color="auto"/>
        <w:bottom w:val="none" w:sz="0" w:space="0" w:color="auto"/>
        <w:right w:val="none" w:sz="0" w:space="0" w:color="auto"/>
      </w:divBdr>
    </w:div>
    <w:div w:id="1659070212">
      <w:bodyDiv w:val="1"/>
      <w:marLeft w:val="0"/>
      <w:marRight w:val="0"/>
      <w:marTop w:val="0"/>
      <w:marBottom w:val="0"/>
      <w:divBdr>
        <w:top w:val="none" w:sz="0" w:space="0" w:color="auto"/>
        <w:left w:val="none" w:sz="0" w:space="0" w:color="auto"/>
        <w:bottom w:val="none" w:sz="0" w:space="0" w:color="auto"/>
        <w:right w:val="none" w:sz="0" w:space="0" w:color="auto"/>
      </w:divBdr>
    </w:div>
    <w:div w:id="1670055981">
      <w:bodyDiv w:val="1"/>
      <w:marLeft w:val="0"/>
      <w:marRight w:val="0"/>
      <w:marTop w:val="0"/>
      <w:marBottom w:val="0"/>
      <w:divBdr>
        <w:top w:val="none" w:sz="0" w:space="0" w:color="auto"/>
        <w:left w:val="none" w:sz="0" w:space="0" w:color="auto"/>
        <w:bottom w:val="none" w:sz="0" w:space="0" w:color="auto"/>
        <w:right w:val="none" w:sz="0" w:space="0" w:color="auto"/>
      </w:divBdr>
    </w:div>
    <w:div w:id="1671180944">
      <w:bodyDiv w:val="1"/>
      <w:marLeft w:val="0"/>
      <w:marRight w:val="0"/>
      <w:marTop w:val="0"/>
      <w:marBottom w:val="0"/>
      <w:divBdr>
        <w:top w:val="none" w:sz="0" w:space="0" w:color="auto"/>
        <w:left w:val="none" w:sz="0" w:space="0" w:color="auto"/>
        <w:bottom w:val="none" w:sz="0" w:space="0" w:color="auto"/>
        <w:right w:val="none" w:sz="0" w:space="0" w:color="auto"/>
      </w:divBdr>
    </w:div>
    <w:div w:id="1718119686">
      <w:bodyDiv w:val="1"/>
      <w:marLeft w:val="0"/>
      <w:marRight w:val="0"/>
      <w:marTop w:val="0"/>
      <w:marBottom w:val="0"/>
      <w:divBdr>
        <w:top w:val="none" w:sz="0" w:space="0" w:color="auto"/>
        <w:left w:val="none" w:sz="0" w:space="0" w:color="auto"/>
        <w:bottom w:val="none" w:sz="0" w:space="0" w:color="auto"/>
        <w:right w:val="none" w:sz="0" w:space="0" w:color="auto"/>
      </w:divBdr>
    </w:div>
    <w:div w:id="1723552383">
      <w:bodyDiv w:val="1"/>
      <w:marLeft w:val="0"/>
      <w:marRight w:val="0"/>
      <w:marTop w:val="0"/>
      <w:marBottom w:val="0"/>
      <w:divBdr>
        <w:top w:val="none" w:sz="0" w:space="0" w:color="auto"/>
        <w:left w:val="none" w:sz="0" w:space="0" w:color="auto"/>
        <w:bottom w:val="none" w:sz="0" w:space="0" w:color="auto"/>
        <w:right w:val="none" w:sz="0" w:space="0" w:color="auto"/>
      </w:divBdr>
    </w:div>
    <w:div w:id="1759980291">
      <w:bodyDiv w:val="1"/>
      <w:marLeft w:val="0"/>
      <w:marRight w:val="0"/>
      <w:marTop w:val="0"/>
      <w:marBottom w:val="0"/>
      <w:divBdr>
        <w:top w:val="none" w:sz="0" w:space="0" w:color="auto"/>
        <w:left w:val="none" w:sz="0" w:space="0" w:color="auto"/>
        <w:bottom w:val="none" w:sz="0" w:space="0" w:color="auto"/>
        <w:right w:val="none" w:sz="0" w:space="0" w:color="auto"/>
      </w:divBdr>
    </w:div>
    <w:div w:id="1779132547">
      <w:bodyDiv w:val="1"/>
      <w:marLeft w:val="0"/>
      <w:marRight w:val="0"/>
      <w:marTop w:val="0"/>
      <w:marBottom w:val="0"/>
      <w:divBdr>
        <w:top w:val="none" w:sz="0" w:space="0" w:color="auto"/>
        <w:left w:val="none" w:sz="0" w:space="0" w:color="auto"/>
        <w:bottom w:val="none" w:sz="0" w:space="0" w:color="auto"/>
        <w:right w:val="none" w:sz="0" w:space="0" w:color="auto"/>
      </w:divBdr>
    </w:div>
    <w:div w:id="1824807997">
      <w:bodyDiv w:val="1"/>
      <w:marLeft w:val="0"/>
      <w:marRight w:val="0"/>
      <w:marTop w:val="0"/>
      <w:marBottom w:val="0"/>
      <w:divBdr>
        <w:top w:val="none" w:sz="0" w:space="0" w:color="auto"/>
        <w:left w:val="none" w:sz="0" w:space="0" w:color="auto"/>
        <w:bottom w:val="none" w:sz="0" w:space="0" w:color="auto"/>
        <w:right w:val="none" w:sz="0" w:space="0" w:color="auto"/>
      </w:divBdr>
    </w:div>
    <w:div w:id="1870220050">
      <w:bodyDiv w:val="1"/>
      <w:marLeft w:val="0"/>
      <w:marRight w:val="0"/>
      <w:marTop w:val="0"/>
      <w:marBottom w:val="0"/>
      <w:divBdr>
        <w:top w:val="none" w:sz="0" w:space="0" w:color="auto"/>
        <w:left w:val="none" w:sz="0" w:space="0" w:color="auto"/>
        <w:bottom w:val="none" w:sz="0" w:space="0" w:color="auto"/>
        <w:right w:val="none" w:sz="0" w:space="0" w:color="auto"/>
      </w:divBdr>
    </w:div>
    <w:div w:id="1901398151">
      <w:bodyDiv w:val="1"/>
      <w:marLeft w:val="0"/>
      <w:marRight w:val="0"/>
      <w:marTop w:val="0"/>
      <w:marBottom w:val="0"/>
      <w:divBdr>
        <w:top w:val="none" w:sz="0" w:space="0" w:color="auto"/>
        <w:left w:val="none" w:sz="0" w:space="0" w:color="auto"/>
        <w:bottom w:val="none" w:sz="0" w:space="0" w:color="auto"/>
        <w:right w:val="none" w:sz="0" w:space="0" w:color="auto"/>
      </w:divBdr>
    </w:div>
    <w:div w:id="1903829408">
      <w:bodyDiv w:val="1"/>
      <w:marLeft w:val="0"/>
      <w:marRight w:val="0"/>
      <w:marTop w:val="0"/>
      <w:marBottom w:val="0"/>
      <w:divBdr>
        <w:top w:val="none" w:sz="0" w:space="0" w:color="auto"/>
        <w:left w:val="none" w:sz="0" w:space="0" w:color="auto"/>
        <w:bottom w:val="none" w:sz="0" w:space="0" w:color="auto"/>
        <w:right w:val="none" w:sz="0" w:space="0" w:color="auto"/>
      </w:divBdr>
    </w:div>
    <w:div w:id="1941257943">
      <w:bodyDiv w:val="1"/>
      <w:marLeft w:val="0"/>
      <w:marRight w:val="0"/>
      <w:marTop w:val="0"/>
      <w:marBottom w:val="0"/>
      <w:divBdr>
        <w:top w:val="none" w:sz="0" w:space="0" w:color="auto"/>
        <w:left w:val="none" w:sz="0" w:space="0" w:color="auto"/>
        <w:bottom w:val="none" w:sz="0" w:space="0" w:color="auto"/>
        <w:right w:val="none" w:sz="0" w:space="0" w:color="auto"/>
      </w:divBdr>
    </w:div>
    <w:div w:id="2040080446">
      <w:bodyDiv w:val="1"/>
      <w:marLeft w:val="0"/>
      <w:marRight w:val="0"/>
      <w:marTop w:val="0"/>
      <w:marBottom w:val="0"/>
      <w:divBdr>
        <w:top w:val="none" w:sz="0" w:space="0" w:color="auto"/>
        <w:left w:val="none" w:sz="0" w:space="0" w:color="auto"/>
        <w:bottom w:val="none" w:sz="0" w:space="0" w:color="auto"/>
        <w:right w:val="none" w:sz="0" w:space="0" w:color="auto"/>
      </w:divBdr>
    </w:div>
    <w:div w:id="2058892200">
      <w:bodyDiv w:val="1"/>
      <w:marLeft w:val="0"/>
      <w:marRight w:val="0"/>
      <w:marTop w:val="0"/>
      <w:marBottom w:val="0"/>
      <w:divBdr>
        <w:top w:val="none" w:sz="0" w:space="0" w:color="auto"/>
        <w:left w:val="none" w:sz="0" w:space="0" w:color="auto"/>
        <w:bottom w:val="none" w:sz="0" w:space="0" w:color="auto"/>
        <w:right w:val="none" w:sz="0" w:space="0" w:color="auto"/>
      </w:divBdr>
    </w:div>
    <w:div w:id="2067295528">
      <w:bodyDiv w:val="1"/>
      <w:marLeft w:val="0"/>
      <w:marRight w:val="0"/>
      <w:marTop w:val="0"/>
      <w:marBottom w:val="0"/>
      <w:divBdr>
        <w:top w:val="none" w:sz="0" w:space="0" w:color="auto"/>
        <w:left w:val="none" w:sz="0" w:space="0" w:color="auto"/>
        <w:bottom w:val="none" w:sz="0" w:space="0" w:color="auto"/>
        <w:right w:val="none" w:sz="0" w:space="0" w:color="auto"/>
      </w:divBdr>
    </w:div>
    <w:div w:id="2078504163">
      <w:bodyDiv w:val="1"/>
      <w:marLeft w:val="0"/>
      <w:marRight w:val="0"/>
      <w:marTop w:val="0"/>
      <w:marBottom w:val="0"/>
      <w:divBdr>
        <w:top w:val="none" w:sz="0" w:space="0" w:color="auto"/>
        <w:left w:val="none" w:sz="0" w:space="0" w:color="auto"/>
        <w:bottom w:val="none" w:sz="0" w:space="0" w:color="auto"/>
        <w:right w:val="none" w:sz="0" w:space="0" w:color="auto"/>
      </w:divBdr>
    </w:div>
    <w:div w:id="2101829544">
      <w:bodyDiv w:val="1"/>
      <w:marLeft w:val="0"/>
      <w:marRight w:val="0"/>
      <w:marTop w:val="0"/>
      <w:marBottom w:val="0"/>
      <w:divBdr>
        <w:top w:val="none" w:sz="0" w:space="0" w:color="auto"/>
        <w:left w:val="none" w:sz="0" w:space="0" w:color="auto"/>
        <w:bottom w:val="none" w:sz="0" w:space="0" w:color="auto"/>
        <w:right w:val="none" w:sz="0" w:space="0" w:color="auto"/>
      </w:divBdr>
    </w:div>
    <w:div w:id="2103718491">
      <w:bodyDiv w:val="1"/>
      <w:marLeft w:val="0"/>
      <w:marRight w:val="0"/>
      <w:marTop w:val="0"/>
      <w:marBottom w:val="0"/>
      <w:divBdr>
        <w:top w:val="none" w:sz="0" w:space="0" w:color="auto"/>
        <w:left w:val="none" w:sz="0" w:space="0" w:color="auto"/>
        <w:bottom w:val="none" w:sz="0" w:space="0" w:color="auto"/>
        <w:right w:val="none" w:sz="0" w:space="0" w:color="auto"/>
      </w:divBdr>
    </w:div>
    <w:div w:id="21288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89501312335956"/>
          <c:y val="0.4301633535953549"/>
          <c:w val="0.59812408865558475"/>
          <c:h val="0.26188766276865477"/>
        </c:manualLayout>
      </c:layout>
      <c:barChart>
        <c:barDir val="bar"/>
        <c:grouping val="stacked"/>
        <c:varyColors val="0"/>
        <c:ser>
          <c:idx val="0"/>
          <c:order val="0"/>
          <c:tx>
            <c:strRef>
              <c:f>Sheet1!$B$1</c:f>
              <c:strCache>
                <c:ptCount val="1"/>
                <c:pt idx="0">
                  <c:v>left blank</c:v>
                </c:pt>
              </c:strCache>
            </c:strRef>
          </c:tx>
          <c:spPr>
            <a:noFill/>
            <a:ln>
              <a:noFill/>
            </a:ln>
            <a:effectLst/>
          </c:spPr>
          <c:invertIfNegative val="0"/>
          <c:cat>
            <c:strRef>
              <c:f>Sheet1!$A$2:$A$20</c:f>
              <c:strCache>
                <c:ptCount val="1"/>
                <c:pt idx="0">
                  <c:v>Overall Experience</c:v>
                </c:pt>
              </c:strCache>
              <c:extLst/>
            </c:strRef>
          </c:cat>
          <c:val>
            <c:numRef>
              <c:f>Sheet1!$B$2:$B$20</c:f>
              <c:numCache>
                <c:formatCode>0.0%</c:formatCode>
                <c:ptCount val="1"/>
                <c:pt idx="0">
                  <c:v>0.80797101449275366</c:v>
                </c:pt>
              </c:numCache>
              <c:extLst/>
            </c:numRef>
          </c:val>
          <c:extLst>
            <c:ext xmlns:c16="http://schemas.microsoft.com/office/drawing/2014/chart" uri="{C3380CC4-5D6E-409C-BE32-E72D297353CC}">
              <c16:uniqueId val="{00000000-CF64-45EC-B629-1BB1D20D4D95}"/>
            </c:ext>
          </c:extLst>
        </c:ser>
        <c:ser>
          <c:idx val="1"/>
          <c:order val="1"/>
          <c:tx>
            <c:strRef>
              <c:f>Sheet1!$C$1</c:f>
              <c:strCache>
                <c:ptCount val="1"/>
                <c:pt idx="0">
                  <c:v>1</c:v>
                </c:pt>
              </c:strCache>
            </c:strRef>
          </c:tx>
          <c:spPr>
            <a:solidFill>
              <a:schemeClr val="accent2"/>
            </a:solidFill>
            <a:ln>
              <a:solidFill>
                <a:schemeClr val="tx1"/>
              </a:solidFill>
            </a:ln>
            <a:effectLst/>
          </c:spPr>
          <c:invertIfNegative val="0"/>
          <c:cat>
            <c:strRef>
              <c:f>Sheet1!$A$2:$A$20</c:f>
              <c:strCache>
                <c:ptCount val="1"/>
                <c:pt idx="0">
                  <c:v>Overall Experience</c:v>
                </c:pt>
              </c:strCache>
              <c:extLst/>
            </c:strRef>
          </c:cat>
          <c:val>
            <c:numRef>
              <c:f>Sheet1!$C$2:$C$20</c:f>
              <c:numCache>
                <c:formatCode>0.0%</c:formatCode>
                <c:ptCount val="1"/>
                <c:pt idx="0">
                  <c:v>8.2125603864734303E-2</c:v>
                </c:pt>
              </c:numCache>
              <c:extLst/>
            </c:numRef>
          </c:val>
          <c:extLst>
            <c:ext xmlns:c16="http://schemas.microsoft.com/office/drawing/2014/chart" uri="{C3380CC4-5D6E-409C-BE32-E72D297353CC}">
              <c16:uniqueId val="{00000001-CF64-45EC-B629-1BB1D20D4D95}"/>
            </c:ext>
          </c:extLst>
        </c:ser>
        <c:ser>
          <c:idx val="2"/>
          <c:order val="2"/>
          <c:tx>
            <c:strRef>
              <c:f>Sheet1!$D$1</c:f>
              <c:strCache>
                <c:ptCount val="1"/>
                <c:pt idx="0">
                  <c:v>2</c:v>
                </c:pt>
              </c:strCache>
            </c:strRef>
          </c:tx>
          <c:spPr>
            <a:solidFill>
              <a:schemeClr val="accent2">
                <a:alpha val="70000"/>
              </a:schemeClr>
            </a:solidFill>
            <a:ln>
              <a:solidFill>
                <a:schemeClr val="tx1"/>
              </a:solidFill>
            </a:ln>
            <a:effectLst/>
          </c:spPr>
          <c:invertIfNegative val="0"/>
          <c:cat>
            <c:strRef>
              <c:f>Sheet1!$A$2:$A$20</c:f>
              <c:strCache>
                <c:ptCount val="1"/>
                <c:pt idx="0">
                  <c:v>Overall Experience</c:v>
                </c:pt>
              </c:strCache>
              <c:extLst/>
            </c:strRef>
          </c:cat>
          <c:val>
            <c:numRef>
              <c:f>Sheet1!$D$2:$D$20</c:f>
              <c:numCache>
                <c:formatCode>0.0%</c:formatCode>
                <c:ptCount val="1"/>
                <c:pt idx="0">
                  <c:v>4.5893719806763288E-2</c:v>
                </c:pt>
              </c:numCache>
              <c:extLst/>
            </c:numRef>
          </c:val>
          <c:extLst>
            <c:ext xmlns:c16="http://schemas.microsoft.com/office/drawing/2014/chart" uri="{C3380CC4-5D6E-409C-BE32-E72D297353CC}">
              <c16:uniqueId val="{00000002-CF64-45EC-B629-1BB1D20D4D95}"/>
            </c:ext>
          </c:extLst>
        </c:ser>
        <c:ser>
          <c:idx val="3"/>
          <c:order val="3"/>
          <c:tx>
            <c:strRef>
              <c:f>Sheet1!$E$1</c:f>
              <c:strCache>
                <c:ptCount val="1"/>
                <c:pt idx="0">
                  <c:v>3</c:v>
                </c:pt>
              </c:strCache>
            </c:strRef>
          </c:tx>
          <c:spPr>
            <a:solidFill>
              <a:schemeClr val="accent2">
                <a:alpha val="40000"/>
              </a:schemeClr>
            </a:solidFill>
            <a:ln>
              <a:solidFill>
                <a:schemeClr val="tx1"/>
              </a:solidFill>
            </a:ln>
            <a:effectLst/>
          </c:spPr>
          <c:invertIfNegative val="0"/>
          <c:cat>
            <c:strRef>
              <c:f>Sheet1!$A$2:$A$20</c:f>
              <c:strCache>
                <c:ptCount val="1"/>
                <c:pt idx="0">
                  <c:v>Overall Experience</c:v>
                </c:pt>
              </c:strCache>
              <c:extLst/>
            </c:strRef>
          </c:cat>
          <c:val>
            <c:numRef>
              <c:f>Sheet1!$E$2:$E$20</c:f>
              <c:numCache>
                <c:formatCode>0.0%</c:formatCode>
                <c:ptCount val="1"/>
                <c:pt idx="0">
                  <c:v>3.9855072463768113E-2</c:v>
                </c:pt>
              </c:numCache>
              <c:extLst/>
            </c:numRef>
          </c:val>
          <c:extLst>
            <c:ext xmlns:c16="http://schemas.microsoft.com/office/drawing/2014/chart" uri="{C3380CC4-5D6E-409C-BE32-E72D297353CC}">
              <c16:uniqueId val="{00000004-CF64-45EC-B629-1BB1D20D4D95}"/>
            </c:ext>
          </c:extLst>
        </c:ser>
        <c:ser>
          <c:idx val="4"/>
          <c:order val="4"/>
          <c:tx>
            <c:strRef>
              <c:f>Sheet1!$F$1</c:f>
              <c:strCache>
                <c:ptCount val="1"/>
                <c:pt idx="0">
                  <c:v>4</c:v>
                </c:pt>
              </c:strCache>
            </c:strRef>
          </c:tx>
          <c:spPr>
            <a:solidFill>
              <a:schemeClr val="accent2">
                <a:alpha val="15000"/>
              </a:schemeClr>
            </a:solidFill>
            <a:ln>
              <a:solidFill>
                <a:schemeClr val="tx1"/>
              </a:solidFill>
            </a:ln>
            <a:effectLst/>
          </c:spPr>
          <c:invertIfNegative val="0"/>
          <c:cat>
            <c:strRef>
              <c:f>Sheet1!$A$2:$A$20</c:f>
              <c:strCache>
                <c:ptCount val="1"/>
                <c:pt idx="0">
                  <c:v>Overall Experience</c:v>
                </c:pt>
              </c:strCache>
              <c:extLst/>
            </c:strRef>
          </c:cat>
          <c:val>
            <c:numRef>
              <c:f>Sheet1!$F$2:$F$20</c:f>
              <c:numCache>
                <c:formatCode>0.0%</c:formatCode>
                <c:ptCount val="1"/>
                <c:pt idx="0">
                  <c:v>4.8309178743961352E-2</c:v>
                </c:pt>
              </c:numCache>
              <c:extLst/>
            </c:numRef>
          </c:val>
          <c:extLst>
            <c:ext xmlns:c16="http://schemas.microsoft.com/office/drawing/2014/chart" uri="{C3380CC4-5D6E-409C-BE32-E72D297353CC}">
              <c16:uniqueId val="{00000005-CF64-45EC-B629-1BB1D20D4D95}"/>
            </c:ext>
          </c:extLst>
        </c:ser>
        <c:ser>
          <c:idx val="5"/>
          <c:order val="5"/>
          <c:tx>
            <c:strRef>
              <c:f>Sheet1!$G$1</c:f>
              <c:strCache>
                <c:ptCount val="1"/>
                <c:pt idx="0">
                  <c:v>5</c:v>
                </c:pt>
              </c:strCache>
            </c:strRef>
          </c:tx>
          <c:spPr>
            <a:solidFill>
              <a:schemeClr val="accent1">
                <a:alpha val="40000"/>
              </a:schemeClr>
            </a:solidFill>
            <a:ln>
              <a:solidFill>
                <a:schemeClr val="tx1"/>
              </a:solidFill>
            </a:ln>
            <a:effectLst/>
          </c:spPr>
          <c:invertIfNegative val="0"/>
          <c:cat>
            <c:strRef>
              <c:f>Sheet1!$A$2:$A$20</c:f>
              <c:strCache>
                <c:ptCount val="1"/>
                <c:pt idx="0">
                  <c:v>Overall Experience</c:v>
                </c:pt>
              </c:strCache>
              <c:extLst/>
            </c:strRef>
          </c:cat>
          <c:val>
            <c:numRef>
              <c:f>Sheet1!$G$2:$G$20</c:f>
              <c:numCache>
                <c:formatCode>0.0%</c:formatCode>
                <c:ptCount val="1"/>
                <c:pt idx="0">
                  <c:v>0.11473429951690821</c:v>
                </c:pt>
              </c:numCache>
              <c:extLst/>
            </c:numRef>
          </c:val>
          <c:extLst>
            <c:ext xmlns:c16="http://schemas.microsoft.com/office/drawing/2014/chart" uri="{C3380CC4-5D6E-409C-BE32-E72D297353CC}">
              <c16:uniqueId val="{00000006-CF64-45EC-B629-1BB1D20D4D95}"/>
            </c:ext>
          </c:extLst>
        </c:ser>
        <c:ser>
          <c:idx val="6"/>
          <c:order val="6"/>
          <c:tx>
            <c:strRef>
              <c:f>Sheet1!$H$1</c:f>
              <c:strCache>
                <c:ptCount val="1"/>
                <c:pt idx="0">
                  <c:v>6</c:v>
                </c:pt>
              </c:strCache>
            </c:strRef>
          </c:tx>
          <c:spPr>
            <a:solidFill>
              <a:schemeClr val="accent1">
                <a:alpha val="70000"/>
              </a:schemeClr>
            </a:solidFill>
            <a:ln>
              <a:solidFill>
                <a:schemeClr val="tx1"/>
              </a:solidFill>
            </a:ln>
            <a:effectLst/>
          </c:spPr>
          <c:invertIfNegative val="0"/>
          <c:cat>
            <c:strRef>
              <c:f>Sheet1!$A$2:$A$20</c:f>
              <c:strCache>
                <c:ptCount val="1"/>
                <c:pt idx="0">
                  <c:v>Overall Experience</c:v>
                </c:pt>
              </c:strCache>
              <c:extLst/>
            </c:strRef>
          </c:cat>
          <c:val>
            <c:numRef>
              <c:f>Sheet1!$H$2:$H$20</c:f>
              <c:numCache>
                <c:formatCode>0.0%</c:formatCode>
                <c:ptCount val="1"/>
                <c:pt idx="0">
                  <c:v>0.1859903381642512</c:v>
                </c:pt>
              </c:numCache>
              <c:extLst/>
            </c:numRef>
          </c:val>
          <c:extLst>
            <c:ext xmlns:c16="http://schemas.microsoft.com/office/drawing/2014/chart" uri="{C3380CC4-5D6E-409C-BE32-E72D297353CC}">
              <c16:uniqueId val="{00000007-CF64-45EC-B629-1BB1D20D4D95}"/>
            </c:ext>
          </c:extLst>
        </c:ser>
        <c:ser>
          <c:idx val="7"/>
          <c:order val="7"/>
          <c:tx>
            <c:strRef>
              <c:f>Sheet1!$I$1</c:f>
              <c:strCache>
                <c:ptCount val="1"/>
                <c:pt idx="0">
                  <c:v>7</c:v>
                </c:pt>
              </c:strCache>
            </c:strRef>
          </c:tx>
          <c:spPr>
            <a:solidFill>
              <a:schemeClr val="accent1"/>
            </a:solidFill>
            <a:ln>
              <a:solidFill>
                <a:schemeClr val="tx1"/>
              </a:solidFill>
            </a:ln>
            <a:effectLst/>
          </c:spPr>
          <c:invertIfNegative val="0"/>
          <c:cat>
            <c:strRef>
              <c:f>Sheet1!$A$2:$A$20</c:f>
              <c:strCache>
                <c:ptCount val="1"/>
                <c:pt idx="0">
                  <c:v>Overall Experience</c:v>
                </c:pt>
              </c:strCache>
              <c:extLst/>
            </c:strRef>
          </c:cat>
          <c:val>
            <c:numRef>
              <c:f>Sheet1!$I$2:$I$20</c:f>
              <c:numCache>
                <c:formatCode>0.0%</c:formatCode>
                <c:ptCount val="1"/>
                <c:pt idx="0">
                  <c:v>0.48309178743961351</c:v>
                </c:pt>
              </c:numCache>
              <c:extLst/>
            </c:numRef>
          </c:val>
          <c:extLst>
            <c:ext xmlns:c16="http://schemas.microsoft.com/office/drawing/2014/chart" uri="{C3380CC4-5D6E-409C-BE32-E72D297353CC}">
              <c16:uniqueId val="{00000008-CF64-45EC-B629-1BB1D20D4D95}"/>
            </c:ext>
          </c:extLst>
        </c:ser>
        <c:ser>
          <c:idx val="8"/>
          <c:order val="8"/>
          <c:tx>
            <c:strRef>
              <c:f>Sheet1!$J$1</c:f>
              <c:strCache>
                <c:ptCount val="1"/>
                <c:pt idx="0">
                  <c:v>right blank </c:v>
                </c:pt>
              </c:strCache>
            </c:strRef>
          </c:tx>
          <c:spPr>
            <a:noFill/>
            <a:ln>
              <a:noFill/>
            </a:ln>
            <a:effectLst/>
          </c:spPr>
          <c:invertIfNegative val="0"/>
          <c:cat>
            <c:strRef>
              <c:f>Sheet1!$A$2:$A$20</c:f>
              <c:strCache>
                <c:ptCount val="1"/>
                <c:pt idx="0">
                  <c:v>Overall Experience</c:v>
                </c:pt>
              </c:strCache>
              <c:extLst/>
            </c:strRef>
          </c:cat>
          <c:val>
            <c:numRef>
              <c:f>Sheet1!$J$2:$J$20</c:f>
              <c:numCache>
                <c:formatCode>0.0%</c:formatCode>
                <c:ptCount val="1"/>
                <c:pt idx="0">
                  <c:v>0.19202898550724645</c:v>
                </c:pt>
              </c:numCache>
              <c:extLst/>
            </c:numRef>
          </c:val>
          <c:extLst>
            <c:ext xmlns:c16="http://schemas.microsoft.com/office/drawing/2014/chart" uri="{C3380CC4-5D6E-409C-BE32-E72D297353CC}">
              <c16:uniqueId val="{00000009-CF64-45EC-B629-1BB1D20D4D95}"/>
            </c:ext>
          </c:extLst>
        </c:ser>
        <c:dLbls>
          <c:showLegendKey val="0"/>
          <c:showVal val="0"/>
          <c:showCatName val="0"/>
          <c:showSerName val="0"/>
          <c:showPercent val="0"/>
          <c:showBubbleSize val="0"/>
        </c:dLbls>
        <c:gapWidth val="30"/>
        <c:overlap val="100"/>
        <c:axId val="1310844560"/>
        <c:axId val="1310849480"/>
      </c:barChart>
      <c:catAx>
        <c:axId val="1310844560"/>
        <c:scaling>
          <c:orientation val="minMax"/>
        </c:scaling>
        <c:delete val="0"/>
        <c:axPos val="l"/>
        <c:numFmt formatCode="General" sourceLinked="1"/>
        <c:majorTickMark val="none"/>
        <c:minorTickMark val="none"/>
        <c:tickLblPos val="low"/>
        <c:spPr>
          <a:noFill/>
          <a:ln w="9525" cap="flat" cmpd="sng" algn="ctr">
            <a:solidFill>
              <a:schemeClr val="tx1"/>
            </a:solidFill>
            <a:prstDash val="dash"/>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10849480"/>
        <c:crossesAt val="1"/>
        <c:auto val="1"/>
        <c:lblAlgn val="ctr"/>
        <c:lblOffset val="100"/>
        <c:noMultiLvlLbl val="0"/>
      </c:catAx>
      <c:valAx>
        <c:axId val="1310849480"/>
        <c:scaling>
          <c:orientation val="minMax"/>
          <c:max val="2"/>
        </c:scaling>
        <c:delete val="0"/>
        <c:axPos val="b"/>
        <c:numFmt formatCode="0.0%" sourceLinked="1"/>
        <c:majorTickMark val="none"/>
        <c:minorTickMark val="none"/>
        <c:tickLblPos val="none"/>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844560"/>
        <c:crosses val="autoZero"/>
        <c:crossBetween val="between"/>
      </c:valAx>
      <c:spPr>
        <a:noFill/>
        <a:ln>
          <a:solidFill>
            <a:schemeClr val="tx1"/>
          </a:solidFill>
        </a:ln>
        <a:effectLst/>
      </c:spPr>
    </c:plotArea>
    <c:legend>
      <c:legendPos val="t"/>
      <c:legendEntry>
        <c:idx val="0"/>
        <c:delete val="1"/>
      </c:legendEntry>
      <c:legendEntry>
        <c:idx val="8"/>
        <c:delete val="1"/>
      </c:legendEntry>
      <c:layout>
        <c:manualLayout>
          <c:xMode val="edge"/>
          <c:yMode val="edge"/>
          <c:x val="0.54321420239136786"/>
          <c:y val="0.28282471361789291"/>
          <c:w val="0.2850734908136483"/>
          <c:h val="0.1319375940951543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6672499270925"/>
          <c:y val="0.2250416873020705"/>
          <c:w val="0.65924657334499859"/>
          <c:h val="0.59835886065309341"/>
        </c:manualLayout>
      </c:layout>
      <c:barChart>
        <c:barDir val="bar"/>
        <c:grouping val="stacked"/>
        <c:varyColors val="0"/>
        <c:ser>
          <c:idx val="0"/>
          <c:order val="0"/>
          <c:tx>
            <c:strRef>
              <c:f>Sheet1!$B$1</c:f>
              <c:strCache>
                <c:ptCount val="1"/>
                <c:pt idx="0">
                  <c:v>left blank</c:v>
                </c:pt>
              </c:strCache>
            </c:strRef>
          </c:tx>
          <c:spPr>
            <a:noFill/>
            <a:ln>
              <a:no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Sheet1!$B$2:$B$20</c:f>
              <c:numCache>
                <c:formatCode>0.0%</c:formatCode>
                <c:ptCount val="5"/>
                <c:pt idx="0">
                  <c:v>0.82374541003671975</c:v>
                </c:pt>
                <c:pt idx="1">
                  <c:v>0.76821608040201006</c:v>
                </c:pt>
                <c:pt idx="2">
                  <c:v>0.73131170662905509</c:v>
                </c:pt>
                <c:pt idx="3">
                  <c:v>0.89183937823834203</c:v>
                </c:pt>
                <c:pt idx="4">
                  <c:v>0.79834605597964381</c:v>
                </c:pt>
              </c:numCache>
            </c:numRef>
          </c:val>
          <c:extLst>
            <c:ext xmlns:c16="http://schemas.microsoft.com/office/drawing/2014/chart" uri="{C3380CC4-5D6E-409C-BE32-E72D297353CC}">
              <c16:uniqueId val="{00000000-7694-49F2-9EBE-9BEFC32C6C14}"/>
            </c:ext>
          </c:extLst>
        </c:ser>
        <c:ser>
          <c:idx val="1"/>
          <c:order val="1"/>
          <c:tx>
            <c:strRef>
              <c:f>Sheet1!$C$1</c:f>
              <c:strCache>
                <c:ptCount val="1"/>
                <c:pt idx="0">
                  <c:v>1</c:v>
                </c:pt>
              </c:strCache>
            </c:strRef>
          </c:tx>
          <c:spPr>
            <a:solidFill>
              <a:schemeClr val="accent2"/>
            </a:solidFill>
            <a:ln>
              <a:solidFill>
                <a:schemeClr val="tx1"/>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Sheet1!$C$2:$C$20</c:f>
              <c:numCache>
                <c:formatCode>0.0%</c:formatCode>
                <c:ptCount val="5"/>
                <c:pt idx="0">
                  <c:v>8.3231334149326805E-2</c:v>
                </c:pt>
                <c:pt idx="1">
                  <c:v>0.11055276381909548</c:v>
                </c:pt>
                <c:pt idx="2">
                  <c:v>0.1382228490832158</c:v>
                </c:pt>
                <c:pt idx="3">
                  <c:v>4.9222797927461141E-2</c:v>
                </c:pt>
                <c:pt idx="4">
                  <c:v>9.5419847328244281E-2</c:v>
                </c:pt>
              </c:numCache>
            </c:numRef>
          </c:val>
          <c:extLst>
            <c:ext xmlns:c16="http://schemas.microsoft.com/office/drawing/2014/chart" uri="{C3380CC4-5D6E-409C-BE32-E72D297353CC}">
              <c16:uniqueId val="{00000001-7694-49F2-9EBE-9BEFC32C6C14}"/>
            </c:ext>
          </c:extLst>
        </c:ser>
        <c:ser>
          <c:idx val="2"/>
          <c:order val="2"/>
          <c:tx>
            <c:strRef>
              <c:f>Sheet1!$D$1</c:f>
              <c:strCache>
                <c:ptCount val="1"/>
                <c:pt idx="0">
                  <c:v>2</c:v>
                </c:pt>
              </c:strCache>
            </c:strRef>
          </c:tx>
          <c:spPr>
            <a:solidFill>
              <a:schemeClr val="accent2">
                <a:alpha val="70000"/>
              </a:schemeClr>
            </a:solidFill>
            <a:ln>
              <a:solidFill>
                <a:schemeClr val="tx2"/>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Sheet1!$D$2:$D$20</c:f>
              <c:numCache>
                <c:formatCode>0.0%</c:formatCode>
                <c:ptCount val="5"/>
                <c:pt idx="0">
                  <c:v>3.4271725826193387E-2</c:v>
                </c:pt>
                <c:pt idx="1">
                  <c:v>3.2663316582914576E-2</c:v>
                </c:pt>
                <c:pt idx="2">
                  <c:v>3.9492242595204514E-2</c:v>
                </c:pt>
                <c:pt idx="3">
                  <c:v>1.8134715025906734E-2</c:v>
                </c:pt>
                <c:pt idx="4">
                  <c:v>3.8167938931297711E-2</c:v>
                </c:pt>
              </c:numCache>
            </c:numRef>
          </c:val>
          <c:extLst>
            <c:ext xmlns:c16="http://schemas.microsoft.com/office/drawing/2014/chart" uri="{C3380CC4-5D6E-409C-BE32-E72D297353CC}">
              <c16:uniqueId val="{00000002-7694-49F2-9EBE-9BEFC32C6C14}"/>
            </c:ext>
          </c:extLst>
        </c:ser>
        <c:ser>
          <c:idx val="3"/>
          <c:order val="3"/>
          <c:tx>
            <c:strRef>
              <c:f>Sheet1!$E$1</c:f>
              <c:strCache>
                <c:ptCount val="1"/>
                <c:pt idx="0">
                  <c:v>3</c:v>
                </c:pt>
              </c:strCache>
            </c:strRef>
          </c:tx>
          <c:spPr>
            <a:solidFill>
              <a:schemeClr val="accent2">
                <a:alpha val="40000"/>
              </a:schemeClr>
            </a:solidFill>
            <a:ln>
              <a:solidFill>
                <a:schemeClr val="tx2"/>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Sheet1!$E$2:$E$20</c:f>
              <c:numCache>
                <c:formatCode>0.0%</c:formatCode>
                <c:ptCount val="5"/>
                <c:pt idx="0">
                  <c:v>4.1615667074663402E-2</c:v>
                </c:pt>
                <c:pt idx="1">
                  <c:v>5.2763819095477386E-2</c:v>
                </c:pt>
                <c:pt idx="2">
                  <c:v>5.7827926657263752E-2</c:v>
                </c:pt>
                <c:pt idx="3">
                  <c:v>2.3316062176165803E-2</c:v>
                </c:pt>
                <c:pt idx="4">
                  <c:v>4.3256997455470736E-2</c:v>
                </c:pt>
              </c:numCache>
            </c:numRef>
          </c:val>
          <c:extLst>
            <c:ext xmlns:c16="http://schemas.microsoft.com/office/drawing/2014/chart" uri="{C3380CC4-5D6E-409C-BE32-E72D297353CC}">
              <c16:uniqueId val="{00000003-7694-49F2-9EBE-9BEFC32C6C14}"/>
            </c:ext>
          </c:extLst>
        </c:ser>
        <c:ser>
          <c:idx val="4"/>
          <c:order val="4"/>
          <c:tx>
            <c:strRef>
              <c:f>Sheet1!$F$1</c:f>
              <c:strCache>
                <c:ptCount val="1"/>
                <c:pt idx="0">
                  <c:v>4</c:v>
                </c:pt>
              </c:strCache>
            </c:strRef>
          </c:tx>
          <c:spPr>
            <a:solidFill>
              <a:schemeClr val="accent2">
                <a:alpha val="15000"/>
              </a:schemeClr>
            </a:solidFill>
            <a:ln>
              <a:solidFill>
                <a:schemeClr val="tx2"/>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Sheet1!$F$2:$F$20</c:f>
              <c:numCache>
                <c:formatCode>0.0%</c:formatCode>
                <c:ptCount val="5"/>
                <c:pt idx="0">
                  <c:v>3.4271725826193387E-2</c:v>
                </c:pt>
                <c:pt idx="1">
                  <c:v>7.160804020100503E-2</c:v>
                </c:pt>
                <c:pt idx="2">
                  <c:v>6.6290550070521856E-2</c:v>
                </c:pt>
                <c:pt idx="3">
                  <c:v>3.4974093264248704E-2</c:v>
                </c:pt>
                <c:pt idx="4">
                  <c:v>4.9618320610687022E-2</c:v>
                </c:pt>
              </c:numCache>
            </c:numRef>
          </c:val>
          <c:extLst>
            <c:ext xmlns:c16="http://schemas.microsoft.com/office/drawing/2014/chart" uri="{C3380CC4-5D6E-409C-BE32-E72D297353CC}">
              <c16:uniqueId val="{00000004-7694-49F2-9EBE-9BEFC32C6C14}"/>
            </c:ext>
          </c:extLst>
        </c:ser>
        <c:ser>
          <c:idx val="5"/>
          <c:order val="5"/>
          <c:tx>
            <c:strRef>
              <c:f>Sheet1!$G$1</c:f>
              <c:strCache>
                <c:ptCount val="1"/>
                <c:pt idx="0">
                  <c:v>5</c:v>
                </c:pt>
              </c:strCache>
            </c:strRef>
          </c:tx>
          <c:spPr>
            <a:solidFill>
              <a:schemeClr val="accent1">
                <a:alpha val="40000"/>
              </a:schemeClr>
            </a:solidFill>
            <a:ln>
              <a:solidFill>
                <a:schemeClr val="tx2"/>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Sheet1!$G$2:$G$20</c:f>
              <c:numCache>
                <c:formatCode>0.0%</c:formatCode>
                <c:ptCount val="5"/>
                <c:pt idx="0">
                  <c:v>0.10526315789473684</c:v>
                </c:pt>
                <c:pt idx="1">
                  <c:v>0.10050251256281408</c:v>
                </c:pt>
                <c:pt idx="2">
                  <c:v>0.11424541607898449</c:v>
                </c:pt>
                <c:pt idx="3">
                  <c:v>4.9222797927461141E-2</c:v>
                </c:pt>
                <c:pt idx="4">
                  <c:v>0.10814249363867684</c:v>
                </c:pt>
              </c:numCache>
            </c:numRef>
          </c:val>
          <c:extLst>
            <c:ext xmlns:c16="http://schemas.microsoft.com/office/drawing/2014/chart" uri="{C3380CC4-5D6E-409C-BE32-E72D297353CC}">
              <c16:uniqueId val="{00000005-7694-49F2-9EBE-9BEFC32C6C14}"/>
            </c:ext>
          </c:extLst>
        </c:ser>
        <c:ser>
          <c:idx val="6"/>
          <c:order val="6"/>
          <c:tx>
            <c:strRef>
              <c:f>Sheet1!$H$1</c:f>
              <c:strCache>
                <c:ptCount val="1"/>
                <c:pt idx="0">
                  <c:v>6</c:v>
                </c:pt>
              </c:strCache>
            </c:strRef>
          </c:tx>
          <c:spPr>
            <a:solidFill>
              <a:schemeClr val="accent1">
                <a:alpha val="70000"/>
              </a:schemeClr>
            </a:solidFill>
            <a:ln>
              <a:solidFill>
                <a:schemeClr val="tx1"/>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Sheet1!$H$2:$H$20</c:f>
              <c:numCache>
                <c:formatCode>0.0%</c:formatCode>
                <c:ptCount val="5"/>
                <c:pt idx="0">
                  <c:v>0.16034271725826194</c:v>
                </c:pt>
                <c:pt idx="1">
                  <c:v>0.17713567839195979</c:v>
                </c:pt>
                <c:pt idx="2">
                  <c:v>0.15373765867418901</c:v>
                </c:pt>
                <c:pt idx="3">
                  <c:v>0.11139896373056994</c:v>
                </c:pt>
                <c:pt idx="4">
                  <c:v>0.14122137404580154</c:v>
                </c:pt>
              </c:numCache>
            </c:numRef>
          </c:val>
          <c:extLst>
            <c:ext xmlns:c16="http://schemas.microsoft.com/office/drawing/2014/chart" uri="{C3380CC4-5D6E-409C-BE32-E72D297353CC}">
              <c16:uniqueId val="{00000006-7694-49F2-9EBE-9BEFC32C6C14}"/>
            </c:ext>
          </c:extLst>
        </c:ser>
        <c:ser>
          <c:idx val="7"/>
          <c:order val="7"/>
          <c:tx>
            <c:strRef>
              <c:f>Sheet1!$I$1</c:f>
              <c:strCache>
                <c:ptCount val="1"/>
                <c:pt idx="0">
                  <c:v>7</c:v>
                </c:pt>
              </c:strCache>
            </c:strRef>
          </c:tx>
          <c:spPr>
            <a:solidFill>
              <a:schemeClr val="accent1"/>
            </a:solidFill>
            <a:ln>
              <a:solidFill>
                <a:schemeClr val="tx1"/>
              </a:solid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Sheet1!$I$2:$I$20</c:f>
              <c:numCache>
                <c:formatCode>0.0%</c:formatCode>
                <c:ptCount val="5"/>
                <c:pt idx="0">
                  <c:v>0.54100367197062427</c:v>
                </c:pt>
                <c:pt idx="1">
                  <c:v>0.45477386934673369</c:v>
                </c:pt>
                <c:pt idx="2">
                  <c:v>0.43018335684062059</c:v>
                </c:pt>
                <c:pt idx="3">
                  <c:v>0.71373056994818651</c:v>
                </c:pt>
                <c:pt idx="4">
                  <c:v>0.5241730279898219</c:v>
                </c:pt>
              </c:numCache>
            </c:numRef>
          </c:val>
          <c:extLst>
            <c:ext xmlns:c16="http://schemas.microsoft.com/office/drawing/2014/chart" uri="{C3380CC4-5D6E-409C-BE32-E72D297353CC}">
              <c16:uniqueId val="{00000007-7694-49F2-9EBE-9BEFC32C6C14}"/>
            </c:ext>
          </c:extLst>
        </c:ser>
        <c:ser>
          <c:idx val="8"/>
          <c:order val="8"/>
          <c:tx>
            <c:strRef>
              <c:f>Sheet1!$J$1</c:f>
              <c:strCache>
                <c:ptCount val="1"/>
                <c:pt idx="0">
                  <c:v>right blank </c:v>
                </c:pt>
              </c:strCache>
            </c:strRef>
          </c:tx>
          <c:spPr>
            <a:noFill/>
            <a:ln>
              <a:noFill/>
            </a:ln>
            <a:effectLst/>
          </c:spPr>
          <c:invertIfNegative val="0"/>
          <c:cat>
            <c:strRef>
              <c:f>Sheet1!$A$2:$A$20</c:f>
              <c:strCache>
                <c:ptCount val="5"/>
                <c:pt idx="0">
                  <c:v>Understands Needs</c:v>
                </c:pt>
                <c:pt idx="1">
                  <c:v>Disability Guidance</c:v>
                </c:pt>
                <c:pt idx="2">
                  <c:v>Employment Guidance</c:v>
                </c:pt>
                <c:pt idx="3">
                  <c:v>Respectful</c:v>
                </c:pt>
                <c:pt idx="4">
                  <c:v>Timely Responses</c:v>
                </c:pt>
              </c:strCache>
            </c:strRef>
          </c:cat>
          <c:val>
            <c:numRef>
              <c:f>Sheet1!$J$2:$J$20</c:f>
              <c:numCache>
                <c:formatCode>0.0%</c:formatCode>
                <c:ptCount val="5"/>
                <c:pt idx="0">
                  <c:v>0.17625458996328025</c:v>
                </c:pt>
                <c:pt idx="1">
                  <c:v>0.23178391959798994</c:v>
                </c:pt>
                <c:pt idx="2">
                  <c:v>0.26868829337094502</c:v>
                </c:pt>
                <c:pt idx="3">
                  <c:v>0.10816062176165819</c:v>
                </c:pt>
                <c:pt idx="4">
                  <c:v>0.20165394402035619</c:v>
                </c:pt>
              </c:numCache>
            </c:numRef>
          </c:val>
          <c:extLst>
            <c:ext xmlns:c16="http://schemas.microsoft.com/office/drawing/2014/chart" uri="{C3380CC4-5D6E-409C-BE32-E72D297353CC}">
              <c16:uniqueId val="{00000008-7694-49F2-9EBE-9BEFC32C6C14}"/>
            </c:ext>
          </c:extLst>
        </c:ser>
        <c:dLbls>
          <c:showLegendKey val="0"/>
          <c:showVal val="0"/>
          <c:showCatName val="0"/>
          <c:showSerName val="0"/>
          <c:showPercent val="0"/>
          <c:showBubbleSize val="0"/>
        </c:dLbls>
        <c:gapWidth val="40"/>
        <c:overlap val="100"/>
        <c:axId val="1310844560"/>
        <c:axId val="1310849480"/>
      </c:barChart>
      <c:catAx>
        <c:axId val="1310844560"/>
        <c:scaling>
          <c:orientation val="maxMin"/>
        </c:scaling>
        <c:delete val="0"/>
        <c:axPos val="l"/>
        <c:numFmt formatCode="General" sourceLinked="1"/>
        <c:majorTickMark val="none"/>
        <c:minorTickMark val="none"/>
        <c:tickLblPos val="low"/>
        <c:spPr>
          <a:noFill/>
          <a:ln w="9525" cap="flat" cmpd="sng" algn="ctr">
            <a:solidFill>
              <a:schemeClr val="tx2"/>
            </a:solidFill>
            <a:prstDash val="dash"/>
            <a:round/>
          </a:ln>
          <a:effectLst/>
        </c:spPr>
        <c:txPr>
          <a:bodyPr rot="-600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crossAx val="1310849480"/>
        <c:crossesAt val="1"/>
        <c:auto val="1"/>
        <c:lblAlgn val="ctr"/>
        <c:lblOffset val="100"/>
        <c:noMultiLvlLbl val="0"/>
      </c:catAx>
      <c:valAx>
        <c:axId val="1310849480"/>
        <c:scaling>
          <c:orientation val="minMax"/>
          <c:max val="2"/>
        </c:scaling>
        <c:delete val="0"/>
        <c:axPos val="t"/>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10844560"/>
        <c:crosses val="autoZero"/>
        <c:crossBetween val="between"/>
      </c:valAx>
      <c:spPr>
        <a:noFill/>
        <a:ln>
          <a:solidFill>
            <a:schemeClr val="tx2"/>
          </a:solidFill>
        </a:ln>
        <a:effectLst/>
      </c:spPr>
    </c:plotArea>
    <c:legend>
      <c:legendPos val="t"/>
      <c:legendEntry>
        <c:idx val="0"/>
        <c:delete val="1"/>
      </c:legendEntry>
      <c:legendEntry>
        <c:idx val="8"/>
        <c:delete val="1"/>
      </c:legendEntry>
      <c:layout>
        <c:manualLayout>
          <c:xMode val="edge"/>
          <c:yMode val="edge"/>
          <c:x val="0.50742475940507437"/>
          <c:y val="0.13704422261700841"/>
          <c:w val="0.28820968212306797"/>
          <c:h val="7.3854373544553223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solidFill>
            <a:schemeClr val="tx1"/>
          </a:solidFill>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27471566054245"/>
          <c:y val="0.26324038015103707"/>
          <c:w val="0.64507334499854185"/>
          <c:h val="0.55358556714706697"/>
        </c:manualLayout>
      </c:layout>
      <c:barChart>
        <c:barDir val="bar"/>
        <c:grouping val="stacked"/>
        <c:varyColors val="0"/>
        <c:ser>
          <c:idx val="0"/>
          <c:order val="0"/>
          <c:tx>
            <c:strRef>
              <c:f>Sheet1!$B$1</c:f>
              <c:strCache>
                <c:ptCount val="1"/>
                <c:pt idx="0">
                  <c:v>left blank</c:v>
                </c:pt>
              </c:strCache>
            </c:strRef>
          </c:tx>
          <c:spPr>
            <a:noFill/>
            <a:ln>
              <a:no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Sheet1!$B$2:$B$20</c:f>
              <c:numCache>
                <c:formatCode>0.0%</c:formatCode>
                <c:ptCount val="4"/>
                <c:pt idx="0">
                  <c:v>0.79838709677419351</c:v>
                </c:pt>
                <c:pt idx="1">
                  <c:v>0.81556802244039273</c:v>
                </c:pt>
                <c:pt idx="2">
                  <c:v>0.89548022598870058</c:v>
                </c:pt>
                <c:pt idx="3">
                  <c:v>0.82884097035040427</c:v>
                </c:pt>
              </c:numCache>
            </c:numRef>
          </c:val>
          <c:extLst>
            <c:ext xmlns:c16="http://schemas.microsoft.com/office/drawing/2014/chart" uri="{C3380CC4-5D6E-409C-BE32-E72D297353CC}">
              <c16:uniqueId val="{00000000-86B9-4065-994C-396FE3C866CD}"/>
            </c:ext>
          </c:extLst>
        </c:ser>
        <c:ser>
          <c:idx val="1"/>
          <c:order val="1"/>
          <c:tx>
            <c:strRef>
              <c:f>Sheet1!$C$1</c:f>
              <c:strCache>
                <c:ptCount val="1"/>
                <c:pt idx="0">
                  <c:v>1</c:v>
                </c:pt>
              </c:strCache>
            </c:strRef>
          </c:tx>
          <c:spPr>
            <a:solidFill>
              <a:schemeClr val="accent2"/>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Sheet1!$C$2:$C$20</c:f>
              <c:numCache>
                <c:formatCode>0.0%</c:formatCode>
                <c:ptCount val="4"/>
                <c:pt idx="0">
                  <c:v>8.1885856079404462E-2</c:v>
                </c:pt>
                <c:pt idx="1">
                  <c:v>7.2931276297335201E-2</c:v>
                </c:pt>
                <c:pt idx="2">
                  <c:v>4.2372881355932202E-2</c:v>
                </c:pt>
                <c:pt idx="3">
                  <c:v>7.4123989218328842E-2</c:v>
                </c:pt>
              </c:numCache>
            </c:numRef>
          </c:val>
          <c:extLst>
            <c:ext xmlns:c16="http://schemas.microsoft.com/office/drawing/2014/chart" uri="{C3380CC4-5D6E-409C-BE32-E72D297353CC}">
              <c16:uniqueId val="{00000001-86B9-4065-994C-396FE3C866CD}"/>
            </c:ext>
          </c:extLst>
        </c:ser>
        <c:ser>
          <c:idx val="2"/>
          <c:order val="2"/>
          <c:tx>
            <c:strRef>
              <c:f>Sheet1!$D$1</c:f>
              <c:strCache>
                <c:ptCount val="1"/>
                <c:pt idx="0">
                  <c:v>2</c:v>
                </c:pt>
              </c:strCache>
            </c:strRef>
          </c:tx>
          <c:spPr>
            <a:solidFill>
              <a:schemeClr val="accent2">
                <a:alpha val="70000"/>
              </a:schemeClr>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Sheet1!$D$2:$D$20</c:f>
              <c:numCache>
                <c:formatCode>0.0%</c:formatCode>
                <c:ptCount val="4"/>
                <c:pt idx="0">
                  <c:v>2.9776674937965261E-2</c:v>
                </c:pt>
                <c:pt idx="1">
                  <c:v>3.0855539971949508E-2</c:v>
                </c:pt>
                <c:pt idx="2">
                  <c:v>1.6949152542372881E-2</c:v>
                </c:pt>
                <c:pt idx="3">
                  <c:v>2.6954177897574125E-2</c:v>
                </c:pt>
              </c:numCache>
            </c:numRef>
          </c:val>
          <c:extLst>
            <c:ext xmlns:c16="http://schemas.microsoft.com/office/drawing/2014/chart" uri="{C3380CC4-5D6E-409C-BE32-E72D297353CC}">
              <c16:uniqueId val="{00000002-86B9-4065-994C-396FE3C866CD}"/>
            </c:ext>
          </c:extLst>
        </c:ser>
        <c:ser>
          <c:idx val="3"/>
          <c:order val="3"/>
          <c:tx>
            <c:strRef>
              <c:f>Sheet1!$E$1</c:f>
              <c:strCache>
                <c:ptCount val="1"/>
                <c:pt idx="0">
                  <c:v>3</c:v>
                </c:pt>
              </c:strCache>
            </c:strRef>
          </c:tx>
          <c:spPr>
            <a:solidFill>
              <a:schemeClr val="accent2">
                <a:alpha val="40000"/>
              </a:schemeClr>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Sheet1!$E$2:$E$20</c:f>
              <c:numCache>
                <c:formatCode>0.0%</c:formatCode>
                <c:ptCount val="4"/>
                <c:pt idx="0">
                  <c:v>4.7146401985111663E-2</c:v>
                </c:pt>
                <c:pt idx="1">
                  <c:v>5.3295932678821878E-2</c:v>
                </c:pt>
                <c:pt idx="2">
                  <c:v>3.2485875706214688E-2</c:v>
                </c:pt>
                <c:pt idx="3">
                  <c:v>3.7735849056603772E-2</c:v>
                </c:pt>
              </c:numCache>
            </c:numRef>
          </c:val>
          <c:extLst>
            <c:ext xmlns:c16="http://schemas.microsoft.com/office/drawing/2014/chart" uri="{C3380CC4-5D6E-409C-BE32-E72D297353CC}">
              <c16:uniqueId val="{00000003-86B9-4065-994C-396FE3C866CD}"/>
            </c:ext>
          </c:extLst>
        </c:ser>
        <c:ser>
          <c:idx val="4"/>
          <c:order val="4"/>
          <c:tx>
            <c:strRef>
              <c:f>Sheet1!$F$1</c:f>
              <c:strCache>
                <c:ptCount val="1"/>
                <c:pt idx="0">
                  <c:v>4</c:v>
                </c:pt>
              </c:strCache>
            </c:strRef>
          </c:tx>
          <c:spPr>
            <a:solidFill>
              <a:schemeClr val="accent2">
                <a:alpha val="15000"/>
              </a:schemeClr>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Sheet1!$F$2:$F$20</c:f>
              <c:numCache>
                <c:formatCode>0.0%</c:formatCode>
                <c:ptCount val="4"/>
                <c:pt idx="0">
                  <c:v>8.5607940446650127E-2</c:v>
                </c:pt>
                <c:pt idx="1">
                  <c:v>5.4698457223001401E-2</c:v>
                </c:pt>
                <c:pt idx="2">
                  <c:v>2.5423728813559324E-2</c:v>
                </c:pt>
                <c:pt idx="3">
                  <c:v>6.4690026954177901E-2</c:v>
                </c:pt>
              </c:numCache>
            </c:numRef>
          </c:val>
          <c:extLst>
            <c:ext xmlns:c16="http://schemas.microsoft.com/office/drawing/2014/chart" uri="{C3380CC4-5D6E-409C-BE32-E72D297353CC}">
              <c16:uniqueId val="{00000004-86B9-4065-994C-396FE3C866CD}"/>
            </c:ext>
          </c:extLst>
        </c:ser>
        <c:ser>
          <c:idx val="5"/>
          <c:order val="5"/>
          <c:tx>
            <c:strRef>
              <c:f>Sheet1!$G$1</c:f>
              <c:strCache>
                <c:ptCount val="1"/>
                <c:pt idx="0">
                  <c:v>5</c:v>
                </c:pt>
              </c:strCache>
            </c:strRef>
          </c:tx>
          <c:spPr>
            <a:solidFill>
              <a:schemeClr val="accent1">
                <a:alpha val="40000"/>
              </a:schemeClr>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Sheet1!$G$2:$G$20</c:f>
              <c:numCache>
                <c:formatCode>0.0%</c:formatCode>
                <c:ptCount val="4"/>
                <c:pt idx="0">
                  <c:v>0.18486352357320099</c:v>
                </c:pt>
                <c:pt idx="1">
                  <c:v>0.11500701262272089</c:v>
                </c:pt>
                <c:pt idx="2">
                  <c:v>8.1920903954802254E-2</c:v>
                </c:pt>
                <c:pt idx="3">
                  <c:v>0.1091644204851752</c:v>
                </c:pt>
              </c:numCache>
            </c:numRef>
          </c:val>
          <c:extLst>
            <c:ext xmlns:c16="http://schemas.microsoft.com/office/drawing/2014/chart" uri="{C3380CC4-5D6E-409C-BE32-E72D297353CC}">
              <c16:uniqueId val="{00000005-86B9-4065-994C-396FE3C866CD}"/>
            </c:ext>
          </c:extLst>
        </c:ser>
        <c:ser>
          <c:idx val="6"/>
          <c:order val="6"/>
          <c:tx>
            <c:strRef>
              <c:f>Sheet1!$H$1</c:f>
              <c:strCache>
                <c:ptCount val="1"/>
                <c:pt idx="0">
                  <c:v>6</c:v>
                </c:pt>
              </c:strCache>
            </c:strRef>
          </c:tx>
          <c:spPr>
            <a:solidFill>
              <a:schemeClr val="accent1">
                <a:alpha val="70000"/>
              </a:schemeClr>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Sheet1!$H$2:$H$20</c:f>
              <c:numCache>
                <c:formatCode>0.0%</c:formatCode>
                <c:ptCount val="4"/>
                <c:pt idx="0">
                  <c:v>0.43548387096774194</c:v>
                </c:pt>
                <c:pt idx="1">
                  <c:v>0.17671809256661991</c:v>
                </c:pt>
                <c:pt idx="2">
                  <c:v>0.15112994350282485</c:v>
                </c:pt>
                <c:pt idx="3">
                  <c:v>0.17789757412398921</c:v>
                </c:pt>
              </c:numCache>
            </c:numRef>
          </c:val>
          <c:extLst>
            <c:ext xmlns:c16="http://schemas.microsoft.com/office/drawing/2014/chart" uri="{C3380CC4-5D6E-409C-BE32-E72D297353CC}">
              <c16:uniqueId val="{00000006-86B9-4065-994C-396FE3C866CD}"/>
            </c:ext>
          </c:extLst>
        </c:ser>
        <c:ser>
          <c:idx val="7"/>
          <c:order val="7"/>
          <c:tx>
            <c:strRef>
              <c:f>Sheet1!$I$1</c:f>
              <c:strCache>
                <c:ptCount val="1"/>
                <c:pt idx="0">
                  <c:v>7</c:v>
                </c:pt>
              </c:strCache>
            </c:strRef>
          </c:tx>
          <c:spPr>
            <a:solidFill>
              <a:schemeClr val="accent1"/>
            </a:solidFill>
            <a:ln>
              <a:solidFill>
                <a:schemeClr val="tx2"/>
              </a:solid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Sheet1!$I$2:$I$20</c:f>
              <c:numCache>
                <c:formatCode>0.0%</c:formatCode>
                <c:ptCount val="4"/>
                <c:pt idx="0">
                  <c:v>0.13523573200992556</c:v>
                </c:pt>
                <c:pt idx="1">
                  <c:v>0.49649368863955118</c:v>
                </c:pt>
                <c:pt idx="2">
                  <c:v>0.64971751412429379</c:v>
                </c:pt>
                <c:pt idx="3">
                  <c:v>0.50943396226415094</c:v>
                </c:pt>
              </c:numCache>
            </c:numRef>
          </c:val>
          <c:extLst>
            <c:ext xmlns:c16="http://schemas.microsoft.com/office/drawing/2014/chart" uri="{C3380CC4-5D6E-409C-BE32-E72D297353CC}">
              <c16:uniqueId val="{00000007-86B9-4065-994C-396FE3C866CD}"/>
            </c:ext>
          </c:extLst>
        </c:ser>
        <c:ser>
          <c:idx val="8"/>
          <c:order val="8"/>
          <c:tx>
            <c:strRef>
              <c:f>Sheet1!$J$1</c:f>
              <c:strCache>
                <c:ptCount val="1"/>
                <c:pt idx="0">
                  <c:v>right blank </c:v>
                </c:pt>
              </c:strCache>
            </c:strRef>
          </c:tx>
          <c:spPr>
            <a:noFill/>
            <a:ln>
              <a:noFill/>
            </a:ln>
            <a:effectLst/>
          </c:spPr>
          <c:invertIfNegative val="0"/>
          <c:cat>
            <c:strRef>
              <c:f>Sheet1!$A$2:$A$20</c:f>
              <c:strCache>
                <c:ptCount val="4"/>
                <c:pt idx="0">
                  <c:v>Overall Satisfaction</c:v>
                </c:pt>
                <c:pt idx="1">
                  <c:v>Understands Disability</c:v>
                </c:pt>
                <c:pt idx="2">
                  <c:v>Respectful</c:v>
                </c:pt>
                <c:pt idx="3">
                  <c:v>Timely Responses</c:v>
                </c:pt>
              </c:strCache>
            </c:strRef>
          </c:cat>
          <c:val>
            <c:numRef>
              <c:f>Sheet1!$J$2:$J$20</c:f>
              <c:numCache>
                <c:formatCode>0.0%</c:formatCode>
                <c:ptCount val="4"/>
                <c:pt idx="0">
                  <c:v>0.20161290322580638</c:v>
                </c:pt>
                <c:pt idx="1">
                  <c:v>0.18443197755960727</c:v>
                </c:pt>
                <c:pt idx="2">
                  <c:v>0.10451977401129953</c:v>
                </c:pt>
                <c:pt idx="3">
                  <c:v>0.17115902964959573</c:v>
                </c:pt>
              </c:numCache>
            </c:numRef>
          </c:val>
          <c:extLst>
            <c:ext xmlns:c16="http://schemas.microsoft.com/office/drawing/2014/chart" uri="{C3380CC4-5D6E-409C-BE32-E72D297353CC}">
              <c16:uniqueId val="{00000008-86B9-4065-994C-396FE3C866CD}"/>
            </c:ext>
          </c:extLst>
        </c:ser>
        <c:dLbls>
          <c:showLegendKey val="0"/>
          <c:showVal val="0"/>
          <c:showCatName val="0"/>
          <c:showSerName val="0"/>
          <c:showPercent val="0"/>
          <c:showBubbleSize val="0"/>
        </c:dLbls>
        <c:gapWidth val="30"/>
        <c:overlap val="100"/>
        <c:axId val="1310844560"/>
        <c:axId val="1310849480"/>
      </c:barChart>
      <c:catAx>
        <c:axId val="1310844560"/>
        <c:scaling>
          <c:orientation val="maxMin"/>
        </c:scaling>
        <c:delete val="0"/>
        <c:axPos val="l"/>
        <c:numFmt formatCode="General" sourceLinked="1"/>
        <c:majorTickMark val="none"/>
        <c:minorTickMark val="none"/>
        <c:tickLblPos val="low"/>
        <c:spPr>
          <a:noFill/>
          <a:ln w="9525" cap="flat" cmpd="sng" algn="ctr">
            <a:solidFill>
              <a:schemeClr val="tx1"/>
            </a:solidFill>
            <a:prstDash val="dash"/>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10849480"/>
        <c:crossesAt val="1"/>
        <c:auto val="1"/>
        <c:lblAlgn val="ctr"/>
        <c:lblOffset val="100"/>
        <c:noMultiLvlLbl val="0"/>
      </c:catAx>
      <c:valAx>
        <c:axId val="1310849480"/>
        <c:scaling>
          <c:orientation val="minMax"/>
          <c:max val="2"/>
        </c:scaling>
        <c:delete val="0"/>
        <c:axPos val="t"/>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844560"/>
        <c:crosses val="autoZero"/>
        <c:crossBetween val="between"/>
      </c:valAx>
      <c:spPr>
        <a:noFill/>
        <a:ln>
          <a:solidFill>
            <a:schemeClr val="tx1"/>
          </a:solidFill>
        </a:ln>
        <a:effectLst/>
      </c:spPr>
    </c:plotArea>
    <c:legend>
      <c:legendPos val="t"/>
      <c:legendEntry>
        <c:idx val="0"/>
        <c:delete val="1"/>
      </c:legendEntry>
      <c:legendEntry>
        <c:idx val="8"/>
        <c:delete val="1"/>
      </c:legendEntry>
      <c:layout>
        <c:manualLayout>
          <c:xMode val="edge"/>
          <c:yMode val="edge"/>
          <c:x val="0.5062187226596675"/>
          <c:y val="0.17151806709092868"/>
          <c:w val="0.29013575386410034"/>
          <c:h val="8.176748494673459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803834937299502"/>
          <c:y val="0.26330832418049899"/>
          <c:w val="0.54020953630796154"/>
          <c:h val="0.55489658586389867"/>
        </c:manualLayout>
      </c:layout>
      <c:barChart>
        <c:barDir val="bar"/>
        <c:grouping val="stacked"/>
        <c:varyColors val="0"/>
        <c:ser>
          <c:idx val="0"/>
          <c:order val="0"/>
          <c:tx>
            <c:strRef>
              <c:f>Sheet1!$B$1</c:f>
              <c:strCache>
                <c:ptCount val="1"/>
                <c:pt idx="0">
                  <c:v>left blank</c:v>
                </c:pt>
              </c:strCache>
            </c:strRef>
          </c:tx>
          <c:spPr>
            <a:noFill/>
            <a:ln>
              <a:no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Sheet1!$B$2:$B$20</c:f>
              <c:numCache>
                <c:formatCode>0.0%</c:formatCode>
                <c:ptCount val="4"/>
                <c:pt idx="0">
                  <c:v>0.78427419354838712</c:v>
                </c:pt>
                <c:pt idx="1">
                  <c:v>0.75859697386519942</c:v>
                </c:pt>
                <c:pt idx="2">
                  <c:v>0.82430555555555562</c:v>
                </c:pt>
                <c:pt idx="3">
                  <c:v>0.75799086757990874</c:v>
                </c:pt>
              </c:numCache>
            </c:numRef>
          </c:val>
          <c:extLst>
            <c:ext xmlns:c16="http://schemas.microsoft.com/office/drawing/2014/chart" uri="{C3380CC4-5D6E-409C-BE32-E72D297353CC}">
              <c16:uniqueId val="{00000000-DA04-4614-877A-63FBD36B29C0}"/>
            </c:ext>
          </c:extLst>
        </c:ser>
        <c:ser>
          <c:idx val="1"/>
          <c:order val="1"/>
          <c:tx>
            <c:strRef>
              <c:f>Sheet1!$C$1</c:f>
              <c:strCache>
                <c:ptCount val="1"/>
                <c:pt idx="0">
                  <c:v>1</c:v>
                </c:pt>
              </c:strCache>
            </c:strRef>
          </c:tx>
          <c:spPr>
            <a:solidFill>
              <a:schemeClr val="accent2"/>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Sheet1!$C$2:$C$20</c:f>
              <c:numCache>
                <c:formatCode>0.0%</c:formatCode>
                <c:ptCount val="4"/>
                <c:pt idx="0">
                  <c:v>0.10483870967741936</c:v>
                </c:pt>
                <c:pt idx="1">
                  <c:v>0.13342503438789546</c:v>
                </c:pt>
                <c:pt idx="2">
                  <c:v>8.0555555555555561E-2</c:v>
                </c:pt>
                <c:pt idx="3">
                  <c:v>0.1095890410958904</c:v>
                </c:pt>
              </c:numCache>
            </c:numRef>
          </c:val>
          <c:extLst>
            <c:ext xmlns:c16="http://schemas.microsoft.com/office/drawing/2014/chart" uri="{C3380CC4-5D6E-409C-BE32-E72D297353CC}">
              <c16:uniqueId val="{00000001-DA04-4614-877A-63FBD36B29C0}"/>
            </c:ext>
          </c:extLst>
        </c:ser>
        <c:ser>
          <c:idx val="2"/>
          <c:order val="2"/>
          <c:tx>
            <c:strRef>
              <c:f>Sheet1!$D$1</c:f>
              <c:strCache>
                <c:ptCount val="1"/>
                <c:pt idx="0">
                  <c:v>2</c:v>
                </c:pt>
              </c:strCache>
            </c:strRef>
          </c:tx>
          <c:spPr>
            <a:solidFill>
              <a:schemeClr val="accent2">
                <a:alpha val="70000"/>
              </a:schemeClr>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Sheet1!$D$2:$D$20</c:f>
              <c:numCache>
                <c:formatCode>0.0%</c:formatCode>
                <c:ptCount val="4"/>
                <c:pt idx="0">
                  <c:v>3.4946236559139782E-2</c:v>
                </c:pt>
                <c:pt idx="1">
                  <c:v>3.8514442916093537E-2</c:v>
                </c:pt>
                <c:pt idx="2">
                  <c:v>2.9166666666666667E-2</c:v>
                </c:pt>
                <c:pt idx="3">
                  <c:v>4.8706240487062402E-2</c:v>
                </c:pt>
              </c:numCache>
            </c:numRef>
          </c:val>
          <c:extLst>
            <c:ext xmlns:c16="http://schemas.microsoft.com/office/drawing/2014/chart" uri="{C3380CC4-5D6E-409C-BE32-E72D297353CC}">
              <c16:uniqueId val="{00000002-DA04-4614-877A-63FBD36B29C0}"/>
            </c:ext>
          </c:extLst>
        </c:ser>
        <c:ser>
          <c:idx val="3"/>
          <c:order val="3"/>
          <c:tx>
            <c:strRef>
              <c:f>Sheet1!$E$1</c:f>
              <c:strCache>
                <c:ptCount val="1"/>
                <c:pt idx="0">
                  <c:v>3</c:v>
                </c:pt>
              </c:strCache>
            </c:strRef>
          </c:tx>
          <c:spPr>
            <a:solidFill>
              <a:schemeClr val="accent2">
                <a:alpha val="40000"/>
              </a:schemeClr>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Sheet1!$E$2:$E$20</c:f>
              <c:numCache>
                <c:formatCode>0.0%</c:formatCode>
                <c:ptCount val="4"/>
                <c:pt idx="0">
                  <c:v>4.5698924731182797E-2</c:v>
                </c:pt>
                <c:pt idx="1">
                  <c:v>4.264099037138927E-2</c:v>
                </c:pt>
                <c:pt idx="2">
                  <c:v>3.0555555555555555E-2</c:v>
                </c:pt>
                <c:pt idx="3">
                  <c:v>3.8051750380517502E-2</c:v>
                </c:pt>
              </c:numCache>
            </c:numRef>
          </c:val>
          <c:extLst>
            <c:ext xmlns:c16="http://schemas.microsoft.com/office/drawing/2014/chart" uri="{C3380CC4-5D6E-409C-BE32-E72D297353CC}">
              <c16:uniqueId val="{00000003-DA04-4614-877A-63FBD36B29C0}"/>
            </c:ext>
          </c:extLst>
        </c:ser>
        <c:ser>
          <c:idx val="4"/>
          <c:order val="4"/>
          <c:tx>
            <c:strRef>
              <c:f>Sheet1!$F$1</c:f>
              <c:strCache>
                <c:ptCount val="1"/>
                <c:pt idx="0">
                  <c:v>4</c:v>
                </c:pt>
              </c:strCache>
            </c:strRef>
          </c:tx>
          <c:spPr>
            <a:solidFill>
              <a:schemeClr val="accent2">
                <a:alpha val="15000"/>
              </a:schemeClr>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Sheet1!$F$2:$F$20</c:f>
              <c:numCache>
                <c:formatCode>0.0%</c:formatCode>
                <c:ptCount val="4"/>
                <c:pt idx="0">
                  <c:v>6.0483870967741937E-2</c:v>
                </c:pt>
                <c:pt idx="1">
                  <c:v>5.364511691884457E-2</c:v>
                </c:pt>
                <c:pt idx="2">
                  <c:v>7.0833333333333331E-2</c:v>
                </c:pt>
                <c:pt idx="3">
                  <c:v>9.1324200913242004E-2</c:v>
                </c:pt>
              </c:numCache>
            </c:numRef>
          </c:val>
          <c:extLst>
            <c:ext xmlns:c16="http://schemas.microsoft.com/office/drawing/2014/chart" uri="{C3380CC4-5D6E-409C-BE32-E72D297353CC}">
              <c16:uniqueId val="{00000004-DA04-4614-877A-63FBD36B29C0}"/>
            </c:ext>
          </c:extLst>
        </c:ser>
        <c:ser>
          <c:idx val="5"/>
          <c:order val="5"/>
          <c:tx>
            <c:strRef>
              <c:f>Sheet1!$G$1</c:f>
              <c:strCache>
                <c:ptCount val="1"/>
                <c:pt idx="0">
                  <c:v>5</c:v>
                </c:pt>
              </c:strCache>
            </c:strRef>
          </c:tx>
          <c:spPr>
            <a:solidFill>
              <a:schemeClr val="accent1">
                <a:alpha val="40000"/>
              </a:schemeClr>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Sheet1!$G$2:$G$20</c:f>
              <c:numCache>
                <c:formatCode>0.0%</c:formatCode>
                <c:ptCount val="4"/>
                <c:pt idx="0">
                  <c:v>0.12365591397849462</c:v>
                </c:pt>
                <c:pt idx="1">
                  <c:v>0.10729023383768914</c:v>
                </c:pt>
                <c:pt idx="2">
                  <c:v>0.10555555555555556</c:v>
                </c:pt>
                <c:pt idx="3">
                  <c:v>9.5890410958904104E-2</c:v>
                </c:pt>
              </c:numCache>
            </c:numRef>
          </c:val>
          <c:extLst>
            <c:ext xmlns:c16="http://schemas.microsoft.com/office/drawing/2014/chart" uri="{C3380CC4-5D6E-409C-BE32-E72D297353CC}">
              <c16:uniqueId val="{00000005-DA04-4614-877A-63FBD36B29C0}"/>
            </c:ext>
          </c:extLst>
        </c:ser>
        <c:ser>
          <c:idx val="6"/>
          <c:order val="6"/>
          <c:tx>
            <c:strRef>
              <c:f>Sheet1!$H$1</c:f>
              <c:strCache>
                <c:ptCount val="1"/>
                <c:pt idx="0">
                  <c:v>6</c:v>
                </c:pt>
              </c:strCache>
            </c:strRef>
          </c:tx>
          <c:spPr>
            <a:solidFill>
              <a:schemeClr val="accent1">
                <a:alpha val="70000"/>
              </a:schemeClr>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Sheet1!$H$2:$H$20</c:f>
              <c:numCache>
                <c:formatCode>0.0%</c:formatCode>
                <c:ptCount val="4"/>
                <c:pt idx="0">
                  <c:v>0.17607526881720431</c:v>
                </c:pt>
                <c:pt idx="1">
                  <c:v>0.15543328748280605</c:v>
                </c:pt>
                <c:pt idx="2">
                  <c:v>0.18333333333333332</c:v>
                </c:pt>
                <c:pt idx="3">
                  <c:v>0.16894977168949771</c:v>
                </c:pt>
              </c:numCache>
            </c:numRef>
          </c:val>
          <c:extLst>
            <c:ext xmlns:c16="http://schemas.microsoft.com/office/drawing/2014/chart" uri="{C3380CC4-5D6E-409C-BE32-E72D297353CC}">
              <c16:uniqueId val="{00000006-DA04-4614-877A-63FBD36B29C0}"/>
            </c:ext>
          </c:extLst>
        </c:ser>
        <c:ser>
          <c:idx val="7"/>
          <c:order val="7"/>
          <c:tx>
            <c:strRef>
              <c:f>Sheet1!$I$1</c:f>
              <c:strCache>
                <c:ptCount val="1"/>
                <c:pt idx="0">
                  <c:v>7</c:v>
                </c:pt>
              </c:strCache>
            </c:strRef>
          </c:tx>
          <c:spPr>
            <a:solidFill>
              <a:schemeClr val="accent1"/>
            </a:solidFill>
            <a:ln w="9525">
              <a:solidFill>
                <a:schemeClr val="tx2"/>
              </a:solid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Sheet1!$I$2:$I$20</c:f>
              <c:numCache>
                <c:formatCode>0.0%</c:formatCode>
                <c:ptCount val="4"/>
                <c:pt idx="0">
                  <c:v>0.45430107526881719</c:v>
                </c:pt>
                <c:pt idx="1">
                  <c:v>0.469050894085282</c:v>
                </c:pt>
                <c:pt idx="2">
                  <c:v>0.5</c:v>
                </c:pt>
                <c:pt idx="3">
                  <c:v>0.44748858447488582</c:v>
                </c:pt>
              </c:numCache>
            </c:numRef>
          </c:val>
          <c:extLst>
            <c:ext xmlns:c16="http://schemas.microsoft.com/office/drawing/2014/chart" uri="{C3380CC4-5D6E-409C-BE32-E72D297353CC}">
              <c16:uniqueId val="{00000007-DA04-4614-877A-63FBD36B29C0}"/>
            </c:ext>
          </c:extLst>
        </c:ser>
        <c:ser>
          <c:idx val="8"/>
          <c:order val="8"/>
          <c:tx>
            <c:strRef>
              <c:f>Sheet1!$J$1</c:f>
              <c:strCache>
                <c:ptCount val="1"/>
                <c:pt idx="0">
                  <c:v>right blank </c:v>
                </c:pt>
              </c:strCache>
            </c:strRef>
          </c:tx>
          <c:spPr>
            <a:noFill/>
            <a:ln>
              <a:noFill/>
            </a:ln>
            <a:effectLst/>
          </c:spPr>
          <c:invertIfNegative val="0"/>
          <c:cat>
            <c:strRef>
              <c:f>Sheet1!$A$2:$A$20</c:f>
              <c:strCache>
                <c:ptCount val="4"/>
                <c:pt idx="0">
                  <c:v>Setting Employment Goals</c:v>
                </c:pt>
                <c:pt idx="1">
                  <c:v>Agency/Provider Connections</c:v>
                </c:pt>
                <c:pt idx="2">
                  <c:v>Employment Goal Disagreements</c:v>
                </c:pt>
                <c:pt idx="3">
                  <c:v>DOR Appeal Process</c:v>
                </c:pt>
              </c:strCache>
            </c:strRef>
          </c:cat>
          <c:val>
            <c:numRef>
              <c:f>Sheet1!$J$2:$J$20</c:f>
              <c:numCache>
                <c:formatCode>0.0%</c:formatCode>
                <c:ptCount val="4"/>
                <c:pt idx="0">
                  <c:v>0.21572580645161288</c:v>
                </c:pt>
                <c:pt idx="1">
                  <c:v>0.24140302613480058</c:v>
                </c:pt>
                <c:pt idx="2">
                  <c:v>0.17569444444444449</c:v>
                </c:pt>
                <c:pt idx="3">
                  <c:v>0.24200913242009137</c:v>
                </c:pt>
              </c:numCache>
            </c:numRef>
          </c:val>
          <c:extLst>
            <c:ext xmlns:c16="http://schemas.microsoft.com/office/drawing/2014/chart" uri="{C3380CC4-5D6E-409C-BE32-E72D297353CC}">
              <c16:uniqueId val="{00000008-DA04-4614-877A-63FBD36B29C0}"/>
            </c:ext>
          </c:extLst>
        </c:ser>
        <c:dLbls>
          <c:showLegendKey val="0"/>
          <c:showVal val="0"/>
          <c:showCatName val="0"/>
          <c:showSerName val="0"/>
          <c:showPercent val="0"/>
          <c:showBubbleSize val="0"/>
        </c:dLbls>
        <c:gapWidth val="30"/>
        <c:overlap val="100"/>
        <c:axId val="1310844560"/>
        <c:axId val="1310849480"/>
      </c:barChart>
      <c:catAx>
        <c:axId val="1310844560"/>
        <c:scaling>
          <c:orientation val="maxMin"/>
        </c:scaling>
        <c:delete val="0"/>
        <c:axPos val="l"/>
        <c:numFmt formatCode="General" sourceLinked="1"/>
        <c:majorTickMark val="none"/>
        <c:minorTickMark val="none"/>
        <c:tickLblPos val="low"/>
        <c:spPr>
          <a:noFill/>
          <a:ln w="9525" cap="flat" cmpd="sng" algn="ctr">
            <a:solidFill>
              <a:schemeClr val="tx2"/>
            </a:solidFill>
            <a:prstDash val="dash"/>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310849480"/>
        <c:crossesAt val="1"/>
        <c:auto val="1"/>
        <c:lblAlgn val="ctr"/>
        <c:lblOffset val="100"/>
        <c:noMultiLvlLbl val="0"/>
      </c:catAx>
      <c:valAx>
        <c:axId val="1310849480"/>
        <c:scaling>
          <c:orientation val="minMax"/>
          <c:max val="2"/>
        </c:scaling>
        <c:delete val="0"/>
        <c:axPos val="t"/>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844560"/>
        <c:crosses val="autoZero"/>
        <c:crossBetween val="between"/>
      </c:valAx>
      <c:spPr>
        <a:noFill/>
        <a:ln>
          <a:solidFill>
            <a:schemeClr val="tx2"/>
          </a:solidFill>
        </a:ln>
        <a:effectLst/>
      </c:spPr>
    </c:plotArea>
    <c:legend>
      <c:legendPos val="t"/>
      <c:legendEntry>
        <c:idx val="0"/>
        <c:delete val="1"/>
      </c:legendEntry>
      <c:legendEntry>
        <c:idx val="8"/>
        <c:delete val="1"/>
      </c:legendEntry>
      <c:layout>
        <c:manualLayout>
          <c:xMode val="edge"/>
          <c:yMode val="edge"/>
          <c:x val="0.57073884514435691"/>
          <c:y val="0.17697693485760252"/>
          <c:w val="0.28820968212306797"/>
          <c:h val="8.176748494673459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bg1">
          <a:lumMod val="7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72759832625795"/>
          <c:y val="0.28592049364811156"/>
          <c:w val="0.61844008335223311"/>
          <c:h val="0.51958037174110838"/>
        </c:manualLayout>
      </c:layout>
      <c:barChart>
        <c:barDir val="bar"/>
        <c:grouping val="stacked"/>
        <c:varyColors val="0"/>
        <c:ser>
          <c:idx val="0"/>
          <c:order val="0"/>
          <c:tx>
            <c:strRef>
              <c:f>Sheet1!$B$1</c:f>
              <c:strCache>
                <c:ptCount val="1"/>
                <c:pt idx="0">
                  <c:v>left blank</c:v>
                </c:pt>
              </c:strCache>
            </c:strRef>
          </c:tx>
          <c:spPr>
            <a:noFill/>
            <a:ln>
              <a:no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Sheet1!$B$2:$B$5</c:f>
              <c:numCache>
                <c:formatCode>0.0%</c:formatCode>
                <c:ptCount val="4"/>
                <c:pt idx="0">
                  <c:v>0.76811594202898548</c:v>
                </c:pt>
                <c:pt idx="1">
                  <c:v>0.77520435967302448</c:v>
                </c:pt>
                <c:pt idx="2">
                  <c:v>0.73907103825136611</c:v>
                </c:pt>
                <c:pt idx="3">
                  <c:v>0.77656675749318804</c:v>
                </c:pt>
              </c:numCache>
            </c:numRef>
          </c:val>
          <c:extLst>
            <c:ext xmlns:c16="http://schemas.microsoft.com/office/drawing/2014/chart" uri="{C3380CC4-5D6E-409C-BE32-E72D297353CC}">
              <c16:uniqueId val="{00000000-29BE-47EE-B08D-1743D98F3FC2}"/>
            </c:ext>
          </c:extLst>
        </c:ser>
        <c:ser>
          <c:idx val="1"/>
          <c:order val="1"/>
          <c:tx>
            <c:strRef>
              <c:f>Sheet1!$C$1</c:f>
              <c:strCache>
                <c:ptCount val="1"/>
                <c:pt idx="0">
                  <c:v>1</c:v>
                </c:pt>
              </c:strCache>
            </c:strRef>
          </c:tx>
          <c:spPr>
            <a:solidFill>
              <a:schemeClr val="accent2"/>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Sheet1!$C$2:$C$5</c:f>
              <c:numCache>
                <c:formatCode>0.0%</c:formatCode>
                <c:ptCount val="4"/>
                <c:pt idx="0">
                  <c:v>0.12318840579710146</c:v>
                </c:pt>
                <c:pt idx="1">
                  <c:v>0.13896457765667575</c:v>
                </c:pt>
                <c:pt idx="2">
                  <c:v>0.14754098360655737</c:v>
                </c:pt>
                <c:pt idx="3">
                  <c:v>0.14168937329700274</c:v>
                </c:pt>
              </c:numCache>
            </c:numRef>
          </c:val>
          <c:extLst>
            <c:ext xmlns:c16="http://schemas.microsoft.com/office/drawing/2014/chart" uri="{C3380CC4-5D6E-409C-BE32-E72D297353CC}">
              <c16:uniqueId val="{00000001-29BE-47EE-B08D-1743D98F3FC2}"/>
            </c:ext>
          </c:extLst>
        </c:ser>
        <c:ser>
          <c:idx val="2"/>
          <c:order val="2"/>
          <c:tx>
            <c:strRef>
              <c:f>Sheet1!$D$1</c:f>
              <c:strCache>
                <c:ptCount val="1"/>
                <c:pt idx="0">
                  <c:v>2</c:v>
                </c:pt>
              </c:strCache>
            </c:strRef>
          </c:tx>
          <c:spPr>
            <a:solidFill>
              <a:schemeClr val="accent2">
                <a:alpha val="70000"/>
              </a:schemeClr>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Sheet1!$D$2:$D$5</c:f>
              <c:numCache>
                <c:formatCode>0.0%</c:formatCode>
                <c:ptCount val="4"/>
                <c:pt idx="0">
                  <c:v>4.1666666666666664E-2</c:v>
                </c:pt>
                <c:pt idx="1">
                  <c:v>3.2697547683923703E-2</c:v>
                </c:pt>
                <c:pt idx="2">
                  <c:v>4.3715846994535519E-2</c:v>
                </c:pt>
                <c:pt idx="3">
                  <c:v>3.2697547683923703E-2</c:v>
                </c:pt>
              </c:numCache>
            </c:numRef>
          </c:val>
          <c:extLst>
            <c:ext xmlns:c16="http://schemas.microsoft.com/office/drawing/2014/chart" uri="{C3380CC4-5D6E-409C-BE32-E72D297353CC}">
              <c16:uniqueId val="{00000002-29BE-47EE-B08D-1743D98F3FC2}"/>
            </c:ext>
          </c:extLst>
        </c:ser>
        <c:ser>
          <c:idx val="3"/>
          <c:order val="3"/>
          <c:tx>
            <c:strRef>
              <c:f>Sheet1!$E$1</c:f>
              <c:strCache>
                <c:ptCount val="1"/>
                <c:pt idx="0">
                  <c:v>3</c:v>
                </c:pt>
              </c:strCache>
            </c:strRef>
          </c:tx>
          <c:spPr>
            <a:solidFill>
              <a:schemeClr val="accent2">
                <a:alpha val="40000"/>
              </a:schemeClr>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Sheet1!$E$2:$E$5</c:f>
              <c:numCache>
                <c:formatCode>0.0%</c:formatCode>
                <c:ptCount val="4"/>
                <c:pt idx="0">
                  <c:v>4.1666666666666664E-2</c:v>
                </c:pt>
                <c:pt idx="1">
                  <c:v>2.4523160762942781E-2</c:v>
                </c:pt>
                <c:pt idx="2">
                  <c:v>3.5519125683060107E-2</c:v>
                </c:pt>
                <c:pt idx="3">
                  <c:v>1.9073569482288829E-2</c:v>
                </c:pt>
              </c:numCache>
            </c:numRef>
          </c:val>
          <c:extLst>
            <c:ext xmlns:c16="http://schemas.microsoft.com/office/drawing/2014/chart" uri="{C3380CC4-5D6E-409C-BE32-E72D297353CC}">
              <c16:uniqueId val="{00000003-29BE-47EE-B08D-1743D98F3FC2}"/>
            </c:ext>
          </c:extLst>
        </c:ser>
        <c:ser>
          <c:idx val="4"/>
          <c:order val="4"/>
          <c:tx>
            <c:strRef>
              <c:f>Sheet1!$F$1</c:f>
              <c:strCache>
                <c:ptCount val="1"/>
                <c:pt idx="0">
                  <c:v>4</c:v>
                </c:pt>
              </c:strCache>
            </c:strRef>
          </c:tx>
          <c:spPr>
            <a:solidFill>
              <a:schemeClr val="accent2">
                <a:alpha val="15000"/>
              </a:schemeClr>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Sheet1!$F$2:$F$5</c:f>
              <c:numCache>
                <c:formatCode>0.0%</c:formatCode>
                <c:ptCount val="4"/>
                <c:pt idx="0">
                  <c:v>5.0724637681159424E-2</c:v>
                </c:pt>
                <c:pt idx="1">
                  <c:v>5.7220708446866483E-2</c:v>
                </c:pt>
                <c:pt idx="2">
                  <c:v>6.8306010928961755E-2</c:v>
                </c:pt>
                <c:pt idx="3">
                  <c:v>5.9945504087193457E-2</c:v>
                </c:pt>
              </c:numCache>
            </c:numRef>
          </c:val>
          <c:extLst>
            <c:ext xmlns:c16="http://schemas.microsoft.com/office/drawing/2014/chart" uri="{C3380CC4-5D6E-409C-BE32-E72D297353CC}">
              <c16:uniqueId val="{00000004-29BE-47EE-B08D-1743D98F3FC2}"/>
            </c:ext>
          </c:extLst>
        </c:ser>
        <c:ser>
          <c:idx val="5"/>
          <c:order val="5"/>
          <c:tx>
            <c:strRef>
              <c:f>Sheet1!$G$1</c:f>
              <c:strCache>
                <c:ptCount val="1"/>
                <c:pt idx="0">
                  <c:v>5</c:v>
                </c:pt>
              </c:strCache>
            </c:strRef>
          </c:tx>
          <c:spPr>
            <a:solidFill>
              <a:schemeClr val="accent1">
                <a:alpha val="40000"/>
              </a:schemeClr>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Sheet1!$G$2:$G$5</c:f>
              <c:numCache>
                <c:formatCode>0.0%</c:formatCode>
                <c:ptCount val="4"/>
                <c:pt idx="0">
                  <c:v>0.11775362318840579</c:v>
                </c:pt>
                <c:pt idx="1">
                  <c:v>0.13079019073569481</c:v>
                </c:pt>
                <c:pt idx="2">
                  <c:v>0.13114754098360656</c:v>
                </c:pt>
                <c:pt idx="3">
                  <c:v>0.10354223433242507</c:v>
                </c:pt>
              </c:numCache>
            </c:numRef>
          </c:val>
          <c:extLst>
            <c:ext xmlns:c16="http://schemas.microsoft.com/office/drawing/2014/chart" uri="{C3380CC4-5D6E-409C-BE32-E72D297353CC}">
              <c16:uniqueId val="{00000005-29BE-47EE-B08D-1743D98F3FC2}"/>
            </c:ext>
          </c:extLst>
        </c:ser>
        <c:ser>
          <c:idx val="6"/>
          <c:order val="6"/>
          <c:tx>
            <c:strRef>
              <c:f>Sheet1!$H$1</c:f>
              <c:strCache>
                <c:ptCount val="1"/>
                <c:pt idx="0">
                  <c:v>6</c:v>
                </c:pt>
              </c:strCache>
            </c:strRef>
          </c:tx>
          <c:spPr>
            <a:solidFill>
              <a:schemeClr val="accent1">
                <a:alpha val="70000"/>
              </a:schemeClr>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Sheet1!$H$2:$H$5</c:f>
              <c:numCache>
                <c:formatCode>0.0%</c:formatCode>
                <c:ptCount val="4"/>
                <c:pt idx="0">
                  <c:v>0.16485507246376813</c:v>
                </c:pt>
                <c:pt idx="1">
                  <c:v>0.14986376021798364</c:v>
                </c:pt>
                <c:pt idx="2">
                  <c:v>0.1448087431693989</c:v>
                </c:pt>
                <c:pt idx="3">
                  <c:v>0.12806539509536785</c:v>
                </c:pt>
              </c:numCache>
            </c:numRef>
          </c:val>
          <c:extLst>
            <c:ext xmlns:c16="http://schemas.microsoft.com/office/drawing/2014/chart" uri="{C3380CC4-5D6E-409C-BE32-E72D297353CC}">
              <c16:uniqueId val="{00000006-29BE-47EE-B08D-1743D98F3FC2}"/>
            </c:ext>
          </c:extLst>
        </c:ser>
        <c:ser>
          <c:idx val="7"/>
          <c:order val="7"/>
          <c:tx>
            <c:strRef>
              <c:f>Sheet1!$I$1</c:f>
              <c:strCache>
                <c:ptCount val="1"/>
                <c:pt idx="0">
                  <c:v>7</c:v>
                </c:pt>
              </c:strCache>
            </c:strRef>
          </c:tx>
          <c:spPr>
            <a:solidFill>
              <a:schemeClr val="accent1"/>
            </a:solidFill>
            <a:ln>
              <a:solidFill>
                <a:schemeClr val="tx2"/>
              </a:solid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Sheet1!$I$2:$I$5</c:f>
              <c:numCache>
                <c:formatCode>0.0%</c:formatCode>
                <c:ptCount val="4"/>
                <c:pt idx="0">
                  <c:v>0.46014492753623187</c:v>
                </c:pt>
                <c:pt idx="1">
                  <c:v>0.4659400544959128</c:v>
                </c:pt>
                <c:pt idx="2">
                  <c:v>0.42896174863387976</c:v>
                </c:pt>
                <c:pt idx="3">
                  <c:v>0.51498637602179842</c:v>
                </c:pt>
              </c:numCache>
            </c:numRef>
          </c:val>
          <c:extLst>
            <c:ext xmlns:c16="http://schemas.microsoft.com/office/drawing/2014/chart" uri="{C3380CC4-5D6E-409C-BE32-E72D297353CC}">
              <c16:uniqueId val="{00000007-29BE-47EE-B08D-1743D98F3FC2}"/>
            </c:ext>
          </c:extLst>
        </c:ser>
        <c:ser>
          <c:idx val="8"/>
          <c:order val="8"/>
          <c:tx>
            <c:strRef>
              <c:f>Sheet1!$J$1</c:f>
              <c:strCache>
                <c:ptCount val="1"/>
                <c:pt idx="0">
                  <c:v>right blank </c:v>
                </c:pt>
              </c:strCache>
            </c:strRef>
          </c:tx>
          <c:spPr>
            <a:noFill/>
            <a:ln>
              <a:noFill/>
            </a:ln>
            <a:effectLst/>
          </c:spPr>
          <c:invertIfNegative val="0"/>
          <c:cat>
            <c:strRef>
              <c:f>Sheet1!$A$2:$A$5</c:f>
              <c:strCache>
                <c:ptCount val="4"/>
                <c:pt idx="0">
                  <c:v>Increased Independence</c:v>
                </c:pt>
                <c:pt idx="1">
                  <c:v>Alignment with IPE</c:v>
                </c:pt>
                <c:pt idx="2">
                  <c:v>Wages and Benefits</c:v>
                </c:pt>
                <c:pt idx="3">
                  <c:v>Type of Work</c:v>
                </c:pt>
              </c:strCache>
            </c:strRef>
          </c:cat>
          <c:val>
            <c:numRef>
              <c:f>Sheet1!$J$2:$J$5</c:f>
              <c:numCache>
                <c:formatCode>0.0%</c:formatCode>
                <c:ptCount val="4"/>
                <c:pt idx="0">
                  <c:v>0.23188405797101452</c:v>
                </c:pt>
                <c:pt idx="1">
                  <c:v>0.22479564032697552</c:v>
                </c:pt>
                <c:pt idx="2">
                  <c:v>0.26092896174863389</c:v>
                </c:pt>
                <c:pt idx="3">
                  <c:v>0.22343324250681196</c:v>
                </c:pt>
              </c:numCache>
            </c:numRef>
          </c:val>
          <c:extLst>
            <c:ext xmlns:c16="http://schemas.microsoft.com/office/drawing/2014/chart" uri="{C3380CC4-5D6E-409C-BE32-E72D297353CC}">
              <c16:uniqueId val="{00000008-29BE-47EE-B08D-1743D98F3FC2}"/>
            </c:ext>
          </c:extLst>
        </c:ser>
        <c:dLbls>
          <c:showLegendKey val="0"/>
          <c:showVal val="0"/>
          <c:showCatName val="0"/>
          <c:showSerName val="0"/>
          <c:showPercent val="0"/>
          <c:showBubbleSize val="0"/>
        </c:dLbls>
        <c:gapWidth val="30"/>
        <c:overlap val="100"/>
        <c:axId val="1310844560"/>
        <c:axId val="1310849480"/>
      </c:barChart>
      <c:catAx>
        <c:axId val="1310844560"/>
        <c:scaling>
          <c:orientation val="minMax"/>
        </c:scaling>
        <c:delete val="0"/>
        <c:axPos val="l"/>
        <c:numFmt formatCode="General" sourceLinked="1"/>
        <c:majorTickMark val="none"/>
        <c:minorTickMark val="none"/>
        <c:tickLblPos val="low"/>
        <c:spPr>
          <a:noFill/>
          <a:ln w="9525" cap="flat" cmpd="sng" algn="ctr">
            <a:solidFill>
              <a:schemeClr val="tx2"/>
            </a:solidFill>
            <a:prstDash val="dash"/>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10849480"/>
        <c:crossesAt val="1"/>
        <c:auto val="1"/>
        <c:lblAlgn val="ctr"/>
        <c:lblOffset val="100"/>
        <c:noMultiLvlLbl val="0"/>
      </c:catAx>
      <c:valAx>
        <c:axId val="1310849480"/>
        <c:scaling>
          <c:orientation val="minMax"/>
          <c:max val="2"/>
        </c:scaling>
        <c:delete val="0"/>
        <c:axPos val="b"/>
        <c:numFmt formatCode="0.0%" sourceLinked="1"/>
        <c:majorTickMark val="none"/>
        <c:minorTickMark val="none"/>
        <c:tickLblPos val="none"/>
        <c:spPr>
          <a:noFill/>
          <a:ln>
            <a:solidFill>
              <a:schemeClr val="tx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844560"/>
        <c:crosses val="autoZero"/>
        <c:crossBetween val="between"/>
        <c:majorUnit val="1"/>
      </c:valAx>
      <c:spPr>
        <a:noFill/>
        <a:ln>
          <a:solidFill>
            <a:schemeClr val="tx2"/>
          </a:solidFill>
        </a:ln>
        <a:effectLst/>
      </c:spPr>
    </c:plotArea>
    <c:legend>
      <c:legendPos val="t"/>
      <c:legendEntry>
        <c:idx val="0"/>
        <c:delete val="1"/>
      </c:legendEntry>
      <c:legendEntry>
        <c:idx val="8"/>
        <c:delete val="1"/>
      </c:legendEntry>
      <c:layout>
        <c:manualLayout>
          <c:xMode val="edge"/>
          <c:yMode val="edge"/>
          <c:x val="0.50447666958296877"/>
          <c:y val="0.19336831375661015"/>
          <c:w val="0.32801474445257039"/>
          <c:h val="8.176748494673459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6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016929133858268"/>
          <c:y val="0.44968569680235049"/>
          <c:w val="0.59322411781860607"/>
          <c:h val="0.25664182062142166"/>
        </c:manualLayout>
      </c:layout>
      <c:barChart>
        <c:barDir val="bar"/>
        <c:grouping val="stacked"/>
        <c:varyColors val="0"/>
        <c:ser>
          <c:idx val="0"/>
          <c:order val="0"/>
          <c:tx>
            <c:strRef>
              <c:f>Sheet1!$B$1</c:f>
              <c:strCache>
                <c:ptCount val="1"/>
                <c:pt idx="0">
                  <c:v>left blank</c:v>
                </c:pt>
              </c:strCache>
            </c:strRef>
          </c:tx>
          <c:spPr>
            <a:noFill/>
            <a:ln>
              <a:noFill/>
            </a:ln>
            <a:effectLst/>
          </c:spPr>
          <c:invertIfNegative val="0"/>
          <c:cat>
            <c:strRef>
              <c:f>Sheet1!$A$2:$A$20</c:f>
              <c:strCache>
                <c:ptCount val="1"/>
                <c:pt idx="0">
                  <c:v>Improved Employment
Opportunities</c:v>
                </c:pt>
              </c:strCache>
            </c:strRef>
          </c:cat>
          <c:val>
            <c:numRef>
              <c:f>Sheet1!$B$2:$B$20</c:f>
              <c:numCache>
                <c:formatCode>0.0%</c:formatCode>
                <c:ptCount val="1"/>
                <c:pt idx="0">
                  <c:v>0.72935779816513757</c:v>
                </c:pt>
              </c:numCache>
            </c:numRef>
          </c:val>
          <c:extLst>
            <c:ext xmlns:c16="http://schemas.microsoft.com/office/drawing/2014/chart" uri="{C3380CC4-5D6E-409C-BE32-E72D297353CC}">
              <c16:uniqueId val="{00000000-D266-41C1-908E-2CF90B72D6CF}"/>
            </c:ext>
          </c:extLst>
        </c:ser>
        <c:ser>
          <c:idx val="1"/>
          <c:order val="1"/>
          <c:tx>
            <c:strRef>
              <c:f>Sheet1!$C$1</c:f>
              <c:strCache>
                <c:ptCount val="1"/>
                <c:pt idx="0">
                  <c:v>1</c:v>
                </c:pt>
              </c:strCache>
            </c:strRef>
          </c:tx>
          <c:spPr>
            <a:solidFill>
              <a:schemeClr val="accent2"/>
            </a:solidFill>
            <a:ln>
              <a:solidFill>
                <a:schemeClr val="tx2"/>
              </a:solidFill>
            </a:ln>
            <a:effectLst/>
          </c:spPr>
          <c:invertIfNegative val="0"/>
          <c:cat>
            <c:strRef>
              <c:f>Sheet1!$A$2:$A$20</c:f>
              <c:strCache>
                <c:ptCount val="1"/>
                <c:pt idx="0">
                  <c:v>Improved Employment
Opportunities</c:v>
                </c:pt>
              </c:strCache>
            </c:strRef>
          </c:cat>
          <c:val>
            <c:numRef>
              <c:f>Sheet1!$C$2:$C$20</c:f>
              <c:numCache>
                <c:formatCode>0.0%</c:formatCode>
                <c:ptCount val="1"/>
                <c:pt idx="0">
                  <c:v>0.1743119266055046</c:v>
                </c:pt>
              </c:numCache>
            </c:numRef>
          </c:val>
          <c:extLst>
            <c:ext xmlns:c16="http://schemas.microsoft.com/office/drawing/2014/chart" uri="{C3380CC4-5D6E-409C-BE32-E72D297353CC}">
              <c16:uniqueId val="{00000001-D266-41C1-908E-2CF90B72D6CF}"/>
            </c:ext>
          </c:extLst>
        </c:ser>
        <c:ser>
          <c:idx val="2"/>
          <c:order val="2"/>
          <c:tx>
            <c:strRef>
              <c:f>Sheet1!$D$1</c:f>
              <c:strCache>
                <c:ptCount val="1"/>
                <c:pt idx="0">
                  <c:v>2</c:v>
                </c:pt>
              </c:strCache>
            </c:strRef>
          </c:tx>
          <c:spPr>
            <a:solidFill>
              <a:schemeClr val="accent2">
                <a:alpha val="70000"/>
              </a:schemeClr>
            </a:solidFill>
            <a:ln>
              <a:solidFill>
                <a:schemeClr val="tx2"/>
              </a:solidFill>
            </a:ln>
            <a:effectLst/>
          </c:spPr>
          <c:invertIfNegative val="0"/>
          <c:cat>
            <c:strRef>
              <c:f>Sheet1!$A$2:$A$20</c:f>
              <c:strCache>
                <c:ptCount val="1"/>
                <c:pt idx="0">
                  <c:v>Improved Employment
Opportunities</c:v>
                </c:pt>
              </c:strCache>
            </c:strRef>
          </c:cat>
          <c:val>
            <c:numRef>
              <c:f>Sheet1!$D$2:$D$20</c:f>
              <c:numCache>
                <c:formatCode>0.0%</c:formatCode>
                <c:ptCount val="1"/>
                <c:pt idx="0">
                  <c:v>3.3027522935779818E-2</c:v>
                </c:pt>
              </c:numCache>
            </c:numRef>
          </c:val>
          <c:extLst>
            <c:ext xmlns:c16="http://schemas.microsoft.com/office/drawing/2014/chart" uri="{C3380CC4-5D6E-409C-BE32-E72D297353CC}">
              <c16:uniqueId val="{00000002-D266-41C1-908E-2CF90B72D6CF}"/>
            </c:ext>
          </c:extLst>
        </c:ser>
        <c:ser>
          <c:idx val="3"/>
          <c:order val="3"/>
          <c:tx>
            <c:strRef>
              <c:f>Sheet1!$E$1</c:f>
              <c:strCache>
                <c:ptCount val="1"/>
                <c:pt idx="0">
                  <c:v>3</c:v>
                </c:pt>
              </c:strCache>
            </c:strRef>
          </c:tx>
          <c:spPr>
            <a:solidFill>
              <a:schemeClr val="accent2">
                <a:alpha val="40000"/>
              </a:schemeClr>
            </a:solidFill>
            <a:ln>
              <a:solidFill>
                <a:schemeClr val="tx2"/>
              </a:solidFill>
            </a:ln>
            <a:effectLst/>
          </c:spPr>
          <c:invertIfNegative val="0"/>
          <c:cat>
            <c:strRef>
              <c:f>Sheet1!$A$2:$A$20</c:f>
              <c:strCache>
                <c:ptCount val="1"/>
                <c:pt idx="0">
                  <c:v>Improved Employment
Opportunities</c:v>
                </c:pt>
              </c:strCache>
            </c:strRef>
          </c:cat>
          <c:val>
            <c:numRef>
              <c:f>Sheet1!$E$2:$E$20</c:f>
              <c:numCache>
                <c:formatCode>0.0%</c:formatCode>
                <c:ptCount val="1"/>
                <c:pt idx="0">
                  <c:v>3.4862385321100919E-2</c:v>
                </c:pt>
              </c:numCache>
            </c:numRef>
          </c:val>
          <c:extLst>
            <c:ext xmlns:c16="http://schemas.microsoft.com/office/drawing/2014/chart" uri="{C3380CC4-5D6E-409C-BE32-E72D297353CC}">
              <c16:uniqueId val="{00000003-D266-41C1-908E-2CF90B72D6CF}"/>
            </c:ext>
          </c:extLst>
        </c:ser>
        <c:ser>
          <c:idx val="4"/>
          <c:order val="4"/>
          <c:tx>
            <c:strRef>
              <c:f>Sheet1!$F$1</c:f>
              <c:strCache>
                <c:ptCount val="1"/>
                <c:pt idx="0">
                  <c:v>4</c:v>
                </c:pt>
              </c:strCache>
            </c:strRef>
          </c:tx>
          <c:spPr>
            <a:solidFill>
              <a:schemeClr val="accent2">
                <a:alpha val="15000"/>
              </a:schemeClr>
            </a:solidFill>
            <a:ln>
              <a:solidFill>
                <a:schemeClr val="tx2"/>
              </a:solidFill>
            </a:ln>
            <a:effectLst/>
          </c:spPr>
          <c:invertIfNegative val="0"/>
          <c:cat>
            <c:strRef>
              <c:f>Sheet1!$A$2:$A$20</c:f>
              <c:strCache>
                <c:ptCount val="1"/>
                <c:pt idx="0">
                  <c:v>Improved Employment
Opportunities</c:v>
                </c:pt>
              </c:strCache>
            </c:strRef>
          </c:cat>
          <c:val>
            <c:numRef>
              <c:f>Sheet1!$F$2:$F$20</c:f>
              <c:numCache>
                <c:formatCode>0.0%</c:formatCode>
                <c:ptCount val="1"/>
                <c:pt idx="0">
                  <c:v>5.6880733944954132E-2</c:v>
                </c:pt>
              </c:numCache>
            </c:numRef>
          </c:val>
          <c:extLst>
            <c:ext xmlns:c16="http://schemas.microsoft.com/office/drawing/2014/chart" uri="{C3380CC4-5D6E-409C-BE32-E72D297353CC}">
              <c16:uniqueId val="{00000004-D266-41C1-908E-2CF90B72D6CF}"/>
            </c:ext>
          </c:extLst>
        </c:ser>
        <c:ser>
          <c:idx val="5"/>
          <c:order val="5"/>
          <c:tx>
            <c:strRef>
              <c:f>Sheet1!$G$1</c:f>
              <c:strCache>
                <c:ptCount val="1"/>
                <c:pt idx="0">
                  <c:v>5</c:v>
                </c:pt>
              </c:strCache>
            </c:strRef>
          </c:tx>
          <c:spPr>
            <a:solidFill>
              <a:schemeClr val="accent1">
                <a:alpha val="40000"/>
              </a:schemeClr>
            </a:solidFill>
            <a:ln>
              <a:solidFill>
                <a:schemeClr val="tx2"/>
              </a:solidFill>
            </a:ln>
            <a:effectLst/>
          </c:spPr>
          <c:invertIfNegative val="0"/>
          <c:cat>
            <c:strRef>
              <c:f>Sheet1!$A$2:$A$20</c:f>
              <c:strCache>
                <c:ptCount val="1"/>
                <c:pt idx="0">
                  <c:v>Improved Employment
Opportunities</c:v>
                </c:pt>
              </c:strCache>
            </c:strRef>
          </c:cat>
          <c:val>
            <c:numRef>
              <c:f>Sheet1!$G$2:$G$20</c:f>
              <c:numCache>
                <c:formatCode>0.0%</c:formatCode>
                <c:ptCount val="1"/>
                <c:pt idx="0">
                  <c:v>0.13944954128440368</c:v>
                </c:pt>
              </c:numCache>
            </c:numRef>
          </c:val>
          <c:extLst>
            <c:ext xmlns:c16="http://schemas.microsoft.com/office/drawing/2014/chart" uri="{C3380CC4-5D6E-409C-BE32-E72D297353CC}">
              <c16:uniqueId val="{00000005-D266-41C1-908E-2CF90B72D6CF}"/>
            </c:ext>
          </c:extLst>
        </c:ser>
        <c:ser>
          <c:idx val="6"/>
          <c:order val="6"/>
          <c:tx>
            <c:strRef>
              <c:f>Sheet1!$H$1</c:f>
              <c:strCache>
                <c:ptCount val="1"/>
                <c:pt idx="0">
                  <c:v>6</c:v>
                </c:pt>
              </c:strCache>
            </c:strRef>
          </c:tx>
          <c:spPr>
            <a:solidFill>
              <a:schemeClr val="accent1">
                <a:alpha val="70000"/>
              </a:schemeClr>
            </a:solidFill>
            <a:ln>
              <a:solidFill>
                <a:schemeClr val="tx2"/>
              </a:solidFill>
            </a:ln>
            <a:effectLst/>
          </c:spPr>
          <c:invertIfNegative val="0"/>
          <c:cat>
            <c:strRef>
              <c:f>Sheet1!$A$2:$A$20</c:f>
              <c:strCache>
                <c:ptCount val="1"/>
                <c:pt idx="0">
                  <c:v>Improved Employment
Opportunities</c:v>
                </c:pt>
              </c:strCache>
            </c:strRef>
          </c:cat>
          <c:val>
            <c:numRef>
              <c:f>Sheet1!$H$2:$H$20</c:f>
              <c:numCache>
                <c:formatCode>0.0%</c:formatCode>
                <c:ptCount val="1"/>
                <c:pt idx="0">
                  <c:v>0.15779816513761469</c:v>
                </c:pt>
              </c:numCache>
            </c:numRef>
          </c:val>
          <c:extLst>
            <c:ext xmlns:c16="http://schemas.microsoft.com/office/drawing/2014/chart" uri="{C3380CC4-5D6E-409C-BE32-E72D297353CC}">
              <c16:uniqueId val="{00000006-D266-41C1-908E-2CF90B72D6CF}"/>
            </c:ext>
          </c:extLst>
        </c:ser>
        <c:ser>
          <c:idx val="7"/>
          <c:order val="7"/>
          <c:tx>
            <c:strRef>
              <c:f>Sheet1!$I$1</c:f>
              <c:strCache>
                <c:ptCount val="1"/>
                <c:pt idx="0">
                  <c:v>7</c:v>
                </c:pt>
              </c:strCache>
            </c:strRef>
          </c:tx>
          <c:spPr>
            <a:solidFill>
              <a:schemeClr val="accent1"/>
            </a:solidFill>
            <a:ln>
              <a:solidFill>
                <a:schemeClr val="tx2"/>
              </a:solidFill>
            </a:ln>
            <a:effectLst/>
          </c:spPr>
          <c:invertIfNegative val="0"/>
          <c:cat>
            <c:strRef>
              <c:f>Sheet1!$A$2:$A$20</c:f>
              <c:strCache>
                <c:ptCount val="1"/>
                <c:pt idx="0">
                  <c:v>Improved Employment
Opportunities</c:v>
                </c:pt>
              </c:strCache>
            </c:strRef>
          </c:cat>
          <c:val>
            <c:numRef>
              <c:f>Sheet1!$I$2:$I$20</c:f>
              <c:numCache>
                <c:formatCode>0.0%</c:formatCode>
                <c:ptCount val="1"/>
                <c:pt idx="0">
                  <c:v>0.40366972477064222</c:v>
                </c:pt>
              </c:numCache>
            </c:numRef>
          </c:val>
          <c:extLst>
            <c:ext xmlns:c16="http://schemas.microsoft.com/office/drawing/2014/chart" uri="{C3380CC4-5D6E-409C-BE32-E72D297353CC}">
              <c16:uniqueId val="{00000007-D266-41C1-908E-2CF90B72D6CF}"/>
            </c:ext>
          </c:extLst>
        </c:ser>
        <c:ser>
          <c:idx val="8"/>
          <c:order val="8"/>
          <c:tx>
            <c:strRef>
              <c:f>Sheet1!$J$1</c:f>
              <c:strCache>
                <c:ptCount val="1"/>
                <c:pt idx="0">
                  <c:v>right blank </c:v>
                </c:pt>
              </c:strCache>
            </c:strRef>
          </c:tx>
          <c:spPr>
            <a:noFill/>
            <a:ln>
              <a:noFill/>
            </a:ln>
            <a:effectLst/>
          </c:spPr>
          <c:invertIfNegative val="0"/>
          <c:cat>
            <c:strRef>
              <c:f>Sheet1!$A$2:$A$20</c:f>
              <c:strCache>
                <c:ptCount val="1"/>
                <c:pt idx="0">
                  <c:v>Improved Employment
Opportunities</c:v>
                </c:pt>
              </c:strCache>
            </c:strRef>
          </c:cat>
          <c:val>
            <c:numRef>
              <c:f>Sheet1!$J$2:$J$20</c:f>
              <c:numCache>
                <c:formatCode>0.0%</c:formatCode>
                <c:ptCount val="1"/>
                <c:pt idx="0">
                  <c:v>0.27064220183486232</c:v>
                </c:pt>
              </c:numCache>
            </c:numRef>
          </c:val>
          <c:extLst>
            <c:ext xmlns:c16="http://schemas.microsoft.com/office/drawing/2014/chart" uri="{C3380CC4-5D6E-409C-BE32-E72D297353CC}">
              <c16:uniqueId val="{00000008-D266-41C1-908E-2CF90B72D6CF}"/>
            </c:ext>
          </c:extLst>
        </c:ser>
        <c:dLbls>
          <c:showLegendKey val="0"/>
          <c:showVal val="0"/>
          <c:showCatName val="0"/>
          <c:showSerName val="0"/>
          <c:showPercent val="0"/>
          <c:showBubbleSize val="0"/>
        </c:dLbls>
        <c:gapWidth val="30"/>
        <c:overlap val="100"/>
        <c:axId val="1310844560"/>
        <c:axId val="1310849480"/>
      </c:barChart>
      <c:catAx>
        <c:axId val="1310844560"/>
        <c:scaling>
          <c:orientation val="minMax"/>
        </c:scaling>
        <c:delete val="0"/>
        <c:axPos val="l"/>
        <c:numFmt formatCode="General" sourceLinked="1"/>
        <c:majorTickMark val="none"/>
        <c:minorTickMark val="none"/>
        <c:tickLblPos val="low"/>
        <c:spPr>
          <a:noFill/>
          <a:ln w="9525" cap="flat" cmpd="sng" algn="ctr">
            <a:solidFill>
              <a:schemeClr val="tx2"/>
            </a:solidFill>
            <a:prstDash val="dash"/>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310849480"/>
        <c:crossesAt val="1"/>
        <c:auto val="1"/>
        <c:lblAlgn val="ctr"/>
        <c:lblOffset val="100"/>
        <c:noMultiLvlLbl val="0"/>
      </c:catAx>
      <c:valAx>
        <c:axId val="1310849480"/>
        <c:scaling>
          <c:orientation val="minMax"/>
          <c:max val="2"/>
        </c:scaling>
        <c:delete val="0"/>
        <c:axPos val="b"/>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0844560"/>
        <c:crosses val="autoZero"/>
        <c:crossBetween val="between"/>
      </c:valAx>
      <c:spPr>
        <a:noFill/>
        <a:ln>
          <a:solidFill>
            <a:schemeClr val="tx1"/>
          </a:solidFill>
        </a:ln>
        <a:effectLst/>
      </c:spPr>
    </c:plotArea>
    <c:legend>
      <c:legendPos val="t"/>
      <c:legendEntry>
        <c:idx val="0"/>
        <c:delete val="1"/>
      </c:legendEntry>
      <c:legendEntry>
        <c:idx val="8"/>
        <c:delete val="1"/>
      </c:legendEntry>
      <c:layout>
        <c:manualLayout>
          <c:xMode val="edge"/>
          <c:yMode val="edge"/>
          <c:x val="0.52565820939049279"/>
          <c:y val="0.28621313954252831"/>
          <c:w val="0.30302449693788275"/>
          <c:h val="0.1875444475054938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307066764996433"/>
          <c:y val="0.20302053265785666"/>
          <c:w val="0.48109930848521776"/>
          <c:h val="0.76086713010246088"/>
        </c:manualLayout>
      </c:layout>
      <c:barChart>
        <c:barDir val="bar"/>
        <c:grouping val="clustered"/>
        <c:varyColors val="0"/>
        <c:ser>
          <c:idx val="0"/>
          <c:order val="0"/>
          <c:tx>
            <c:strRef>
              <c:f>Sheet1!$B$1</c:f>
              <c:strCache>
                <c:ptCount val="1"/>
                <c:pt idx="0">
                  <c:v>Percent of Total</c:v>
                </c:pt>
              </c:strCache>
            </c:strRef>
          </c:tx>
          <c:spPr>
            <a:solidFill>
              <a:schemeClr val="accent1"/>
            </a:solidFill>
            <a:ln w="6350">
              <a:solidFill>
                <a:schemeClr val="tx1"/>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Currently a Student</c:v>
                </c:pt>
                <c:pt idx="1">
                  <c:v>Still Looking for Employment</c:v>
                </c:pt>
                <c:pt idx="2">
                  <c:v>Needs Additional Help</c:v>
                </c:pt>
                <c:pt idx="3">
                  <c:v>Lack of DOR Assistance</c:v>
                </c:pt>
                <c:pt idx="4">
                  <c:v>Prevented by Disability</c:v>
                </c:pt>
                <c:pt idx="5">
                  <c:v>Not Ready for Employment</c:v>
                </c:pt>
                <c:pt idx="6">
                  <c:v>Prevented by Transportation Issues</c:v>
                </c:pt>
                <c:pt idx="7">
                  <c:v>Lack of Desired Jobs Available</c:v>
                </c:pt>
                <c:pt idx="8">
                  <c:v>Lack of IPE-consistent Jobs Available</c:v>
                </c:pt>
                <c:pt idx="9">
                  <c:v>Retaining SSI/SSDI Benefits</c:v>
                </c:pt>
                <c:pt idx="10">
                  <c:v>Prevented by Family Issues</c:v>
                </c:pt>
              </c:strCache>
            </c:strRef>
          </c:cat>
          <c:val>
            <c:numRef>
              <c:f>Sheet1!$B$2:$B$12</c:f>
              <c:numCache>
                <c:formatCode>0.00%</c:formatCode>
                <c:ptCount val="11"/>
                <c:pt idx="0">
                  <c:v>0.22700000000000001</c:v>
                </c:pt>
                <c:pt idx="1">
                  <c:v>0.184</c:v>
                </c:pt>
                <c:pt idx="2">
                  <c:v>0.122</c:v>
                </c:pt>
                <c:pt idx="3">
                  <c:v>8.6999999999999994E-2</c:v>
                </c:pt>
                <c:pt idx="4">
                  <c:v>8.1000000000000003E-2</c:v>
                </c:pt>
                <c:pt idx="5">
                  <c:v>7.0999999999999994E-2</c:v>
                </c:pt>
                <c:pt idx="6">
                  <c:v>0.06</c:v>
                </c:pt>
                <c:pt idx="7">
                  <c:v>5.8000000000000003E-2</c:v>
                </c:pt>
                <c:pt idx="8">
                  <c:v>4.9000000000000002E-2</c:v>
                </c:pt>
                <c:pt idx="9">
                  <c:v>3.1E-2</c:v>
                </c:pt>
                <c:pt idx="10">
                  <c:v>0.03</c:v>
                </c:pt>
              </c:numCache>
            </c:numRef>
          </c:val>
          <c:extLst>
            <c:ext xmlns:c16="http://schemas.microsoft.com/office/drawing/2014/chart" uri="{C3380CC4-5D6E-409C-BE32-E72D297353CC}">
              <c16:uniqueId val="{00000000-1F97-43F5-99AC-901500D36BCB}"/>
            </c:ext>
          </c:extLst>
        </c:ser>
        <c:dLbls>
          <c:dLblPos val="outEnd"/>
          <c:showLegendKey val="0"/>
          <c:showVal val="1"/>
          <c:showCatName val="0"/>
          <c:showSerName val="0"/>
          <c:showPercent val="0"/>
          <c:showBubbleSize val="0"/>
        </c:dLbls>
        <c:gapWidth val="30"/>
        <c:axId val="465704200"/>
        <c:axId val="465710104"/>
      </c:barChart>
      <c:catAx>
        <c:axId val="465704200"/>
        <c:scaling>
          <c:orientation val="maxMin"/>
        </c:scaling>
        <c:delete val="0"/>
        <c:axPos val="l"/>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5710104"/>
        <c:crosses val="autoZero"/>
        <c:auto val="1"/>
        <c:lblAlgn val="ctr"/>
        <c:lblOffset val="100"/>
        <c:noMultiLvlLbl val="0"/>
      </c:catAx>
      <c:valAx>
        <c:axId val="465710104"/>
        <c:scaling>
          <c:orientation val="minMax"/>
        </c:scaling>
        <c:delete val="1"/>
        <c:axPos val="t"/>
        <c:numFmt formatCode="0.00%" sourceLinked="1"/>
        <c:majorTickMark val="out"/>
        <c:minorTickMark val="none"/>
        <c:tickLblPos val="nextTo"/>
        <c:crossAx val="465704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85000"/>
        </a:schemeClr>
      </a:solidFill>
      <a:round/>
    </a:ln>
    <a:effectLst/>
  </c:spPr>
  <c:txPr>
    <a:bodyPr/>
    <a:lstStyle/>
    <a:p>
      <a:pPr>
        <a:defRPr sz="1200">
          <a:solidFill>
            <a:schemeClr val="tx2"/>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0.3797</cdr:x>
      <cdr:y>0.26251</cdr:y>
    </cdr:from>
    <cdr:to>
      <cdr:x>0.70993</cdr:x>
      <cdr:y>0.46519</cdr:y>
    </cdr:to>
    <cdr:sp macro="" textlink="">
      <cdr:nvSpPr>
        <cdr:cNvPr id="2" name="Text Box 1"/>
        <cdr:cNvSpPr txBox="1"/>
      </cdr:nvSpPr>
      <cdr:spPr>
        <a:xfrm xmlns:a="http://schemas.openxmlformats.org/drawingml/2006/main">
          <a:off x="2603983" y="549752"/>
          <a:ext cx="2264717" cy="4244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solidFill>
                <a:sysClr val="windowText" lastClr="000000"/>
              </a:solidFill>
            </a:rPr>
            <a:t>RATINGS</a:t>
          </a:r>
          <a:endParaRPr lang="en-US" sz="1200" b="1">
            <a:solidFill>
              <a:sysClr val="windowText" lastClr="000000"/>
            </a:solidFill>
          </a:endParaRPr>
        </a:p>
      </cdr:txBody>
    </cdr:sp>
  </cdr:relSizeAnchor>
  <cdr:relSizeAnchor xmlns:cdr="http://schemas.openxmlformats.org/drawingml/2006/chartDrawing">
    <cdr:from>
      <cdr:x>0.37242</cdr:x>
      <cdr:y>0.6826</cdr:y>
    </cdr:from>
    <cdr:to>
      <cdr:x>0.63156</cdr:x>
      <cdr:y>0.92497</cdr:y>
    </cdr:to>
    <cdr:sp macro="" textlink="">
      <cdr:nvSpPr>
        <cdr:cNvPr id="4" name="Text Box 1"/>
        <cdr:cNvSpPr txBox="1"/>
      </cdr:nvSpPr>
      <cdr:spPr>
        <a:xfrm xmlns:a="http://schemas.openxmlformats.org/drawingml/2006/main">
          <a:off x="2554079" y="1059784"/>
          <a:ext cx="1777182" cy="376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0" i="1"/>
            <a:t>Not</a:t>
          </a:r>
          <a:r>
            <a:rPr lang="en-US" sz="1400" b="0" i="1" baseline="0"/>
            <a:t> </a:t>
          </a:r>
          <a:r>
            <a:rPr lang="en-US" sz="1400" b="0" i="1" baseline="0">
              <a:solidFill>
                <a:schemeClr val="tx1"/>
              </a:solidFill>
            </a:rPr>
            <a:t>Satisfied</a:t>
          </a:r>
          <a:endParaRPr lang="en-US" sz="1400" b="0" i="1">
            <a:solidFill>
              <a:schemeClr val="tx1"/>
            </a:solidFill>
          </a:endParaRPr>
        </a:p>
      </cdr:txBody>
    </cdr:sp>
  </cdr:relSizeAnchor>
  <cdr:relSizeAnchor xmlns:cdr="http://schemas.openxmlformats.org/drawingml/2006/chartDrawing">
    <cdr:from>
      <cdr:x>0.57159</cdr:x>
      <cdr:y>0.68735</cdr:y>
    </cdr:from>
    <cdr:to>
      <cdr:x>0.8064</cdr:x>
      <cdr:y>0.84198</cdr:y>
    </cdr:to>
    <cdr:sp macro="" textlink="">
      <cdr:nvSpPr>
        <cdr:cNvPr id="5" name="Text Box 1"/>
        <cdr:cNvSpPr txBox="1"/>
      </cdr:nvSpPr>
      <cdr:spPr>
        <a:xfrm xmlns:a="http://schemas.openxmlformats.org/drawingml/2006/main">
          <a:off x="3919993" y="1103826"/>
          <a:ext cx="1610297" cy="2483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b="0" i="1">
              <a:solidFill>
                <a:schemeClr val="tx1"/>
              </a:solidFill>
            </a:rPr>
            <a:t>Neutral</a:t>
          </a:r>
        </a:p>
      </cdr:txBody>
    </cdr:sp>
  </cdr:relSizeAnchor>
  <cdr:relSizeAnchor xmlns:cdr="http://schemas.openxmlformats.org/drawingml/2006/chartDrawing">
    <cdr:from>
      <cdr:x>0.80083</cdr:x>
      <cdr:y>0.69981</cdr:y>
    </cdr:from>
    <cdr:to>
      <cdr:x>1</cdr:x>
      <cdr:y>0.94218</cdr:y>
    </cdr:to>
    <cdr:sp macro="" textlink="">
      <cdr:nvSpPr>
        <cdr:cNvPr id="6" name="Text Box 1"/>
        <cdr:cNvSpPr txBox="1"/>
      </cdr:nvSpPr>
      <cdr:spPr>
        <a:xfrm xmlns:a="http://schemas.openxmlformats.org/drawingml/2006/main">
          <a:off x="5492092" y="1313139"/>
          <a:ext cx="1365908" cy="4547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400" b="0" i="1">
              <a:solidFill>
                <a:schemeClr val="tx1"/>
              </a:solidFill>
            </a:rPr>
            <a:t>Satisfied</a:t>
          </a:r>
        </a:p>
      </cdr:txBody>
    </cdr:sp>
  </cdr:relSizeAnchor>
  <cdr:relSizeAnchor xmlns:cdr="http://schemas.openxmlformats.org/drawingml/2006/chartDrawing">
    <cdr:from>
      <cdr:x>0</cdr:x>
      <cdr:y>0</cdr:y>
    </cdr:from>
    <cdr:to>
      <cdr:x>0.51034</cdr:x>
      <cdr:y>0.31851</cdr:y>
    </cdr:to>
    <cdr:sp macro="" textlink="">
      <cdr:nvSpPr>
        <cdr:cNvPr id="7" name="Text Box 1"/>
        <cdr:cNvSpPr txBox="1"/>
      </cdr:nvSpPr>
      <cdr:spPr>
        <a:xfrm xmlns:a="http://schemas.openxmlformats.org/drawingml/2006/main">
          <a:off x="-457200" y="0"/>
          <a:ext cx="3499945" cy="5612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b="1" baseline="0">
              <a:solidFill>
                <a:sysClr val="windowText" lastClr="000000"/>
              </a:solidFill>
            </a:rPr>
            <a:t>DOR EXPERIENCE</a:t>
          </a:r>
          <a:endParaRPr lang="en-US" sz="1400" b="1" baseline="0">
            <a:solidFill>
              <a:sysClr val="windowText" lastClr="000000"/>
            </a:solidFill>
          </a:endParaRPr>
        </a:p>
        <a:p xmlns:a="http://schemas.openxmlformats.org/drawingml/2006/main">
          <a:pPr algn="l"/>
          <a:r>
            <a:rPr lang="en-US" sz="1400" b="0" i="1" baseline="0"/>
            <a:t>Percent of Total Ratings Received</a:t>
          </a:r>
        </a:p>
      </cdr:txBody>
    </cdr:sp>
  </cdr:relSizeAnchor>
  <cdr:relSizeAnchor xmlns:cdr="http://schemas.openxmlformats.org/drawingml/2006/chartDrawing">
    <cdr:from>
      <cdr:x>0.36989</cdr:x>
      <cdr:y>0.82264</cdr:y>
    </cdr:from>
    <cdr:to>
      <cdr:x>0.82313</cdr:x>
      <cdr:y>1</cdr:y>
    </cdr:to>
    <cdr:sp macro="" textlink="">
      <cdr:nvSpPr>
        <cdr:cNvPr id="8" name="Text Box 1"/>
        <cdr:cNvSpPr txBox="1"/>
      </cdr:nvSpPr>
      <cdr:spPr>
        <a:xfrm xmlns:a="http://schemas.openxmlformats.org/drawingml/2006/main">
          <a:off x="2536683" y="1277206"/>
          <a:ext cx="3108358" cy="2753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b="1">
              <a:solidFill>
                <a:sysClr val="windowText" lastClr="000000"/>
              </a:solidFill>
            </a:rPr>
            <a:t>SATISFACTION</a:t>
          </a:r>
          <a:r>
            <a:rPr lang="en-US" sz="1600" b="1" baseline="0">
              <a:solidFill>
                <a:sysClr val="windowText" lastClr="000000"/>
              </a:solidFill>
            </a:rPr>
            <a:t> LEVEL</a:t>
          </a:r>
          <a:endParaRPr lang="en-US" sz="12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0.31494</cdr:x>
      <cdr:y>0.80917</cdr:y>
    </cdr:from>
    <cdr:to>
      <cdr:x>0.51644</cdr:x>
      <cdr:y>0.9078</cdr:y>
    </cdr:to>
    <cdr:sp macro="" textlink="">
      <cdr:nvSpPr>
        <cdr:cNvPr id="2" name="Text Box 1"/>
        <cdr:cNvSpPr txBox="1"/>
      </cdr:nvSpPr>
      <cdr:spPr>
        <a:xfrm xmlns:a="http://schemas.openxmlformats.org/drawingml/2006/main">
          <a:off x="2159859" y="3561827"/>
          <a:ext cx="1381887" cy="434152"/>
        </a:xfrm>
        <a:prstGeom xmlns:a="http://schemas.openxmlformats.org/drawingml/2006/main" prst="rect">
          <a:avLst/>
        </a:prstGeom>
      </cdr:spPr>
      <cdr:txBody>
        <a:bodyPr xmlns:a="http://schemas.openxmlformats.org/drawingml/2006/main" vertOverflow="clip" wrap="square" rtlCol="0" anchor="ctr" anchorCtr="0"/>
        <a:lstStyle xmlns:a="http://schemas.openxmlformats.org/drawingml/2006/main"/>
        <a:p xmlns:a="http://schemas.openxmlformats.org/drawingml/2006/main">
          <a:r>
            <a:rPr lang="en-US" sz="1400" b="0" i="1"/>
            <a:t>Not</a:t>
          </a:r>
          <a:r>
            <a:rPr lang="en-US" sz="1400" b="0" i="1" baseline="0"/>
            <a:t> Satisfied</a:t>
          </a:r>
          <a:endParaRPr lang="en-US" sz="1400" b="0" i="1"/>
        </a:p>
      </cdr:txBody>
    </cdr:sp>
  </cdr:relSizeAnchor>
  <cdr:relSizeAnchor xmlns:cdr="http://schemas.openxmlformats.org/drawingml/2006/chartDrawing">
    <cdr:from>
      <cdr:x>0.31297</cdr:x>
      <cdr:y>0.1396</cdr:y>
    </cdr:from>
    <cdr:to>
      <cdr:x>0.5934</cdr:x>
      <cdr:y>0.24576</cdr:y>
    </cdr:to>
    <cdr:sp macro="" textlink="">
      <cdr:nvSpPr>
        <cdr:cNvPr id="3" name="Text Box 1"/>
        <cdr:cNvSpPr txBox="1"/>
      </cdr:nvSpPr>
      <cdr:spPr>
        <a:xfrm xmlns:a="http://schemas.openxmlformats.org/drawingml/2006/main">
          <a:off x="2146348" y="614492"/>
          <a:ext cx="1923189" cy="467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b="1"/>
            <a:t>RATINGS</a:t>
          </a:r>
          <a:endParaRPr lang="en-US" sz="1200" b="1"/>
        </a:p>
      </cdr:txBody>
    </cdr:sp>
  </cdr:relSizeAnchor>
  <cdr:relSizeAnchor xmlns:cdr="http://schemas.openxmlformats.org/drawingml/2006/chartDrawing">
    <cdr:from>
      <cdr:x>0.55466</cdr:x>
      <cdr:y>0.81224</cdr:y>
    </cdr:from>
    <cdr:to>
      <cdr:x>0.75616</cdr:x>
      <cdr:y>0.91087</cdr:y>
    </cdr:to>
    <cdr:sp macro="" textlink="">
      <cdr:nvSpPr>
        <cdr:cNvPr id="4" name="Text Box 1"/>
        <cdr:cNvSpPr txBox="1"/>
      </cdr:nvSpPr>
      <cdr:spPr>
        <a:xfrm xmlns:a="http://schemas.openxmlformats.org/drawingml/2006/main">
          <a:off x="3803858" y="3575341"/>
          <a:ext cx="1381887" cy="434152"/>
        </a:xfrm>
        <a:prstGeom xmlns:a="http://schemas.openxmlformats.org/drawingml/2006/main" prst="rect">
          <a:avLst/>
        </a:prstGeom>
      </cdr:spPr>
      <cdr:txBody>
        <a:bodyPr xmlns:a="http://schemas.openxmlformats.org/drawingml/2006/main" wrap="square"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b="0" i="1"/>
            <a:t>Neutral</a:t>
          </a:r>
        </a:p>
      </cdr:txBody>
    </cdr:sp>
  </cdr:relSizeAnchor>
  <cdr:relSizeAnchor xmlns:cdr="http://schemas.openxmlformats.org/drawingml/2006/chartDrawing">
    <cdr:from>
      <cdr:x>0.7985</cdr:x>
      <cdr:y>0.80917</cdr:y>
    </cdr:from>
    <cdr:to>
      <cdr:x>1</cdr:x>
      <cdr:y>0.9078</cdr:y>
    </cdr:to>
    <cdr:sp macro="" textlink="">
      <cdr:nvSpPr>
        <cdr:cNvPr id="5" name="Text Box 1"/>
        <cdr:cNvSpPr txBox="1"/>
      </cdr:nvSpPr>
      <cdr:spPr>
        <a:xfrm xmlns:a="http://schemas.openxmlformats.org/drawingml/2006/main">
          <a:off x="5476113" y="3561827"/>
          <a:ext cx="1381887" cy="434152"/>
        </a:xfrm>
        <a:prstGeom xmlns:a="http://schemas.openxmlformats.org/drawingml/2006/main" prst="rect">
          <a:avLst/>
        </a:prstGeom>
      </cdr:spPr>
      <cdr:txBody>
        <a:bodyPr xmlns:a="http://schemas.openxmlformats.org/drawingml/2006/main" wrap="square" rtlCol="0" anchor="ctr" anchorCtr="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400" b="0" i="1"/>
            <a:t>Satisfied</a:t>
          </a:r>
        </a:p>
      </cdr:txBody>
    </cdr:sp>
  </cdr:relSizeAnchor>
  <cdr:relSizeAnchor xmlns:cdr="http://schemas.openxmlformats.org/drawingml/2006/chartDrawing">
    <cdr:from>
      <cdr:x>0.01111</cdr:x>
      <cdr:y>0</cdr:y>
    </cdr:from>
    <cdr:to>
      <cdr:x>0.67083</cdr:x>
      <cdr:y>0.1901</cdr:y>
    </cdr:to>
    <cdr:sp macro="" textlink="">
      <cdr:nvSpPr>
        <cdr:cNvPr id="6" name="Text Box 1"/>
        <cdr:cNvSpPr txBox="1"/>
      </cdr:nvSpPr>
      <cdr:spPr>
        <a:xfrm xmlns:a="http://schemas.openxmlformats.org/drawingml/2006/main">
          <a:off x="76192" y="0"/>
          <a:ext cx="4524360" cy="5486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b="1"/>
            <a:t>DOR COUNSELORS</a:t>
          </a:r>
          <a:endParaRPr lang="en-US" sz="1400" b="1"/>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US" sz="1400" b="0" i="1" baseline="0"/>
            <a:t>Percent of Total Ratings Received</a:t>
          </a:r>
        </a:p>
      </cdr:txBody>
    </cdr:sp>
  </cdr:relSizeAnchor>
  <cdr:relSizeAnchor xmlns:cdr="http://schemas.openxmlformats.org/drawingml/2006/chartDrawing">
    <cdr:from>
      <cdr:x>0.31264</cdr:x>
      <cdr:y>0.89373</cdr:y>
    </cdr:from>
    <cdr:to>
      <cdr:x>0.8186</cdr:x>
      <cdr:y>0.98309</cdr:y>
    </cdr:to>
    <cdr:sp macro="" textlink="">
      <cdr:nvSpPr>
        <cdr:cNvPr id="7" name="Text Box 1"/>
        <cdr:cNvSpPr txBox="1"/>
      </cdr:nvSpPr>
      <cdr:spPr>
        <a:xfrm xmlns:a="http://schemas.openxmlformats.org/drawingml/2006/main">
          <a:off x="2144085" y="3934046"/>
          <a:ext cx="3469874" cy="3933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b="1"/>
            <a:t>SATISFACTION LEVEL</a:t>
          </a:r>
          <a:endParaRPr lang="en-US" sz="1200" b="1"/>
        </a:p>
      </cdr:txBody>
    </cdr:sp>
  </cdr:relSizeAnchor>
</c:userShapes>
</file>

<file path=word/drawings/drawing3.xml><?xml version="1.0" encoding="utf-8"?>
<c:userShapes xmlns:c="http://schemas.openxmlformats.org/drawingml/2006/chart">
  <cdr:relSizeAnchor xmlns:cdr="http://schemas.openxmlformats.org/drawingml/2006/chartDrawing">
    <cdr:from>
      <cdr:x>0.32174</cdr:x>
      <cdr:y>0.17231</cdr:y>
    </cdr:from>
    <cdr:to>
      <cdr:x>0.50894</cdr:x>
      <cdr:y>0.29526</cdr:y>
    </cdr:to>
    <cdr:sp macro="" textlink="">
      <cdr:nvSpPr>
        <cdr:cNvPr id="2" name="Text Box 1"/>
        <cdr:cNvSpPr txBox="1"/>
      </cdr:nvSpPr>
      <cdr:spPr>
        <a:xfrm xmlns:a="http://schemas.openxmlformats.org/drawingml/2006/main">
          <a:off x="2206497" y="599052"/>
          <a:ext cx="1283817" cy="4274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600" b="1"/>
            <a:t>RATINGS</a:t>
          </a:r>
          <a:endParaRPr lang="en-US" sz="1200" b="1"/>
        </a:p>
      </cdr:txBody>
    </cdr:sp>
  </cdr:relSizeAnchor>
  <cdr:relSizeAnchor xmlns:cdr="http://schemas.openxmlformats.org/drawingml/2006/chartDrawing">
    <cdr:from>
      <cdr:x>0</cdr:x>
      <cdr:y>0</cdr:y>
    </cdr:from>
    <cdr:to>
      <cdr:x>0.45917</cdr:x>
      <cdr:y>0.21753</cdr:y>
    </cdr:to>
    <cdr:sp macro="" textlink="">
      <cdr:nvSpPr>
        <cdr:cNvPr id="3" name="Text Box 1"/>
        <cdr:cNvSpPr txBox="1"/>
      </cdr:nvSpPr>
      <cdr:spPr>
        <a:xfrm xmlns:a="http://schemas.openxmlformats.org/drawingml/2006/main">
          <a:off x="-704850" y="0"/>
          <a:ext cx="2925934" cy="5424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b="1"/>
            <a:t>SERVICE PROVIDERS</a:t>
          </a:r>
        </a:p>
        <a:p xmlns:a="http://schemas.openxmlformats.org/drawingml/2006/main">
          <a:pPr algn="l"/>
          <a:r>
            <a:rPr lang="en-US" sz="1400" b="0" i="1" baseline="0"/>
            <a:t>Percent of Total Ratings Received</a:t>
          </a:r>
        </a:p>
      </cdr:txBody>
    </cdr:sp>
  </cdr:relSizeAnchor>
  <cdr:relSizeAnchor xmlns:cdr="http://schemas.openxmlformats.org/drawingml/2006/chartDrawing">
    <cdr:from>
      <cdr:x>0.31628</cdr:x>
      <cdr:y>0.81374</cdr:y>
    </cdr:from>
    <cdr:to>
      <cdr:x>0.52192</cdr:x>
      <cdr:y>0.90411</cdr:y>
    </cdr:to>
    <cdr:sp macro="" textlink="">
      <cdr:nvSpPr>
        <cdr:cNvPr id="4" name="Text Box 1"/>
        <cdr:cNvSpPr txBox="1"/>
      </cdr:nvSpPr>
      <cdr:spPr>
        <a:xfrm xmlns:a="http://schemas.openxmlformats.org/drawingml/2006/main">
          <a:off x="2169041" y="2829075"/>
          <a:ext cx="1410307" cy="3141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b="0" i="1"/>
            <a:t>Not</a:t>
          </a:r>
          <a:r>
            <a:rPr lang="en-US" sz="1400" b="0" i="1" baseline="0"/>
            <a:t> </a:t>
          </a:r>
          <a:r>
            <a:rPr lang="en-US" sz="1400" b="0" i="1" baseline="0">
              <a:solidFill>
                <a:schemeClr val="tx1"/>
              </a:solidFill>
            </a:rPr>
            <a:t>Satisfied</a:t>
          </a:r>
          <a:endParaRPr lang="en-US" sz="1100" b="0" i="1">
            <a:solidFill>
              <a:schemeClr val="tx1"/>
            </a:solidFill>
          </a:endParaRPr>
        </a:p>
      </cdr:txBody>
    </cdr:sp>
  </cdr:relSizeAnchor>
  <cdr:relSizeAnchor xmlns:cdr="http://schemas.openxmlformats.org/drawingml/2006/chartDrawing">
    <cdr:from>
      <cdr:x>0.57364</cdr:x>
      <cdr:y>0.8168</cdr:y>
    </cdr:from>
    <cdr:to>
      <cdr:x>0.74419</cdr:x>
      <cdr:y>0.90717</cdr:y>
    </cdr:to>
    <cdr:sp macro="" textlink="">
      <cdr:nvSpPr>
        <cdr:cNvPr id="5" name="Text Box 1"/>
        <cdr:cNvSpPr txBox="1"/>
      </cdr:nvSpPr>
      <cdr:spPr>
        <a:xfrm xmlns:a="http://schemas.openxmlformats.org/drawingml/2006/main">
          <a:off x="3934047" y="2839707"/>
          <a:ext cx="1169581" cy="31418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b="0" i="1"/>
            <a:t>Neutral</a:t>
          </a:r>
          <a:endParaRPr lang="en-US" sz="1100" b="0" i="1"/>
        </a:p>
      </cdr:txBody>
    </cdr:sp>
  </cdr:relSizeAnchor>
  <cdr:relSizeAnchor xmlns:cdr="http://schemas.openxmlformats.org/drawingml/2006/chartDrawing">
    <cdr:from>
      <cdr:x>0.8072</cdr:x>
      <cdr:y>0.8168</cdr:y>
    </cdr:from>
    <cdr:to>
      <cdr:x>0.99053</cdr:x>
      <cdr:y>0.90717</cdr:y>
    </cdr:to>
    <cdr:sp macro="" textlink="">
      <cdr:nvSpPr>
        <cdr:cNvPr id="6" name="Text Box 1"/>
        <cdr:cNvSpPr txBox="1"/>
      </cdr:nvSpPr>
      <cdr:spPr>
        <a:xfrm xmlns:a="http://schemas.openxmlformats.org/drawingml/2006/main">
          <a:off x="5535770" y="2520740"/>
          <a:ext cx="1257277" cy="278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400" b="0" i="1" baseline="0"/>
            <a:t>Satisfied</a:t>
          </a:r>
          <a:endParaRPr lang="en-US" sz="1100" b="0" i="1"/>
        </a:p>
      </cdr:txBody>
    </cdr:sp>
  </cdr:relSizeAnchor>
  <cdr:relSizeAnchor xmlns:cdr="http://schemas.openxmlformats.org/drawingml/2006/chartDrawing">
    <cdr:from>
      <cdr:x>0.31318</cdr:x>
      <cdr:y>0.87371</cdr:y>
    </cdr:from>
    <cdr:to>
      <cdr:x>0.85175</cdr:x>
      <cdr:y>0.97248</cdr:y>
    </cdr:to>
    <cdr:sp macro="" textlink="">
      <cdr:nvSpPr>
        <cdr:cNvPr id="7" name="Text Box 1"/>
        <cdr:cNvSpPr txBox="1"/>
      </cdr:nvSpPr>
      <cdr:spPr>
        <a:xfrm xmlns:a="http://schemas.openxmlformats.org/drawingml/2006/main">
          <a:off x="2147778" y="3037545"/>
          <a:ext cx="3693494" cy="3433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600" b="1"/>
            <a:t>SATISFACTION LEVEL</a:t>
          </a:r>
          <a:endParaRPr lang="en-US" sz="1200" b="1"/>
        </a:p>
      </cdr:txBody>
    </cdr:sp>
  </cdr:relSizeAnchor>
</c:userShapes>
</file>

<file path=word/drawings/drawing4.xml><?xml version="1.0" encoding="utf-8"?>
<c:userShapes xmlns:c="http://schemas.openxmlformats.org/drawingml/2006/chart">
  <cdr:relSizeAnchor xmlns:cdr="http://schemas.openxmlformats.org/drawingml/2006/chartDrawing">
    <cdr:from>
      <cdr:x>0.42045</cdr:x>
      <cdr:y>0.16205</cdr:y>
    </cdr:from>
    <cdr:to>
      <cdr:x>0.65783</cdr:x>
      <cdr:y>0.27569</cdr:y>
    </cdr:to>
    <cdr:sp macro="" textlink="">
      <cdr:nvSpPr>
        <cdr:cNvPr id="2" name="Text Box 1"/>
        <cdr:cNvSpPr txBox="1"/>
      </cdr:nvSpPr>
      <cdr:spPr>
        <a:xfrm xmlns:a="http://schemas.openxmlformats.org/drawingml/2006/main">
          <a:off x="2883446" y="523777"/>
          <a:ext cx="1627952" cy="367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RATINGS</a:t>
          </a:r>
          <a:endParaRPr lang="en-US" sz="1400" b="1"/>
        </a:p>
      </cdr:txBody>
    </cdr:sp>
  </cdr:relSizeAnchor>
  <cdr:absSizeAnchor xmlns:cdr="http://schemas.openxmlformats.org/drawingml/2006/chartDrawing">
    <cdr:from>
      <cdr:x>0</cdr:x>
      <cdr:y>0</cdr:y>
    </cdr:from>
    <cdr:ext cx="4614530" cy="604300"/>
    <cdr:sp macro="" textlink="">
      <cdr:nvSpPr>
        <cdr:cNvPr id="3" name="Text Box 1"/>
        <cdr:cNvSpPr txBox="1"/>
      </cdr:nvSpPr>
      <cdr:spPr>
        <a:xfrm xmlns:a="http://schemas.openxmlformats.org/drawingml/2006/main">
          <a:off x="0" y="0"/>
          <a:ext cx="4614530" cy="6043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800" b="1"/>
            <a:t>EMPLOYMENT SERVICES</a:t>
          </a:r>
        </a:p>
        <a:p xmlns:a="http://schemas.openxmlformats.org/drawingml/2006/main">
          <a:pPr algn="l"/>
          <a:r>
            <a:rPr lang="en-US" sz="1400" b="0" i="1" baseline="0"/>
            <a:t>Percent of Total Ratings Received</a:t>
          </a:r>
        </a:p>
      </cdr:txBody>
    </cdr:sp>
  </cdr:absSizeAnchor>
  <cdr:relSizeAnchor xmlns:cdr="http://schemas.openxmlformats.org/drawingml/2006/chartDrawing">
    <cdr:from>
      <cdr:x>0.42353</cdr:x>
      <cdr:y>0.82005</cdr:y>
    </cdr:from>
    <cdr:to>
      <cdr:x>0.61762</cdr:x>
      <cdr:y>0.91141</cdr:y>
    </cdr:to>
    <cdr:sp macro="" textlink="">
      <cdr:nvSpPr>
        <cdr:cNvPr id="4" name="Text Box 3"/>
        <cdr:cNvSpPr txBox="1"/>
      </cdr:nvSpPr>
      <cdr:spPr>
        <a:xfrm xmlns:a="http://schemas.openxmlformats.org/drawingml/2006/main">
          <a:off x="2904555" y="2301639"/>
          <a:ext cx="1331069" cy="2564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i="1"/>
            <a:t>Not Satisfied</a:t>
          </a:r>
        </a:p>
      </cdr:txBody>
    </cdr:sp>
  </cdr:relSizeAnchor>
  <cdr:relSizeAnchor xmlns:cdr="http://schemas.openxmlformats.org/drawingml/2006/chartDrawing">
    <cdr:from>
      <cdr:x>0.60858</cdr:x>
      <cdr:y>0.81473</cdr:y>
    </cdr:from>
    <cdr:to>
      <cdr:x>0.80737</cdr:x>
      <cdr:y>0.90609</cdr:y>
    </cdr:to>
    <cdr:sp macro="" textlink="">
      <cdr:nvSpPr>
        <cdr:cNvPr id="5" name="Text Box 1"/>
        <cdr:cNvSpPr txBox="1"/>
      </cdr:nvSpPr>
      <cdr:spPr>
        <a:xfrm xmlns:a="http://schemas.openxmlformats.org/drawingml/2006/main">
          <a:off x="4173671" y="2286698"/>
          <a:ext cx="1363302" cy="2564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i="1"/>
            <a:t>Neutral</a:t>
          </a:r>
        </a:p>
      </cdr:txBody>
    </cdr:sp>
  </cdr:relSizeAnchor>
  <cdr:relSizeAnchor xmlns:cdr="http://schemas.openxmlformats.org/drawingml/2006/chartDrawing">
    <cdr:from>
      <cdr:x>0.80121</cdr:x>
      <cdr:y>0.81582</cdr:y>
    </cdr:from>
    <cdr:to>
      <cdr:x>1</cdr:x>
      <cdr:y>0.90718</cdr:y>
    </cdr:to>
    <cdr:sp macro="" textlink="">
      <cdr:nvSpPr>
        <cdr:cNvPr id="6" name="Text Box 1"/>
        <cdr:cNvSpPr txBox="1"/>
      </cdr:nvSpPr>
      <cdr:spPr>
        <a:xfrm xmlns:a="http://schemas.openxmlformats.org/drawingml/2006/main">
          <a:off x="5494699" y="2289753"/>
          <a:ext cx="1363301" cy="2564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400" i="1"/>
            <a:t>Satisfied</a:t>
          </a:r>
        </a:p>
      </cdr:txBody>
    </cdr:sp>
  </cdr:relSizeAnchor>
  <cdr:relSizeAnchor xmlns:cdr="http://schemas.openxmlformats.org/drawingml/2006/chartDrawing">
    <cdr:from>
      <cdr:x>0.42149</cdr:x>
      <cdr:y>0.89658</cdr:y>
    </cdr:from>
    <cdr:to>
      <cdr:x>0.87736</cdr:x>
      <cdr:y>0.97923</cdr:y>
    </cdr:to>
    <cdr:sp macro="" textlink="">
      <cdr:nvSpPr>
        <cdr:cNvPr id="7" name="Text Box 1"/>
        <cdr:cNvSpPr txBox="1"/>
      </cdr:nvSpPr>
      <cdr:spPr>
        <a:xfrm xmlns:a="http://schemas.openxmlformats.org/drawingml/2006/main">
          <a:off x="2890571" y="2878532"/>
          <a:ext cx="3126356" cy="2653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b="1"/>
            <a:t>SATISFACTION LEVEL</a:t>
          </a:r>
          <a:endParaRPr lang="en-US" sz="1400" b="1"/>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0.9277</cdr:x>
      <cdr:y>0.4751</cdr:y>
    </cdr:to>
    <cdr:sp macro="" textlink="">
      <cdr:nvSpPr>
        <cdr:cNvPr id="2" name="Text Box 1"/>
        <cdr:cNvSpPr txBox="1"/>
      </cdr:nvSpPr>
      <cdr:spPr>
        <a:xfrm xmlns:a="http://schemas.openxmlformats.org/drawingml/2006/main">
          <a:off x="0" y="0"/>
          <a:ext cx="6362167" cy="1181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800" b="1"/>
            <a:t>CURRENT EMPLOYMENT</a:t>
          </a:r>
          <a:endParaRPr lang="en-US" sz="1600" b="1" baseline="0"/>
        </a:p>
        <a:p xmlns:a="http://schemas.openxmlformats.org/drawingml/2006/main">
          <a:pPr algn="l"/>
          <a:r>
            <a:rPr lang="en-US" sz="1400" b="0" i="1" baseline="0"/>
            <a:t>Percent of Total Ratings Received</a:t>
          </a:r>
        </a:p>
      </cdr:txBody>
    </cdr:sp>
  </cdr:relSizeAnchor>
  <cdr:absSizeAnchor xmlns:cdr="http://schemas.openxmlformats.org/drawingml/2006/chartDrawing">
    <cdr:from>
      <cdr:x>0.35113</cdr:x>
      <cdr:y>0.79748</cdr:y>
    </cdr:from>
    <cdr:ext cx="2552368" cy="365756"/>
    <cdr:sp macro="" textlink="">
      <cdr:nvSpPr>
        <cdr:cNvPr id="4" name="Text Box 1"/>
        <cdr:cNvSpPr txBox="1"/>
      </cdr:nvSpPr>
      <cdr:spPr>
        <a:xfrm xmlns:a="http://schemas.openxmlformats.org/drawingml/2006/main">
          <a:off x="2408016" y="2331475"/>
          <a:ext cx="2552368" cy="3657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400" b="0" i="1"/>
            <a:t>Not</a:t>
          </a:r>
          <a:r>
            <a:rPr lang="en-US" sz="1400" b="0" i="1" baseline="0"/>
            <a:t> Satisfied</a:t>
          </a:r>
          <a:endParaRPr lang="en-US" sz="1800" b="1" i="0"/>
        </a:p>
      </cdr:txBody>
    </cdr:sp>
  </cdr:absSizeAnchor>
  <cdr:absSizeAnchor xmlns:cdr="http://schemas.openxmlformats.org/drawingml/2006/chartDrawing">
    <cdr:from>
      <cdr:x>0.57499</cdr:x>
      <cdr:y>0.7982</cdr:y>
    </cdr:from>
    <cdr:ext cx="1259796" cy="352484"/>
    <cdr:sp macro="" textlink="">
      <cdr:nvSpPr>
        <cdr:cNvPr id="5" name="Text Box 1"/>
        <cdr:cNvSpPr txBox="1"/>
      </cdr:nvSpPr>
      <cdr:spPr>
        <a:xfrm xmlns:a="http://schemas.openxmlformats.org/drawingml/2006/main">
          <a:off x="3943314" y="2333580"/>
          <a:ext cx="1259796" cy="3524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b="0" i="1"/>
            <a:t>Neutral</a:t>
          </a:r>
        </a:p>
        <a:p xmlns:a="http://schemas.openxmlformats.org/drawingml/2006/main">
          <a:pPr algn="ctr"/>
          <a:endParaRPr lang="en-US" sz="1400" b="0" i="1"/>
        </a:p>
      </cdr:txBody>
    </cdr:sp>
  </cdr:absSizeAnchor>
  <cdr:absSizeAnchor xmlns:cdr="http://schemas.openxmlformats.org/drawingml/2006/chartDrawing">
    <cdr:from>
      <cdr:x>0.84225</cdr:x>
      <cdr:y>0.80268</cdr:y>
    </cdr:from>
    <cdr:ext cx="1007408" cy="365755"/>
    <cdr:sp macro="" textlink="">
      <cdr:nvSpPr>
        <cdr:cNvPr id="6" name="Text Box 1"/>
        <cdr:cNvSpPr txBox="1"/>
      </cdr:nvSpPr>
      <cdr:spPr>
        <a:xfrm xmlns:a="http://schemas.openxmlformats.org/drawingml/2006/main">
          <a:off x="5776164" y="2346658"/>
          <a:ext cx="1007408" cy="3657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400" b="0" i="1"/>
            <a:t>Satisfied</a:t>
          </a:r>
          <a:endParaRPr lang="en-US" sz="1400" b="0" i="0"/>
        </a:p>
        <a:p xmlns:a="http://schemas.openxmlformats.org/drawingml/2006/main">
          <a:pPr algn="r"/>
          <a:endParaRPr lang="en-US" sz="1400" b="0" i="0"/>
        </a:p>
      </cdr:txBody>
    </cdr:sp>
  </cdr:absSizeAnchor>
  <cdr:relSizeAnchor xmlns:cdr="http://schemas.openxmlformats.org/drawingml/2006/chartDrawing">
    <cdr:from>
      <cdr:x>0.34755</cdr:x>
      <cdr:y>0.18595</cdr:y>
    </cdr:from>
    <cdr:to>
      <cdr:x>0.54424</cdr:x>
      <cdr:y>0.29177</cdr:y>
    </cdr:to>
    <cdr:sp macro="" textlink="">
      <cdr:nvSpPr>
        <cdr:cNvPr id="9" name="Text Box 1"/>
        <cdr:cNvSpPr txBox="1"/>
      </cdr:nvSpPr>
      <cdr:spPr>
        <a:xfrm xmlns:a="http://schemas.openxmlformats.org/drawingml/2006/main">
          <a:off x="2383498" y="543640"/>
          <a:ext cx="1348900" cy="3093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600" b="1"/>
            <a:t>RATINGS</a:t>
          </a:r>
          <a:endParaRPr lang="en-US" sz="1200" b="1"/>
        </a:p>
      </cdr:txBody>
    </cdr:sp>
  </cdr:relSizeAnchor>
  <cdr:relSizeAnchor xmlns:cdr="http://schemas.openxmlformats.org/drawingml/2006/chartDrawing">
    <cdr:from>
      <cdr:x>0.35022</cdr:x>
      <cdr:y>0.88384</cdr:y>
    </cdr:from>
    <cdr:to>
      <cdr:x>0.87536</cdr:x>
      <cdr:y>0.95907</cdr:y>
    </cdr:to>
    <cdr:sp macro="" textlink="">
      <cdr:nvSpPr>
        <cdr:cNvPr id="7" name="Text Box 1"/>
        <cdr:cNvSpPr txBox="1"/>
      </cdr:nvSpPr>
      <cdr:spPr>
        <a:xfrm xmlns:a="http://schemas.openxmlformats.org/drawingml/2006/main">
          <a:off x="2401824" y="2583933"/>
          <a:ext cx="3601410" cy="21993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600" b="1" i="0"/>
            <a:t>SATISFACTION</a:t>
          </a:r>
          <a:r>
            <a:rPr lang="en-US" sz="1600" b="1" i="0" baseline="0"/>
            <a:t> LEVEL</a:t>
          </a:r>
          <a:endParaRPr lang="en-US" sz="1600" b="1" i="0"/>
        </a:p>
      </cdr:txBody>
    </cdr:sp>
  </cdr:relSizeAnchor>
</c:userShapes>
</file>

<file path=word/drawings/drawing6.xml><?xml version="1.0" encoding="utf-8"?>
<c:userShapes xmlns:c="http://schemas.openxmlformats.org/drawingml/2006/chart">
  <cdr:relSizeAnchor xmlns:cdr="http://schemas.openxmlformats.org/drawingml/2006/chartDrawing">
    <cdr:from>
      <cdr:x>0.36422</cdr:x>
      <cdr:y>0.71348</cdr:y>
    </cdr:from>
    <cdr:to>
      <cdr:x>0.76713</cdr:x>
      <cdr:y>0.8754</cdr:y>
    </cdr:to>
    <cdr:sp macro="" textlink="">
      <cdr:nvSpPr>
        <cdr:cNvPr id="4" name="Text Box 1"/>
        <cdr:cNvSpPr txBox="1"/>
      </cdr:nvSpPr>
      <cdr:spPr>
        <a:xfrm xmlns:a="http://schemas.openxmlformats.org/drawingml/2006/main">
          <a:off x="2497838" y="1246359"/>
          <a:ext cx="2763156" cy="28285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400" b="0">
              <a:solidFill>
                <a:schemeClr val="tx1"/>
              </a:solidFill>
            </a:rPr>
            <a:t>Not</a:t>
          </a:r>
          <a:r>
            <a:rPr lang="en-US" sz="1400" b="0" baseline="0">
              <a:solidFill>
                <a:schemeClr val="tx1"/>
              </a:solidFill>
            </a:rPr>
            <a:t> Satisfied</a:t>
          </a:r>
        </a:p>
      </cdr:txBody>
    </cdr:sp>
  </cdr:relSizeAnchor>
  <cdr:relSizeAnchor xmlns:cdr="http://schemas.openxmlformats.org/drawingml/2006/chartDrawing">
    <cdr:from>
      <cdr:x>0.57129</cdr:x>
      <cdr:y>0.71245</cdr:y>
    </cdr:from>
    <cdr:to>
      <cdr:x>0.76002</cdr:x>
      <cdr:y>0.92649</cdr:y>
    </cdr:to>
    <cdr:sp macro="" textlink="">
      <cdr:nvSpPr>
        <cdr:cNvPr id="5" name="Text Box 1"/>
        <cdr:cNvSpPr txBox="1"/>
      </cdr:nvSpPr>
      <cdr:spPr>
        <a:xfrm xmlns:a="http://schemas.openxmlformats.org/drawingml/2006/main">
          <a:off x="3612096" y="1386170"/>
          <a:ext cx="1193283" cy="416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400" b="0">
              <a:solidFill>
                <a:schemeClr val="tx1"/>
              </a:solidFill>
            </a:rPr>
            <a:t>Neutral</a:t>
          </a:r>
          <a:endParaRPr lang="en-US" sz="1100" b="0">
            <a:solidFill>
              <a:schemeClr val="tx1"/>
            </a:solidFill>
          </a:endParaRPr>
        </a:p>
      </cdr:txBody>
    </cdr:sp>
  </cdr:relSizeAnchor>
  <cdr:relSizeAnchor xmlns:cdr="http://schemas.openxmlformats.org/drawingml/2006/chartDrawing">
    <cdr:from>
      <cdr:x>0.7995</cdr:x>
      <cdr:y>0.71245</cdr:y>
    </cdr:from>
    <cdr:to>
      <cdr:x>0.98823</cdr:x>
      <cdr:y>0.92649</cdr:y>
    </cdr:to>
    <cdr:sp macro="" textlink="">
      <cdr:nvSpPr>
        <cdr:cNvPr id="6" name="Text Box 1"/>
        <cdr:cNvSpPr txBox="1"/>
      </cdr:nvSpPr>
      <cdr:spPr>
        <a:xfrm xmlns:a="http://schemas.openxmlformats.org/drawingml/2006/main">
          <a:off x="5054985" y="1386170"/>
          <a:ext cx="1193282" cy="4164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400" b="0">
              <a:solidFill>
                <a:schemeClr val="tx1"/>
              </a:solidFill>
            </a:rPr>
            <a:t>Satisfied</a:t>
          </a:r>
          <a:endParaRPr lang="en-US" sz="1100" b="0">
            <a:solidFill>
              <a:schemeClr val="tx1"/>
            </a:solidFill>
          </a:endParaRPr>
        </a:p>
      </cdr:txBody>
    </cdr:sp>
  </cdr:relSizeAnchor>
  <cdr:relSizeAnchor xmlns:cdr="http://schemas.openxmlformats.org/drawingml/2006/chartDrawing">
    <cdr:from>
      <cdr:x>0</cdr:x>
      <cdr:y>0</cdr:y>
    </cdr:from>
    <cdr:to>
      <cdr:x>0.64575</cdr:x>
      <cdr:y>0.51923</cdr:y>
    </cdr:to>
    <cdr:sp macro="" textlink="">
      <cdr:nvSpPr>
        <cdr:cNvPr id="3" name="Text Box 2"/>
        <cdr:cNvSpPr txBox="1"/>
      </cdr:nvSpPr>
      <cdr:spPr>
        <a:xfrm xmlns:a="http://schemas.openxmlformats.org/drawingml/2006/main">
          <a:off x="0" y="0"/>
          <a:ext cx="4428554" cy="771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US" sz="1800" b="1" i="0" baseline="0"/>
            <a:t>EMPLOYMENT OPPORTUNITIES</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n-US" sz="1400" b="0" i="1" baseline="0"/>
            <a:t>Percent of Total Ratings Received</a:t>
          </a:r>
          <a:endParaRPr lang="en-US" sz="1000" b="0" i="1" baseline="0"/>
        </a:p>
      </cdr:txBody>
    </cdr:sp>
  </cdr:relSizeAnchor>
  <cdr:relSizeAnchor xmlns:cdr="http://schemas.openxmlformats.org/drawingml/2006/chartDrawing">
    <cdr:from>
      <cdr:x>0.3654</cdr:x>
      <cdr:y>0.82519</cdr:y>
    </cdr:from>
    <cdr:to>
      <cdr:x>0.76831</cdr:x>
      <cdr:y>1</cdr:y>
    </cdr:to>
    <cdr:sp macro="" textlink="">
      <cdr:nvSpPr>
        <cdr:cNvPr id="7" name="Text Box 1"/>
        <cdr:cNvSpPr txBox="1"/>
      </cdr:nvSpPr>
      <cdr:spPr>
        <a:xfrm xmlns:a="http://schemas.openxmlformats.org/drawingml/2006/main">
          <a:off x="2505945" y="1728138"/>
          <a:ext cx="2763157" cy="3660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600" b="1" baseline="0">
              <a:solidFill>
                <a:schemeClr val="tx1"/>
              </a:solidFill>
            </a:rPr>
            <a:t>SATISFACTION LEVEL</a:t>
          </a:r>
          <a:endParaRPr lang="en-US" sz="1200" b="1">
            <a:solidFill>
              <a:schemeClr val="tx1"/>
            </a:solidFill>
          </a:endParaRPr>
        </a:p>
      </cdr:txBody>
    </cdr:sp>
  </cdr:relSizeAnchor>
  <cdr:relSizeAnchor xmlns:cdr="http://schemas.openxmlformats.org/drawingml/2006/chartDrawing">
    <cdr:from>
      <cdr:x>0.36617</cdr:x>
      <cdr:y>0.28129</cdr:y>
    </cdr:from>
    <cdr:to>
      <cdr:x>0.76908</cdr:x>
      <cdr:y>0.4561</cdr:y>
    </cdr:to>
    <cdr:sp macro="" textlink="">
      <cdr:nvSpPr>
        <cdr:cNvPr id="8" name="Text Box 1"/>
        <cdr:cNvSpPr txBox="1"/>
      </cdr:nvSpPr>
      <cdr:spPr>
        <a:xfrm xmlns:a="http://schemas.openxmlformats.org/drawingml/2006/main">
          <a:off x="2511194" y="556219"/>
          <a:ext cx="2763157" cy="3456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600" b="1" baseline="0">
              <a:solidFill>
                <a:schemeClr val="tx1"/>
              </a:solidFill>
            </a:rPr>
            <a:t>RATINGS</a:t>
          </a:r>
          <a:endParaRPr lang="en-US" sz="1200" b="1">
            <a:solidFill>
              <a:schemeClr val="tx1"/>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0.03147</cdr:x>
      <cdr:y>0.02767</cdr:y>
    </cdr:from>
    <cdr:to>
      <cdr:x>0.93062</cdr:x>
      <cdr:y>0.17383</cdr:y>
    </cdr:to>
    <cdr:sp macro="" textlink="">
      <cdr:nvSpPr>
        <cdr:cNvPr id="3" name="Text Box 1"/>
        <cdr:cNvSpPr txBox="1"/>
      </cdr:nvSpPr>
      <cdr:spPr>
        <a:xfrm xmlns:a="http://schemas.openxmlformats.org/drawingml/2006/main">
          <a:off x="165383" y="82496"/>
          <a:ext cx="4725267" cy="43575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800" b="1">
              <a:latin typeface="Arial" panose="020B0604020202020204" pitchFamily="34" charset="0"/>
              <a:cs typeface="Arial" panose="020B0604020202020204" pitchFamily="34" charset="0"/>
            </a:rPr>
            <a:t>UNEMPLOYMENT </a:t>
          </a:r>
          <a:r>
            <a:rPr lang="en-US" sz="1800" b="1" baseline="0">
              <a:latin typeface="Arial" panose="020B0604020202020204" pitchFamily="34" charset="0"/>
              <a:cs typeface="Arial" panose="020B0604020202020204" pitchFamily="34" charset="0"/>
            </a:rPr>
            <a:t>REASONS</a:t>
          </a:r>
          <a:endParaRPr lang="en-US" sz="1600" b="1" baseline="0">
            <a:latin typeface="Arial" panose="020B0604020202020204" pitchFamily="34" charset="0"/>
            <a:cs typeface="Arial" panose="020B0604020202020204" pitchFamily="34" charset="0"/>
          </a:endParaRPr>
        </a:p>
        <a:p xmlns:a="http://schemas.openxmlformats.org/drawingml/2006/main">
          <a:pPr algn="l"/>
          <a:r>
            <a:rPr lang="en-US" sz="1400" b="0" i="1" baseline="0">
              <a:latin typeface="Arial" panose="020B0604020202020204" pitchFamily="34" charset="0"/>
              <a:cs typeface="Arial" panose="020B0604020202020204" pitchFamily="34" charset="0"/>
            </a:rPr>
            <a:t>(Percent of Total Reasons Reported)</a:t>
          </a:r>
          <a:endParaRPr lang="en-US" sz="1400" b="0" i="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Custom 3">
      <a:dk1>
        <a:srgbClr val="000000"/>
      </a:dk1>
      <a:lt1>
        <a:sysClr val="window" lastClr="FFFFFF"/>
      </a:lt1>
      <a:dk2>
        <a:srgbClr val="00263E"/>
      </a:dk2>
      <a:lt2>
        <a:srgbClr val="C0D8EE"/>
      </a:lt2>
      <a:accent1>
        <a:srgbClr val="0156A5"/>
      </a:accent1>
      <a:accent2>
        <a:srgbClr val="676767"/>
      </a:accent2>
      <a:accent3>
        <a:srgbClr val="9A0000"/>
      </a:accent3>
      <a:accent4>
        <a:srgbClr val="DB912E"/>
      </a:accent4>
      <a:accent5>
        <a:srgbClr val="008CBA"/>
      </a:accent5>
      <a:accent6>
        <a:srgbClr val="A4B108"/>
      </a:accent6>
      <a:hlink>
        <a:srgbClr val="83C7AE"/>
      </a:hlink>
      <a:folHlink>
        <a:srgbClr val="694D9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FE02-931A-4120-B2A5-1974E630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7489</Words>
  <Characters>42689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Consumer Satisfaction Survey Results FY 2020-21</vt:lpstr>
    </vt:vector>
  </TitlesOfParts>
  <Company/>
  <LinksUpToDate>false</LinksUpToDate>
  <CharactersWithSpaces>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Satisfaction Survey Results FY 2020-21</dc:title>
  <dc:subject/>
  <dc:creator>Prepared in collaboration with the State Rehabilitation Council</dc:creator>
  <cp:keywords/>
  <dc:description/>
  <cp:lastModifiedBy>Cademarti, Regina@DOR</cp:lastModifiedBy>
  <cp:revision>3</cp:revision>
  <dcterms:created xsi:type="dcterms:W3CDTF">2022-02-28T18:17:00Z</dcterms:created>
  <dcterms:modified xsi:type="dcterms:W3CDTF">2022-03-01T22:51:00Z</dcterms:modified>
</cp:coreProperties>
</file>