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ABA5" w14:textId="77777777" w:rsidR="007153F1" w:rsidRDefault="00717AA0" w:rsidP="00717AA0">
      <w:pPr>
        <w:spacing w:after="120" w:line="257" w:lineRule="auto"/>
        <w:contextualSpacing/>
        <w:rPr>
          <w:rFonts w:ascii="Calibri" w:hAnsi="Calibri" w:cs="Calibri"/>
          <w:sz w:val="24"/>
          <w:szCs w:val="24"/>
        </w:rPr>
      </w:pPr>
      <w:r>
        <w:rPr>
          <w:rFonts w:ascii="Calibri" w:hAnsi="Calibri" w:cs="Calibri"/>
          <w:sz w:val="24"/>
          <w:szCs w:val="24"/>
        </w:rPr>
        <w:t xml:space="preserve">Set Aside Fund </w:t>
      </w:r>
      <w:r w:rsidR="00DB78F1">
        <w:rPr>
          <w:rFonts w:ascii="Calibri" w:hAnsi="Calibri" w:cs="Calibri"/>
          <w:sz w:val="24"/>
          <w:szCs w:val="24"/>
        </w:rPr>
        <w:t xml:space="preserve">and Locations </w:t>
      </w:r>
      <w:r>
        <w:rPr>
          <w:rFonts w:ascii="Calibri" w:hAnsi="Calibri" w:cs="Calibri"/>
          <w:sz w:val="24"/>
          <w:szCs w:val="24"/>
        </w:rPr>
        <w:t xml:space="preserve">Analysis </w:t>
      </w:r>
    </w:p>
    <w:p w14:paraId="5DA7B4E0" w14:textId="77777777" w:rsidR="00717AA0" w:rsidRDefault="00556AFA" w:rsidP="00717AA0">
      <w:pPr>
        <w:spacing w:after="120" w:line="257" w:lineRule="auto"/>
        <w:contextualSpacing/>
        <w:rPr>
          <w:rFonts w:ascii="Calibri" w:hAnsi="Calibri" w:cs="Calibri"/>
          <w:sz w:val="24"/>
          <w:szCs w:val="24"/>
        </w:rPr>
      </w:pPr>
      <w:r>
        <w:rPr>
          <w:rFonts w:ascii="Calibri" w:hAnsi="Calibri" w:cs="Calibri"/>
          <w:sz w:val="24"/>
          <w:szCs w:val="24"/>
        </w:rPr>
        <w:t xml:space="preserve">Second Quarter - </w:t>
      </w:r>
      <w:r w:rsidR="00717AA0">
        <w:rPr>
          <w:rFonts w:ascii="Calibri" w:hAnsi="Calibri" w:cs="Calibri"/>
          <w:sz w:val="24"/>
          <w:szCs w:val="24"/>
        </w:rPr>
        <w:t>December 2022 to December 2021</w:t>
      </w:r>
    </w:p>
    <w:p w14:paraId="05D2F0B6" w14:textId="77777777" w:rsidR="00717AA0" w:rsidRDefault="00717AA0" w:rsidP="00717AA0">
      <w:pPr>
        <w:spacing w:after="120" w:line="257" w:lineRule="auto"/>
        <w:contextualSpacing/>
        <w:rPr>
          <w:rFonts w:ascii="Calibri" w:hAnsi="Calibri" w:cs="Calibri"/>
          <w:sz w:val="24"/>
          <w:szCs w:val="24"/>
        </w:rPr>
      </w:pPr>
    </w:p>
    <w:p w14:paraId="086928D9" w14:textId="77777777" w:rsidR="009A7D93" w:rsidRDefault="001A3DA4" w:rsidP="00717AA0">
      <w:pPr>
        <w:spacing w:after="120" w:line="257" w:lineRule="auto"/>
        <w:contextualSpacing/>
        <w:rPr>
          <w:rFonts w:ascii="Calibri" w:hAnsi="Calibri" w:cs="Calibri"/>
          <w:sz w:val="24"/>
          <w:szCs w:val="24"/>
        </w:rPr>
      </w:pPr>
      <w:r>
        <w:rPr>
          <w:rFonts w:ascii="Calibri" w:hAnsi="Calibri" w:cs="Calibri"/>
          <w:sz w:val="24"/>
          <w:szCs w:val="24"/>
        </w:rPr>
        <w:t xml:space="preserve">The State’s fiscal year is July 1 to June 30. </w:t>
      </w:r>
      <w:r w:rsidR="008B6A5C">
        <w:rPr>
          <w:rFonts w:ascii="Calibri" w:hAnsi="Calibri" w:cs="Calibri"/>
          <w:sz w:val="24"/>
          <w:szCs w:val="24"/>
        </w:rPr>
        <w:t xml:space="preserve">This is a one year comparison of where the Set Aside Fund is half way in the fiscal year and comparing the data with last year at the same time. </w:t>
      </w:r>
    </w:p>
    <w:p w14:paraId="4550BF2F" w14:textId="77777777" w:rsidR="0066199E" w:rsidRDefault="0066199E" w:rsidP="00717AA0">
      <w:pPr>
        <w:spacing w:after="120" w:line="257" w:lineRule="auto"/>
        <w:contextualSpacing/>
        <w:rPr>
          <w:rFonts w:ascii="Calibri" w:hAnsi="Calibri" w:cs="Calibri"/>
          <w:b/>
          <w:sz w:val="24"/>
          <w:szCs w:val="24"/>
          <w:u w:val="single"/>
        </w:rPr>
      </w:pPr>
    </w:p>
    <w:p w14:paraId="45C34A50" w14:textId="77777777" w:rsidR="009A7D93" w:rsidRDefault="009A7D93" w:rsidP="00717AA0">
      <w:pPr>
        <w:spacing w:after="120" w:line="257" w:lineRule="auto"/>
        <w:contextualSpacing/>
        <w:rPr>
          <w:rFonts w:ascii="Calibri" w:hAnsi="Calibri" w:cs="Calibri"/>
          <w:sz w:val="24"/>
          <w:szCs w:val="24"/>
        </w:rPr>
      </w:pPr>
      <w:r w:rsidRPr="009A7D93">
        <w:rPr>
          <w:rFonts w:ascii="Calibri" w:hAnsi="Calibri" w:cs="Calibri"/>
          <w:b/>
          <w:sz w:val="24"/>
          <w:szCs w:val="24"/>
          <w:u w:val="single"/>
        </w:rPr>
        <w:t xml:space="preserve">Set Aside Fund </w:t>
      </w:r>
      <w:r>
        <w:rPr>
          <w:rFonts w:ascii="Calibri" w:hAnsi="Calibri" w:cs="Calibri"/>
          <w:b/>
          <w:sz w:val="24"/>
          <w:szCs w:val="24"/>
          <w:u w:val="single"/>
        </w:rPr>
        <w:t xml:space="preserve">     </w:t>
      </w:r>
    </w:p>
    <w:p w14:paraId="7006A98A" w14:textId="77777777" w:rsidR="006112A4" w:rsidRDefault="0066199E" w:rsidP="00717AA0">
      <w:pPr>
        <w:spacing w:after="120" w:line="257" w:lineRule="auto"/>
        <w:contextualSpacing/>
        <w:rPr>
          <w:rFonts w:ascii="Calibri" w:hAnsi="Calibri" w:cs="Calibri"/>
          <w:sz w:val="24"/>
          <w:szCs w:val="24"/>
        </w:rPr>
      </w:pPr>
      <w:r>
        <w:rPr>
          <w:rFonts w:ascii="Calibri" w:hAnsi="Calibri" w:cs="Calibri"/>
          <w:sz w:val="24"/>
          <w:szCs w:val="24"/>
        </w:rPr>
        <w:t xml:space="preserve">Based on the Budget report that represents the time period July 1 2022 until December 30 2022, the beginning balance in the Set Aside Fund Reserve </w:t>
      </w:r>
      <w:r w:rsidR="009A7D93">
        <w:rPr>
          <w:rFonts w:ascii="Calibri" w:hAnsi="Calibri" w:cs="Calibri"/>
          <w:sz w:val="24"/>
          <w:szCs w:val="24"/>
        </w:rPr>
        <w:t>was $2,541,920 available to be matched with federal funds. So far $331,465 has been generated as set aside fees</w:t>
      </w:r>
      <w:r w:rsidR="00C20E69">
        <w:rPr>
          <w:rFonts w:ascii="Calibri" w:hAnsi="Calibri" w:cs="Calibri"/>
          <w:sz w:val="24"/>
          <w:szCs w:val="24"/>
        </w:rPr>
        <w:t xml:space="preserve">. Last year, at the same time, $189,130 was collected. The total revenue for last year was $378,628. So far, half way in this year </w:t>
      </w:r>
      <w:r w:rsidR="00586079">
        <w:rPr>
          <w:rFonts w:ascii="Calibri" w:hAnsi="Calibri" w:cs="Calibri"/>
          <w:sz w:val="24"/>
          <w:szCs w:val="24"/>
        </w:rPr>
        <w:t xml:space="preserve">the revenue is just $47,163 below the total income of last year. Unfortunately, while there is a great improvement in revenue, last year’s expenditures was $912,191. On one hand the revenue has increased greatly in the six month time frame, </w:t>
      </w:r>
      <w:r w:rsidR="00380EBC">
        <w:rPr>
          <w:rFonts w:ascii="Calibri" w:hAnsi="Calibri" w:cs="Calibri"/>
          <w:sz w:val="24"/>
          <w:szCs w:val="24"/>
        </w:rPr>
        <w:t xml:space="preserve">an additional </w:t>
      </w:r>
      <w:r w:rsidR="00586079">
        <w:rPr>
          <w:rFonts w:ascii="Calibri" w:hAnsi="Calibri" w:cs="Calibri"/>
          <w:sz w:val="24"/>
          <w:szCs w:val="24"/>
        </w:rPr>
        <w:t xml:space="preserve">$533,363 needs to come in to equal last years spending. </w:t>
      </w:r>
    </w:p>
    <w:p w14:paraId="4AA3021A" w14:textId="77777777" w:rsidR="00DB78F1" w:rsidRDefault="00DB78F1" w:rsidP="00717AA0">
      <w:pPr>
        <w:spacing w:after="120" w:line="257" w:lineRule="auto"/>
        <w:contextualSpacing/>
        <w:rPr>
          <w:rFonts w:ascii="Calibri" w:hAnsi="Calibri" w:cs="Calibri"/>
          <w:sz w:val="24"/>
          <w:szCs w:val="24"/>
        </w:rPr>
      </w:pPr>
    </w:p>
    <w:p w14:paraId="6A9479BB" w14:textId="77777777" w:rsidR="009A7D93" w:rsidRDefault="006112A4" w:rsidP="00717AA0">
      <w:pPr>
        <w:spacing w:after="120" w:line="257" w:lineRule="auto"/>
        <w:contextualSpacing/>
        <w:rPr>
          <w:rFonts w:ascii="Calibri" w:hAnsi="Calibri" w:cs="Calibri"/>
          <w:sz w:val="24"/>
          <w:szCs w:val="24"/>
        </w:rPr>
      </w:pPr>
      <w:r>
        <w:rPr>
          <w:rFonts w:ascii="Calibri" w:hAnsi="Calibri" w:cs="Calibri"/>
          <w:sz w:val="24"/>
          <w:szCs w:val="24"/>
        </w:rPr>
        <w:t xml:space="preserve">Last year at this same time period, $155,305 was used to pay the Health Insurance Premium and this year $108,427 was used. There is a decrease of $46,878. I am sure less vendors are using </w:t>
      </w:r>
      <w:r w:rsidR="00616154">
        <w:rPr>
          <w:rFonts w:ascii="Calibri" w:hAnsi="Calibri" w:cs="Calibri"/>
          <w:sz w:val="24"/>
          <w:szCs w:val="24"/>
        </w:rPr>
        <w:t xml:space="preserve">the BEP health plan or have left the program. Note. No federal funds are used to pay the healthcare premium.  </w:t>
      </w:r>
    </w:p>
    <w:p w14:paraId="5D0EF66A" w14:textId="77777777" w:rsidR="00616154" w:rsidRDefault="00616154" w:rsidP="00717AA0">
      <w:pPr>
        <w:spacing w:after="120" w:line="257" w:lineRule="auto"/>
        <w:contextualSpacing/>
        <w:rPr>
          <w:rFonts w:ascii="Calibri" w:hAnsi="Calibri" w:cs="Calibri"/>
          <w:sz w:val="24"/>
          <w:szCs w:val="24"/>
        </w:rPr>
      </w:pPr>
    </w:p>
    <w:p w14:paraId="22102789" w14:textId="77777777" w:rsidR="00616154" w:rsidRDefault="00616154" w:rsidP="00717AA0">
      <w:pPr>
        <w:spacing w:after="120" w:line="257" w:lineRule="auto"/>
        <w:contextualSpacing/>
        <w:rPr>
          <w:rFonts w:ascii="Calibri" w:hAnsi="Calibri" w:cs="Calibri"/>
          <w:sz w:val="24"/>
          <w:szCs w:val="24"/>
        </w:rPr>
      </w:pPr>
      <w:r>
        <w:rPr>
          <w:rFonts w:ascii="Calibri" w:hAnsi="Calibri" w:cs="Calibri"/>
          <w:sz w:val="24"/>
          <w:szCs w:val="24"/>
        </w:rPr>
        <w:t xml:space="preserve">The remaining funds spent were matched with federal dollars. This includes </w:t>
      </w:r>
      <w:proofErr w:type="spellStart"/>
      <w:r>
        <w:rPr>
          <w:rFonts w:ascii="Calibri" w:hAnsi="Calibri" w:cs="Calibri"/>
          <w:sz w:val="24"/>
          <w:szCs w:val="24"/>
        </w:rPr>
        <w:t>purchses</w:t>
      </w:r>
      <w:proofErr w:type="spellEnd"/>
      <w:r>
        <w:rPr>
          <w:rFonts w:ascii="Calibri" w:hAnsi="Calibri" w:cs="Calibri"/>
          <w:sz w:val="24"/>
          <w:szCs w:val="24"/>
        </w:rPr>
        <w:t xml:space="preserve"> and maintaining, equipment and Management Services. So far $</w:t>
      </w:r>
      <w:r w:rsidR="000F41DC">
        <w:rPr>
          <w:rFonts w:ascii="Calibri" w:hAnsi="Calibri" w:cs="Calibri"/>
          <w:sz w:val="24"/>
          <w:szCs w:val="24"/>
        </w:rPr>
        <w:t>42,422</w:t>
      </w:r>
      <w:r>
        <w:rPr>
          <w:rFonts w:ascii="Calibri" w:hAnsi="Calibri" w:cs="Calibri"/>
          <w:sz w:val="24"/>
          <w:szCs w:val="24"/>
        </w:rPr>
        <w:t xml:space="preserve"> </w:t>
      </w:r>
      <w:r w:rsidR="000F41DC">
        <w:rPr>
          <w:rFonts w:ascii="Calibri" w:hAnsi="Calibri" w:cs="Calibri"/>
          <w:sz w:val="24"/>
          <w:szCs w:val="24"/>
        </w:rPr>
        <w:t xml:space="preserve">was used and the same time last year $59738 was used. Note. </w:t>
      </w:r>
      <w:r w:rsidR="00412DD8">
        <w:rPr>
          <w:rFonts w:ascii="Calibri" w:hAnsi="Calibri" w:cs="Calibri"/>
          <w:sz w:val="24"/>
          <w:szCs w:val="24"/>
        </w:rPr>
        <w:t>Most of t</w:t>
      </w:r>
      <w:r w:rsidR="000F41DC">
        <w:rPr>
          <w:rFonts w:ascii="Calibri" w:hAnsi="Calibri" w:cs="Calibri"/>
          <w:sz w:val="24"/>
          <w:szCs w:val="24"/>
        </w:rPr>
        <w:t xml:space="preserve">he $42,422 used this year was for items under $1,000 which in the future will end. The new rules is vendors are responsible for purchasing equipment under $1,000. </w:t>
      </w:r>
    </w:p>
    <w:p w14:paraId="60C9833E" w14:textId="77777777" w:rsidR="00844FBA" w:rsidRDefault="00844FBA" w:rsidP="00717AA0">
      <w:pPr>
        <w:spacing w:after="120" w:line="257" w:lineRule="auto"/>
        <w:contextualSpacing/>
        <w:rPr>
          <w:rFonts w:ascii="Calibri" w:hAnsi="Calibri" w:cs="Calibri"/>
          <w:sz w:val="24"/>
          <w:szCs w:val="24"/>
          <w:u w:val="single"/>
        </w:rPr>
      </w:pPr>
    </w:p>
    <w:p w14:paraId="2DBCBE83" w14:textId="77777777" w:rsidR="00DB78F1" w:rsidRDefault="00DB78F1" w:rsidP="00717AA0">
      <w:pPr>
        <w:spacing w:after="120" w:line="257" w:lineRule="auto"/>
        <w:contextualSpacing/>
        <w:rPr>
          <w:rFonts w:ascii="Calibri" w:hAnsi="Calibri" w:cs="Calibri"/>
          <w:sz w:val="24"/>
          <w:szCs w:val="24"/>
        </w:rPr>
      </w:pPr>
      <w:r w:rsidRPr="00DB78F1">
        <w:rPr>
          <w:rFonts w:ascii="Calibri" w:hAnsi="Calibri" w:cs="Calibri"/>
          <w:sz w:val="24"/>
          <w:szCs w:val="24"/>
          <w:u w:val="single"/>
        </w:rPr>
        <w:t xml:space="preserve">Comments </w:t>
      </w:r>
      <w:r>
        <w:rPr>
          <w:rFonts w:ascii="Calibri" w:hAnsi="Calibri" w:cs="Calibri"/>
          <w:sz w:val="24"/>
          <w:szCs w:val="24"/>
          <w:u w:val="single"/>
        </w:rPr>
        <w:t xml:space="preserve">   </w:t>
      </w:r>
    </w:p>
    <w:p w14:paraId="3CE56B07" w14:textId="77777777" w:rsidR="00412DD8" w:rsidRDefault="00DB78F1" w:rsidP="00717AA0">
      <w:pPr>
        <w:spacing w:after="120" w:line="257" w:lineRule="auto"/>
        <w:contextualSpacing/>
        <w:rPr>
          <w:rFonts w:ascii="Calibri" w:hAnsi="Calibri" w:cs="Calibri"/>
          <w:sz w:val="24"/>
          <w:szCs w:val="24"/>
        </w:rPr>
      </w:pPr>
      <w:r>
        <w:rPr>
          <w:rFonts w:ascii="Calibri" w:hAnsi="Calibri" w:cs="Calibri"/>
          <w:sz w:val="24"/>
          <w:szCs w:val="24"/>
        </w:rPr>
        <w:t xml:space="preserve">It appears the program is </w:t>
      </w:r>
      <w:r w:rsidR="00044A26">
        <w:rPr>
          <w:rFonts w:ascii="Calibri" w:hAnsi="Calibri" w:cs="Calibri"/>
          <w:sz w:val="24"/>
          <w:szCs w:val="24"/>
        </w:rPr>
        <w:t>starting to</w:t>
      </w:r>
      <w:r>
        <w:rPr>
          <w:rFonts w:ascii="Calibri" w:hAnsi="Calibri" w:cs="Calibri"/>
          <w:sz w:val="24"/>
          <w:szCs w:val="24"/>
        </w:rPr>
        <w:t xml:space="preserve"> make a comeback. Last year at this time the set aside fund was down $25,913 and this year the fund is up $180</w:t>
      </w:r>
      <w:r w:rsidR="00FE11F2">
        <w:rPr>
          <w:rFonts w:ascii="Calibri" w:hAnsi="Calibri" w:cs="Calibri"/>
          <w:sz w:val="24"/>
          <w:szCs w:val="24"/>
        </w:rPr>
        <w:t>,</w:t>
      </w:r>
      <w:r>
        <w:rPr>
          <w:rFonts w:ascii="Calibri" w:hAnsi="Calibri" w:cs="Calibri"/>
          <w:sz w:val="24"/>
          <w:szCs w:val="24"/>
        </w:rPr>
        <w:t>616</w:t>
      </w:r>
      <w:r w:rsidR="00FE11F2">
        <w:rPr>
          <w:rFonts w:ascii="Calibri" w:hAnsi="Calibri" w:cs="Calibri"/>
          <w:sz w:val="24"/>
          <w:szCs w:val="24"/>
        </w:rPr>
        <w:t xml:space="preserve">. This looks promising, except the </w:t>
      </w:r>
      <w:r w:rsidR="00412DD8">
        <w:rPr>
          <w:rFonts w:ascii="Calibri" w:hAnsi="Calibri" w:cs="Calibri"/>
          <w:sz w:val="24"/>
          <w:szCs w:val="24"/>
        </w:rPr>
        <w:t>latest</w:t>
      </w:r>
      <w:r w:rsidR="00FE11F2">
        <w:rPr>
          <w:rFonts w:ascii="Calibri" w:hAnsi="Calibri" w:cs="Calibri"/>
          <w:sz w:val="24"/>
          <w:szCs w:val="24"/>
        </w:rPr>
        <w:t xml:space="preserve"> data doesn’t show any equipment purchases or maintenance. Last year the majority of these expenditures shows up at the end of the fiscal year. So this is a big question on what is the obligated procurement at this same time period. At the end of last fiscal year $621,333 was spent </w:t>
      </w:r>
      <w:r w:rsidR="00044A26">
        <w:rPr>
          <w:rFonts w:ascii="Calibri" w:hAnsi="Calibri" w:cs="Calibri"/>
          <w:sz w:val="24"/>
          <w:szCs w:val="24"/>
        </w:rPr>
        <w:t xml:space="preserve">in this category. At the end of last year the total Set Aside Fund was down $486,201. So, the bottom line is the revenue is increasing but we don’t know what the spending is for this time period. The most important data is the revenue is up and some of the healthcare expense is down and we have to continue to </w:t>
      </w:r>
      <w:r w:rsidR="00412DD8">
        <w:rPr>
          <w:rFonts w:ascii="Calibri" w:hAnsi="Calibri" w:cs="Calibri"/>
          <w:sz w:val="24"/>
          <w:szCs w:val="24"/>
        </w:rPr>
        <w:t xml:space="preserve">monitored the equipment purchases and maintaining the equipment until we get a better trend of what the facilities are doing.  </w:t>
      </w:r>
      <w:r w:rsidR="00044A26">
        <w:rPr>
          <w:rFonts w:ascii="Calibri" w:hAnsi="Calibri" w:cs="Calibri"/>
          <w:sz w:val="24"/>
          <w:szCs w:val="24"/>
        </w:rPr>
        <w:t xml:space="preserve"> </w:t>
      </w:r>
    </w:p>
    <w:p w14:paraId="4847B14D" w14:textId="77777777" w:rsidR="00412DD8" w:rsidRDefault="00412DD8" w:rsidP="00717AA0">
      <w:pPr>
        <w:spacing w:after="120" w:line="257" w:lineRule="auto"/>
        <w:contextualSpacing/>
        <w:rPr>
          <w:rFonts w:ascii="Calibri" w:hAnsi="Calibri" w:cs="Calibri"/>
          <w:sz w:val="24"/>
          <w:szCs w:val="24"/>
        </w:rPr>
      </w:pPr>
    </w:p>
    <w:p w14:paraId="0169B4F0" w14:textId="77777777" w:rsidR="00C91ECE" w:rsidRDefault="00C91ECE" w:rsidP="00717AA0">
      <w:pPr>
        <w:spacing w:after="120" w:line="257" w:lineRule="auto"/>
        <w:contextualSpacing/>
        <w:rPr>
          <w:rFonts w:ascii="Calibri" w:hAnsi="Calibri" w:cs="Calibri"/>
          <w:b/>
          <w:sz w:val="24"/>
          <w:szCs w:val="24"/>
          <w:u w:val="single"/>
        </w:rPr>
      </w:pPr>
    </w:p>
    <w:p w14:paraId="4F4F061F" w14:textId="77777777" w:rsidR="00C91ECE" w:rsidRDefault="00C91ECE" w:rsidP="00717AA0">
      <w:pPr>
        <w:spacing w:after="120" w:line="257" w:lineRule="auto"/>
        <w:contextualSpacing/>
        <w:rPr>
          <w:rFonts w:ascii="Calibri" w:hAnsi="Calibri" w:cs="Calibri"/>
          <w:b/>
          <w:sz w:val="24"/>
          <w:szCs w:val="24"/>
          <w:u w:val="single"/>
        </w:rPr>
      </w:pPr>
    </w:p>
    <w:p w14:paraId="25AAB02D" w14:textId="77777777" w:rsidR="00DB78F1" w:rsidRPr="00DB78F1" w:rsidRDefault="00DB78F1" w:rsidP="00717AA0">
      <w:pPr>
        <w:spacing w:after="120" w:line="257" w:lineRule="auto"/>
        <w:contextualSpacing/>
        <w:rPr>
          <w:rFonts w:ascii="Calibri" w:hAnsi="Calibri" w:cs="Calibri"/>
          <w:sz w:val="24"/>
          <w:szCs w:val="24"/>
        </w:rPr>
      </w:pPr>
    </w:p>
    <w:sectPr w:rsidR="00DB78F1" w:rsidRPr="00DB78F1" w:rsidSect="0001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185"/>
    <w:multiLevelType w:val="hybridMultilevel"/>
    <w:tmpl w:val="F2A2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6BB2"/>
    <w:multiLevelType w:val="hybridMultilevel"/>
    <w:tmpl w:val="718C9764"/>
    <w:lvl w:ilvl="0" w:tplc="9A68F6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539B"/>
    <w:multiLevelType w:val="hybridMultilevel"/>
    <w:tmpl w:val="6B80ABA8"/>
    <w:lvl w:ilvl="0" w:tplc="698467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810D1"/>
    <w:multiLevelType w:val="multilevel"/>
    <w:tmpl w:val="B5504F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9302EA7"/>
    <w:multiLevelType w:val="hybridMultilevel"/>
    <w:tmpl w:val="F3386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4F0072"/>
    <w:multiLevelType w:val="hybridMultilevel"/>
    <w:tmpl w:val="7C5E96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8485D5C"/>
    <w:multiLevelType w:val="hybridMultilevel"/>
    <w:tmpl w:val="7442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54669"/>
    <w:multiLevelType w:val="hybridMultilevel"/>
    <w:tmpl w:val="2038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63246">
    <w:abstractNumId w:val="2"/>
  </w:num>
  <w:num w:numId="2" w16cid:durableId="1359308865">
    <w:abstractNumId w:val="3"/>
  </w:num>
  <w:num w:numId="3" w16cid:durableId="1701974026">
    <w:abstractNumId w:val="0"/>
  </w:num>
  <w:num w:numId="4" w16cid:durableId="717389172">
    <w:abstractNumId w:val="7"/>
  </w:num>
  <w:num w:numId="5" w16cid:durableId="2090954479">
    <w:abstractNumId w:val="1"/>
  </w:num>
  <w:num w:numId="6" w16cid:durableId="1089885267">
    <w:abstractNumId w:val="5"/>
  </w:num>
  <w:num w:numId="7" w16cid:durableId="15262883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12396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22"/>
    <w:rsid w:val="00016C96"/>
    <w:rsid w:val="00044A26"/>
    <w:rsid w:val="00050F0E"/>
    <w:rsid w:val="0006087F"/>
    <w:rsid w:val="000731F4"/>
    <w:rsid w:val="00075CEE"/>
    <w:rsid w:val="000A16BA"/>
    <w:rsid w:val="000B3B5B"/>
    <w:rsid w:val="000D5DC2"/>
    <w:rsid w:val="000D7C22"/>
    <w:rsid w:val="000E6C2A"/>
    <w:rsid w:val="000F41DC"/>
    <w:rsid w:val="00102BA9"/>
    <w:rsid w:val="00143BD7"/>
    <w:rsid w:val="00165776"/>
    <w:rsid w:val="001A2D7A"/>
    <w:rsid w:val="001A3DA4"/>
    <w:rsid w:val="001F5B56"/>
    <w:rsid w:val="001F7DEC"/>
    <w:rsid w:val="00211971"/>
    <w:rsid w:val="00213F13"/>
    <w:rsid w:val="002156A9"/>
    <w:rsid w:val="00274CEA"/>
    <w:rsid w:val="002851B7"/>
    <w:rsid w:val="00287947"/>
    <w:rsid w:val="002F1F17"/>
    <w:rsid w:val="00363665"/>
    <w:rsid w:val="00380EBC"/>
    <w:rsid w:val="00393CA3"/>
    <w:rsid w:val="003B5D2A"/>
    <w:rsid w:val="003C0E77"/>
    <w:rsid w:val="00412DD8"/>
    <w:rsid w:val="00414BDC"/>
    <w:rsid w:val="0042517D"/>
    <w:rsid w:val="00447B1D"/>
    <w:rsid w:val="00461857"/>
    <w:rsid w:val="00467839"/>
    <w:rsid w:val="004774DC"/>
    <w:rsid w:val="00483347"/>
    <w:rsid w:val="00497282"/>
    <w:rsid w:val="004A2382"/>
    <w:rsid w:val="004C3BE1"/>
    <w:rsid w:val="004E0BAD"/>
    <w:rsid w:val="005026C2"/>
    <w:rsid w:val="0053668A"/>
    <w:rsid w:val="00541611"/>
    <w:rsid w:val="00550B8B"/>
    <w:rsid w:val="00556AFA"/>
    <w:rsid w:val="00560B30"/>
    <w:rsid w:val="00586079"/>
    <w:rsid w:val="005973E5"/>
    <w:rsid w:val="005E6F8F"/>
    <w:rsid w:val="00604462"/>
    <w:rsid w:val="006107A5"/>
    <w:rsid w:val="006112A4"/>
    <w:rsid w:val="0061390E"/>
    <w:rsid w:val="00616154"/>
    <w:rsid w:val="0062235B"/>
    <w:rsid w:val="0063165C"/>
    <w:rsid w:val="0066199E"/>
    <w:rsid w:val="006A0CCF"/>
    <w:rsid w:val="006D171A"/>
    <w:rsid w:val="007153F1"/>
    <w:rsid w:val="00717AA0"/>
    <w:rsid w:val="00720543"/>
    <w:rsid w:val="00731AC4"/>
    <w:rsid w:val="00757D0E"/>
    <w:rsid w:val="00761BA6"/>
    <w:rsid w:val="007C02FB"/>
    <w:rsid w:val="007D104F"/>
    <w:rsid w:val="007D4018"/>
    <w:rsid w:val="007F5315"/>
    <w:rsid w:val="00844FBA"/>
    <w:rsid w:val="008670BC"/>
    <w:rsid w:val="00870D40"/>
    <w:rsid w:val="00876CD8"/>
    <w:rsid w:val="008A0B83"/>
    <w:rsid w:val="008B0D30"/>
    <w:rsid w:val="008B5248"/>
    <w:rsid w:val="008B6A5C"/>
    <w:rsid w:val="008C2C26"/>
    <w:rsid w:val="008C7776"/>
    <w:rsid w:val="008E4039"/>
    <w:rsid w:val="0090202E"/>
    <w:rsid w:val="00905BDB"/>
    <w:rsid w:val="00916409"/>
    <w:rsid w:val="00942D4F"/>
    <w:rsid w:val="009620B8"/>
    <w:rsid w:val="00984F78"/>
    <w:rsid w:val="00987B42"/>
    <w:rsid w:val="009A7D93"/>
    <w:rsid w:val="009D2E26"/>
    <w:rsid w:val="009F3A11"/>
    <w:rsid w:val="00A02EC1"/>
    <w:rsid w:val="00A04391"/>
    <w:rsid w:val="00A078C1"/>
    <w:rsid w:val="00A14142"/>
    <w:rsid w:val="00A438CA"/>
    <w:rsid w:val="00A5411D"/>
    <w:rsid w:val="00A703E6"/>
    <w:rsid w:val="00A70A74"/>
    <w:rsid w:val="00A808DC"/>
    <w:rsid w:val="00A86E27"/>
    <w:rsid w:val="00A93950"/>
    <w:rsid w:val="00AA1186"/>
    <w:rsid w:val="00AB6C7B"/>
    <w:rsid w:val="00B05029"/>
    <w:rsid w:val="00B43AB5"/>
    <w:rsid w:val="00B45022"/>
    <w:rsid w:val="00B45BCB"/>
    <w:rsid w:val="00B816FC"/>
    <w:rsid w:val="00B855DE"/>
    <w:rsid w:val="00BC532F"/>
    <w:rsid w:val="00BC54E4"/>
    <w:rsid w:val="00BD215B"/>
    <w:rsid w:val="00C20E69"/>
    <w:rsid w:val="00C76E8E"/>
    <w:rsid w:val="00C91ECE"/>
    <w:rsid w:val="00CC56FA"/>
    <w:rsid w:val="00CC7FFB"/>
    <w:rsid w:val="00CD2A33"/>
    <w:rsid w:val="00CE1123"/>
    <w:rsid w:val="00CF4EB4"/>
    <w:rsid w:val="00D05812"/>
    <w:rsid w:val="00D1629E"/>
    <w:rsid w:val="00D543BA"/>
    <w:rsid w:val="00D73CC6"/>
    <w:rsid w:val="00D93764"/>
    <w:rsid w:val="00D95DDC"/>
    <w:rsid w:val="00DA0117"/>
    <w:rsid w:val="00DB78F1"/>
    <w:rsid w:val="00DF6743"/>
    <w:rsid w:val="00E01D59"/>
    <w:rsid w:val="00E22108"/>
    <w:rsid w:val="00E26CB3"/>
    <w:rsid w:val="00E26D8C"/>
    <w:rsid w:val="00E37C94"/>
    <w:rsid w:val="00E664C3"/>
    <w:rsid w:val="00E71D24"/>
    <w:rsid w:val="00E7525E"/>
    <w:rsid w:val="00E810A8"/>
    <w:rsid w:val="00E827B1"/>
    <w:rsid w:val="00ED5A4B"/>
    <w:rsid w:val="00F02A42"/>
    <w:rsid w:val="00F53C12"/>
    <w:rsid w:val="00F64E79"/>
    <w:rsid w:val="00F819AB"/>
    <w:rsid w:val="00F927FD"/>
    <w:rsid w:val="00F96D8E"/>
    <w:rsid w:val="00FB0087"/>
    <w:rsid w:val="00FB4E62"/>
    <w:rsid w:val="00FE11F2"/>
    <w:rsid w:val="00FF02E7"/>
    <w:rsid w:val="00FF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6A05"/>
  <w15:chartTrackingRefBased/>
  <w15:docId w15:val="{605BC333-23AE-4681-8115-1D02D69C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F13"/>
    <w:pPr>
      <w:spacing w:line="259" w:lineRule="auto"/>
      <w:ind w:left="720"/>
      <w:contextualSpacing/>
    </w:pPr>
  </w:style>
  <w:style w:type="character" w:styleId="Hyperlink">
    <w:name w:val="Hyperlink"/>
    <w:basedOn w:val="DefaultParagraphFont"/>
    <w:uiPriority w:val="99"/>
    <w:unhideWhenUsed/>
    <w:rsid w:val="003C0E77"/>
    <w:rPr>
      <w:color w:val="0563C1" w:themeColor="hyperlink"/>
      <w:u w:val="single"/>
    </w:rPr>
  </w:style>
  <w:style w:type="paragraph" w:styleId="BalloonText">
    <w:name w:val="Balloon Text"/>
    <w:basedOn w:val="Normal"/>
    <w:link w:val="BalloonTextChar"/>
    <w:uiPriority w:val="99"/>
    <w:semiHidden/>
    <w:unhideWhenUsed/>
    <w:rsid w:val="00550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84720">
      <w:bodyDiv w:val="1"/>
      <w:marLeft w:val="0"/>
      <w:marRight w:val="0"/>
      <w:marTop w:val="0"/>
      <w:marBottom w:val="0"/>
      <w:divBdr>
        <w:top w:val="none" w:sz="0" w:space="0" w:color="auto"/>
        <w:left w:val="none" w:sz="0" w:space="0" w:color="auto"/>
        <w:bottom w:val="none" w:sz="0" w:space="0" w:color="auto"/>
        <w:right w:val="none" w:sz="0" w:space="0" w:color="auto"/>
      </w:divBdr>
    </w:div>
    <w:div w:id="837185507">
      <w:bodyDiv w:val="1"/>
      <w:marLeft w:val="0"/>
      <w:marRight w:val="0"/>
      <w:marTop w:val="0"/>
      <w:marBottom w:val="0"/>
      <w:divBdr>
        <w:top w:val="none" w:sz="0" w:space="0" w:color="auto"/>
        <w:left w:val="none" w:sz="0" w:space="0" w:color="auto"/>
        <w:bottom w:val="none" w:sz="0" w:space="0" w:color="auto"/>
        <w:right w:val="none" w:sz="0" w:space="0" w:color="auto"/>
      </w:divBdr>
    </w:div>
    <w:div w:id="986057839">
      <w:bodyDiv w:val="1"/>
      <w:marLeft w:val="0"/>
      <w:marRight w:val="0"/>
      <w:marTop w:val="0"/>
      <w:marBottom w:val="0"/>
      <w:divBdr>
        <w:top w:val="none" w:sz="0" w:space="0" w:color="auto"/>
        <w:left w:val="none" w:sz="0" w:space="0" w:color="auto"/>
        <w:bottom w:val="none" w:sz="0" w:space="0" w:color="auto"/>
        <w:right w:val="none" w:sz="0" w:space="0" w:color="auto"/>
      </w:divBdr>
    </w:div>
    <w:div w:id="1432580256">
      <w:bodyDiv w:val="1"/>
      <w:marLeft w:val="0"/>
      <w:marRight w:val="0"/>
      <w:marTop w:val="0"/>
      <w:marBottom w:val="0"/>
      <w:divBdr>
        <w:top w:val="none" w:sz="0" w:space="0" w:color="auto"/>
        <w:left w:val="none" w:sz="0" w:space="0" w:color="auto"/>
        <w:bottom w:val="none" w:sz="0" w:space="0" w:color="auto"/>
        <w:right w:val="none" w:sz="0" w:space="0" w:color="auto"/>
      </w:divBdr>
    </w:div>
    <w:div w:id="1600527534">
      <w:bodyDiv w:val="1"/>
      <w:marLeft w:val="0"/>
      <w:marRight w:val="0"/>
      <w:marTop w:val="0"/>
      <w:marBottom w:val="0"/>
      <w:divBdr>
        <w:top w:val="none" w:sz="0" w:space="0" w:color="auto"/>
        <w:left w:val="none" w:sz="0" w:space="0" w:color="auto"/>
        <w:bottom w:val="none" w:sz="0" w:space="0" w:color="auto"/>
        <w:right w:val="none" w:sz="0" w:space="0" w:color="auto"/>
      </w:divBdr>
      <w:divsChild>
        <w:div w:id="168645312">
          <w:marLeft w:val="0"/>
          <w:marRight w:val="0"/>
          <w:marTop w:val="0"/>
          <w:marBottom w:val="0"/>
          <w:divBdr>
            <w:top w:val="none" w:sz="0" w:space="0" w:color="auto"/>
            <w:left w:val="none" w:sz="0" w:space="0" w:color="auto"/>
            <w:bottom w:val="none" w:sz="0" w:space="0" w:color="auto"/>
            <w:right w:val="none" w:sz="0" w:space="0" w:color="auto"/>
          </w:divBdr>
          <w:divsChild>
            <w:div w:id="1854605306">
              <w:marLeft w:val="0"/>
              <w:marRight w:val="0"/>
              <w:marTop w:val="0"/>
              <w:marBottom w:val="0"/>
              <w:divBdr>
                <w:top w:val="none" w:sz="0" w:space="0" w:color="auto"/>
                <w:left w:val="none" w:sz="0" w:space="0" w:color="auto"/>
                <w:bottom w:val="none" w:sz="0" w:space="0" w:color="auto"/>
                <w:right w:val="none" w:sz="0" w:space="0" w:color="auto"/>
              </w:divBdr>
            </w:div>
          </w:divsChild>
        </w:div>
        <w:div w:id="965618503">
          <w:marLeft w:val="0"/>
          <w:marRight w:val="0"/>
          <w:marTop w:val="0"/>
          <w:marBottom w:val="0"/>
          <w:divBdr>
            <w:top w:val="none" w:sz="0" w:space="0" w:color="auto"/>
            <w:left w:val="none" w:sz="0" w:space="0" w:color="auto"/>
            <w:bottom w:val="none" w:sz="0" w:space="0" w:color="auto"/>
            <w:right w:val="none" w:sz="0" w:space="0" w:color="auto"/>
          </w:divBdr>
        </w:div>
        <w:div w:id="1296645200">
          <w:marLeft w:val="0"/>
          <w:marRight w:val="0"/>
          <w:marTop w:val="0"/>
          <w:marBottom w:val="0"/>
          <w:divBdr>
            <w:top w:val="none" w:sz="0" w:space="0" w:color="auto"/>
            <w:left w:val="none" w:sz="0" w:space="0" w:color="auto"/>
            <w:bottom w:val="none" w:sz="0" w:space="0" w:color="auto"/>
            <w:right w:val="none" w:sz="0" w:space="0" w:color="auto"/>
          </w:divBdr>
          <w:divsChild>
            <w:div w:id="1816994253">
              <w:marLeft w:val="0"/>
              <w:marRight w:val="0"/>
              <w:marTop w:val="0"/>
              <w:marBottom w:val="0"/>
              <w:divBdr>
                <w:top w:val="none" w:sz="0" w:space="0" w:color="auto"/>
                <w:left w:val="none" w:sz="0" w:space="0" w:color="auto"/>
                <w:bottom w:val="none" w:sz="0" w:space="0" w:color="auto"/>
                <w:right w:val="none" w:sz="0" w:space="0" w:color="auto"/>
              </w:divBdr>
              <w:divsChild>
                <w:div w:id="1429034893">
                  <w:marLeft w:val="0"/>
                  <w:marRight w:val="0"/>
                  <w:marTop w:val="0"/>
                  <w:marBottom w:val="0"/>
                  <w:divBdr>
                    <w:top w:val="none" w:sz="0" w:space="0" w:color="auto"/>
                    <w:left w:val="none" w:sz="0" w:space="0" w:color="auto"/>
                    <w:bottom w:val="none" w:sz="0" w:space="0" w:color="auto"/>
                    <w:right w:val="none" w:sz="0" w:space="0" w:color="auto"/>
                  </w:divBdr>
                  <w:divsChild>
                    <w:div w:id="1114522921">
                      <w:marLeft w:val="0"/>
                      <w:marRight w:val="0"/>
                      <w:marTop w:val="0"/>
                      <w:marBottom w:val="0"/>
                      <w:divBdr>
                        <w:top w:val="none" w:sz="0" w:space="0" w:color="auto"/>
                        <w:left w:val="none" w:sz="0" w:space="0" w:color="auto"/>
                        <w:bottom w:val="none" w:sz="0" w:space="0" w:color="auto"/>
                        <w:right w:val="none" w:sz="0" w:space="0" w:color="auto"/>
                      </w:divBdr>
                      <w:divsChild>
                        <w:div w:id="15067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16506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mlsho</dc:creator>
  <cp:keywords/>
  <dc:description/>
  <cp:lastModifiedBy>Wilbon, Jennifer@DOR</cp:lastModifiedBy>
  <cp:revision>2</cp:revision>
  <cp:lastPrinted>2022-11-28T21:55:00Z</cp:lastPrinted>
  <dcterms:created xsi:type="dcterms:W3CDTF">2023-04-18T16:32:00Z</dcterms:created>
  <dcterms:modified xsi:type="dcterms:W3CDTF">2023-04-18T16:32:00Z</dcterms:modified>
</cp:coreProperties>
</file>