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13AF" w14:textId="77777777" w:rsidR="00F9332C" w:rsidRDefault="00C91ECE" w:rsidP="00717AA0">
      <w:pPr>
        <w:spacing w:after="120" w:line="257" w:lineRule="auto"/>
        <w:contextualSpacing/>
        <w:rPr>
          <w:rFonts w:ascii="Calibri" w:hAnsi="Calibri" w:cs="Calibri"/>
          <w:sz w:val="24"/>
          <w:szCs w:val="24"/>
        </w:rPr>
      </w:pPr>
      <w:r>
        <w:rPr>
          <w:rFonts w:ascii="Calibri" w:hAnsi="Calibri" w:cs="Calibri"/>
          <w:sz w:val="24"/>
          <w:szCs w:val="24"/>
        </w:rPr>
        <w:t xml:space="preserve"> </w:t>
      </w:r>
      <w:r w:rsidR="00F9332C">
        <w:rPr>
          <w:rFonts w:ascii="Calibri" w:hAnsi="Calibri" w:cs="Calibri"/>
          <w:sz w:val="24"/>
          <w:szCs w:val="24"/>
        </w:rPr>
        <w:t>RSA 15 Report 2022</w:t>
      </w:r>
      <w:r w:rsidR="00162EB0">
        <w:rPr>
          <w:rFonts w:ascii="Calibri" w:hAnsi="Calibri" w:cs="Calibri"/>
          <w:sz w:val="24"/>
          <w:szCs w:val="24"/>
        </w:rPr>
        <w:t xml:space="preserve"> – 2021 Analysis </w:t>
      </w:r>
    </w:p>
    <w:p w14:paraId="25FCDC38" w14:textId="77777777" w:rsidR="00F9332C" w:rsidRDefault="00F9332C" w:rsidP="00717AA0">
      <w:pPr>
        <w:spacing w:after="120" w:line="257" w:lineRule="auto"/>
        <w:contextualSpacing/>
        <w:rPr>
          <w:rFonts w:ascii="Calibri" w:hAnsi="Calibri" w:cs="Calibri"/>
          <w:sz w:val="24"/>
          <w:szCs w:val="24"/>
        </w:rPr>
      </w:pPr>
      <w:r>
        <w:rPr>
          <w:rFonts w:ascii="Calibri" w:hAnsi="Calibri" w:cs="Calibri"/>
          <w:sz w:val="24"/>
          <w:szCs w:val="24"/>
        </w:rPr>
        <w:t xml:space="preserve">Federal Fiscal year is October 1 to September 30. </w:t>
      </w:r>
    </w:p>
    <w:p w14:paraId="70991A4C" w14:textId="77777777" w:rsidR="00F9332C" w:rsidRDefault="00F9332C" w:rsidP="00717AA0">
      <w:pPr>
        <w:spacing w:after="120" w:line="257" w:lineRule="auto"/>
        <w:contextualSpacing/>
        <w:rPr>
          <w:rFonts w:ascii="Calibri" w:hAnsi="Calibri" w:cs="Calibri"/>
          <w:sz w:val="24"/>
          <w:szCs w:val="24"/>
        </w:rPr>
      </w:pPr>
    </w:p>
    <w:p w14:paraId="3C92BA2A" w14:textId="77777777" w:rsidR="00A21219" w:rsidRDefault="00F9332C" w:rsidP="00717AA0">
      <w:pPr>
        <w:spacing w:after="120" w:line="257" w:lineRule="auto"/>
        <w:contextualSpacing/>
        <w:rPr>
          <w:rFonts w:ascii="Calibri" w:hAnsi="Calibri" w:cs="Calibri"/>
          <w:sz w:val="24"/>
          <w:szCs w:val="24"/>
        </w:rPr>
      </w:pPr>
      <w:r>
        <w:rPr>
          <w:rFonts w:ascii="Calibri" w:hAnsi="Calibri" w:cs="Calibri"/>
          <w:sz w:val="24"/>
          <w:szCs w:val="24"/>
        </w:rPr>
        <w:t>The first section shows Earnings and Employment. This section is a little miss leading</w:t>
      </w:r>
      <w:r w:rsidR="00D21FB5">
        <w:rPr>
          <w:rFonts w:ascii="Calibri" w:hAnsi="Calibri" w:cs="Calibri"/>
          <w:sz w:val="24"/>
          <w:szCs w:val="24"/>
        </w:rPr>
        <w:t xml:space="preserve"> for our purpose</w:t>
      </w:r>
      <w:r w:rsidR="002907D0">
        <w:rPr>
          <w:rFonts w:ascii="Calibri" w:hAnsi="Calibri" w:cs="Calibri"/>
          <w:sz w:val="24"/>
          <w:szCs w:val="24"/>
        </w:rPr>
        <w:t xml:space="preserve"> because it includes all the DOD facilities.</w:t>
      </w:r>
      <w:r>
        <w:rPr>
          <w:rFonts w:ascii="Calibri" w:hAnsi="Calibri" w:cs="Calibri"/>
          <w:sz w:val="24"/>
          <w:szCs w:val="24"/>
        </w:rPr>
        <w:t xml:space="preserve"> </w:t>
      </w:r>
      <w:r w:rsidR="002907D0">
        <w:rPr>
          <w:rFonts w:ascii="Calibri" w:hAnsi="Calibri" w:cs="Calibri"/>
          <w:sz w:val="24"/>
          <w:szCs w:val="24"/>
        </w:rPr>
        <w:t>For example i</w:t>
      </w:r>
      <w:r w:rsidR="00D21FB5">
        <w:rPr>
          <w:rFonts w:ascii="Calibri" w:hAnsi="Calibri" w:cs="Calibri"/>
          <w:sz w:val="24"/>
          <w:szCs w:val="24"/>
        </w:rPr>
        <w:t>n line 2. It shows $</w:t>
      </w:r>
      <w:r>
        <w:rPr>
          <w:rFonts w:ascii="Calibri" w:hAnsi="Calibri" w:cs="Calibri"/>
          <w:sz w:val="24"/>
          <w:szCs w:val="24"/>
        </w:rPr>
        <w:t xml:space="preserve">    </w:t>
      </w:r>
      <w:r w:rsidR="00D21FB5">
        <w:rPr>
          <w:rFonts w:ascii="Calibri" w:hAnsi="Calibri" w:cs="Calibri"/>
          <w:sz w:val="24"/>
          <w:szCs w:val="24"/>
        </w:rPr>
        <w:t>35,805,159</w:t>
      </w:r>
      <w:r w:rsidR="002907D0">
        <w:rPr>
          <w:rFonts w:ascii="Calibri" w:hAnsi="Calibri" w:cs="Calibri"/>
          <w:sz w:val="24"/>
          <w:szCs w:val="24"/>
        </w:rPr>
        <w:t xml:space="preserve"> as Gross Sales. This number includes the total DOD contract amount. BEP does not sell food to th</w:t>
      </w:r>
      <w:r w:rsidR="00AC0D24">
        <w:rPr>
          <w:rFonts w:ascii="Calibri" w:hAnsi="Calibri" w:cs="Calibri"/>
          <w:sz w:val="24"/>
          <w:szCs w:val="24"/>
        </w:rPr>
        <w:t xml:space="preserve">e troops or </w:t>
      </w:r>
      <w:r w:rsidR="002907D0">
        <w:rPr>
          <w:rFonts w:ascii="Calibri" w:hAnsi="Calibri" w:cs="Calibri"/>
          <w:sz w:val="24"/>
          <w:szCs w:val="24"/>
        </w:rPr>
        <w:t>collect sales tax but the contract amount ends up in the Gross Sales of the RSA 15 report. This is the same problem with mos</w:t>
      </w:r>
      <w:r w:rsidR="00EA469F">
        <w:rPr>
          <w:rFonts w:ascii="Calibri" w:hAnsi="Calibri" w:cs="Calibri"/>
          <w:sz w:val="24"/>
          <w:szCs w:val="24"/>
        </w:rPr>
        <w:t xml:space="preserve">t of the information in Part 1 like total employees. This includes the DOD sites where each DOD facility employs at least 35 to 60 </w:t>
      </w:r>
      <w:proofErr w:type="spellStart"/>
      <w:r w:rsidR="00EA469F">
        <w:rPr>
          <w:rFonts w:ascii="Calibri" w:hAnsi="Calibri" w:cs="Calibri"/>
          <w:sz w:val="24"/>
          <w:szCs w:val="24"/>
        </w:rPr>
        <w:t>enployess</w:t>
      </w:r>
      <w:proofErr w:type="spellEnd"/>
      <w:r w:rsidR="00EA469F">
        <w:rPr>
          <w:rFonts w:ascii="Calibri" w:hAnsi="Calibri" w:cs="Calibri"/>
          <w:sz w:val="24"/>
          <w:szCs w:val="24"/>
        </w:rPr>
        <w:t xml:space="preserve"> per site, where most of the BEP facilities employ 1 to 5 employee. In line 21, it shows 391 total employed in the program. How many of these individuals are with the DOD sites. Part 1 of the RSA 15 just shows RSA the total amount of </w:t>
      </w:r>
      <w:r w:rsidR="00611BA4">
        <w:rPr>
          <w:rFonts w:ascii="Calibri" w:hAnsi="Calibri" w:cs="Calibri"/>
          <w:sz w:val="24"/>
          <w:szCs w:val="24"/>
        </w:rPr>
        <w:t xml:space="preserve">financial general data to see if the program is growing or not. Part 2, and 3 describes the DOD contract amounts and which part of state, federal and other types of facilities and the number of vendors in these locations. Part 4 and 5 are the </w:t>
      </w:r>
      <w:r w:rsidR="00D653F2">
        <w:rPr>
          <w:rFonts w:ascii="Calibri" w:hAnsi="Calibri" w:cs="Calibri"/>
          <w:sz w:val="24"/>
          <w:szCs w:val="24"/>
        </w:rPr>
        <w:t>sections</w:t>
      </w:r>
      <w:r w:rsidR="00611BA4">
        <w:rPr>
          <w:rFonts w:ascii="Calibri" w:hAnsi="Calibri" w:cs="Calibri"/>
          <w:sz w:val="24"/>
          <w:szCs w:val="24"/>
        </w:rPr>
        <w:t xml:space="preserve"> we are most interested in comparing year to year data. </w:t>
      </w:r>
    </w:p>
    <w:p w14:paraId="63FCAE1B" w14:textId="77777777" w:rsidR="00A21219" w:rsidRDefault="00A21219" w:rsidP="00717AA0">
      <w:pPr>
        <w:spacing w:after="120" w:line="257" w:lineRule="auto"/>
        <w:contextualSpacing/>
        <w:rPr>
          <w:rFonts w:ascii="Calibri" w:hAnsi="Calibri" w:cs="Calibri"/>
          <w:sz w:val="24"/>
          <w:szCs w:val="24"/>
        </w:rPr>
      </w:pPr>
    </w:p>
    <w:p w14:paraId="6FB01B45" w14:textId="77777777" w:rsidR="00EA07B2" w:rsidRPr="00162EB0" w:rsidRDefault="00EA07B2" w:rsidP="00717AA0">
      <w:pPr>
        <w:spacing w:after="120" w:line="257" w:lineRule="auto"/>
        <w:contextualSpacing/>
        <w:rPr>
          <w:rFonts w:ascii="Calibri" w:hAnsi="Calibri" w:cs="Calibri"/>
          <w:sz w:val="24"/>
          <w:szCs w:val="24"/>
          <w:u w:val="single"/>
        </w:rPr>
      </w:pPr>
      <w:r w:rsidRPr="009856D8">
        <w:rPr>
          <w:rFonts w:ascii="Calibri" w:hAnsi="Calibri" w:cs="Calibri"/>
          <w:sz w:val="24"/>
          <w:szCs w:val="24"/>
          <w:u w:val="single"/>
        </w:rPr>
        <w:t xml:space="preserve">Part 5 Income/Expense </w:t>
      </w:r>
      <w:r w:rsidR="00162EB0" w:rsidRPr="009856D8">
        <w:rPr>
          <w:rFonts w:ascii="Calibri" w:hAnsi="Calibri" w:cs="Calibri"/>
          <w:sz w:val="24"/>
          <w:szCs w:val="24"/>
          <w:u w:val="single"/>
        </w:rPr>
        <w:t xml:space="preserve"> </w:t>
      </w:r>
      <w:r w:rsidR="00162EB0">
        <w:rPr>
          <w:rFonts w:ascii="Calibri" w:hAnsi="Calibri" w:cs="Calibri"/>
          <w:sz w:val="24"/>
          <w:szCs w:val="24"/>
        </w:rPr>
        <w:t xml:space="preserve">              </w:t>
      </w:r>
      <w:r w:rsidR="00162EB0">
        <w:rPr>
          <w:rFonts w:ascii="Calibri" w:hAnsi="Calibri" w:cs="Calibri"/>
          <w:sz w:val="24"/>
          <w:szCs w:val="24"/>
          <w:u w:val="single"/>
        </w:rPr>
        <w:t>2022                   2021</w:t>
      </w:r>
    </w:p>
    <w:p w14:paraId="5213219F" w14:textId="77777777" w:rsidR="00254326" w:rsidRDefault="00254326" w:rsidP="00717AA0">
      <w:pPr>
        <w:spacing w:after="120" w:line="257" w:lineRule="auto"/>
        <w:contextualSpacing/>
        <w:rPr>
          <w:rFonts w:ascii="Calibri" w:hAnsi="Calibri" w:cs="Calibri"/>
          <w:sz w:val="24"/>
          <w:szCs w:val="24"/>
        </w:rPr>
      </w:pPr>
      <w:r>
        <w:rPr>
          <w:rFonts w:ascii="Calibri" w:hAnsi="Calibri" w:cs="Calibri"/>
          <w:sz w:val="24"/>
          <w:szCs w:val="24"/>
        </w:rPr>
        <w:t>Beginning Balance                     $3,075,916</w:t>
      </w:r>
      <w:r w:rsidR="00A23886">
        <w:rPr>
          <w:rFonts w:ascii="Calibri" w:hAnsi="Calibri" w:cs="Calibri"/>
          <w:sz w:val="24"/>
          <w:szCs w:val="24"/>
        </w:rPr>
        <w:t xml:space="preserve">   </w:t>
      </w:r>
      <w:r w:rsidR="00162EB0">
        <w:rPr>
          <w:rFonts w:ascii="Calibri" w:hAnsi="Calibri" w:cs="Calibri"/>
          <w:sz w:val="24"/>
          <w:szCs w:val="24"/>
        </w:rPr>
        <w:t xml:space="preserve">     $3,957,490</w:t>
      </w:r>
    </w:p>
    <w:p w14:paraId="42FDBED5" w14:textId="77777777" w:rsidR="00254326" w:rsidRDefault="00254326" w:rsidP="00717AA0">
      <w:pPr>
        <w:spacing w:after="120" w:line="257" w:lineRule="auto"/>
        <w:contextualSpacing/>
        <w:rPr>
          <w:rFonts w:ascii="Calibri" w:hAnsi="Calibri" w:cs="Calibri"/>
          <w:sz w:val="24"/>
          <w:szCs w:val="24"/>
        </w:rPr>
      </w:pPr>
      <w:r>
        <w:rPr>
          <w:rFonts w:ascii="Calibri" w:hAnsi="Calibri" w:cs="Calibri"/>
          <w:sz w:val="24"/>
          <w:szCs w:val="24"/>
        </w:rPr>
        <w:t>Revenue                                         $427,609</w:t>
      </w:r>
      <w:r w:rsidR="00A23886">
        <w:rPr>
          <w:rFonts w:ascii="Calibri" w:hAnsi="Calibri" w:cs="Calibri"/>
          <w:sz w:val="24"/>
          <w:szCs w:val="24"/>
        </w:rPr>
        <w:t xml:space="preserve">           $202,457</w:t>
      </w:r>
    </w:p>
    <w:p w14:paraId="1B8EC4B4" w14:textId="77777777" w:rsidR="00254326" w:rsidRDefault="00254326" w:rsidP="00717AA0">
      <w:pPr>
        <w:spacing w:after="120" w:line="257" w:lineRule="auto"/>
        <w:contextualSpacing/>
        <w:rPr>
          <w:rFonts w:ascii="Calibri" w:hAnsi="Calibri" w:cs="Calibri"/>
          <w:sz w:val="24"/>
          <w:szCs w:val="24"/>
        </w:rPr>
      </w:pPr>
      <w:r>
        <w:rPr>
          <w:rFonts w:ascii="Calibri" w:hAnsi="Calibri" w:cs="Calibri"/>
          <w:sz w:val="24"/>
          <w:szCs w:val="24"/>
        </w:rPr>
        <w:t>Expenditures                                 $559,103</w:t>
      </w:r>
      <w:r w:rsidR="00A23886">
        <w:rPr>
          <w:rFonts w:ascii="Calibri" w:hAnsi="Calibri" w:cs="Calibri"/>
          <w:sz w:val="24"/>
          <w:szCs w:val="24"/>
        </w:rPr>
        <w:t xml:space="preserve">           $641,031</w:t>
      </w:r>
    </w:p>
    <w:p w14:paraId="4F1CE044" w14:textId="77777777" w:rsidR="00A23886" w:rsidRDefault="00A23886" w:rsidP="00717AA0">
      <w:pPr>
        <w:spacing w:after="120" w:line="257" w:lineRule="auto"/>
        <w:contextualSpacing/>
        <w:rPr>
          <w:rFonts w:ascii="Calibri" w:hAnsi="Calibri" w:cs="Calibri"/>
          <w:sz w:val="24"/>
          <w:szCs w:val="24"/>
        </w:rPr>
      </w:pPr>
      <w:r>
        <w:rPr>
          <w:rFonts w:ascii="Calibri" w:hAnsi="Calibri" w:cs="Calibri"/>
          <w:sz w:val="24"/>
          <w:szCs w:val="24"/>
        </w:rPr>
        <w:t>FMR Payments                                                          $443,000</w:t>
      </w:r>
    </w:p>
    <w:p w14:paraId="21D4775B" w14:textId="77777777" w:rsidR="00254326" w:rsidRDefault="00254326" w:rsidP="00717AA0">
      <w:pPr>
        <w:spacing w:after="120" w:line="257" w:lineRule="auto"/>
        <w:contextualSpacing/>
        <w:rPr>
          <w:rFonts w:ascii="Calibri" w:hAnsi="Calibri" w:cs="Calibri"/>
          <w:sz w:val="24"/>
          <w:szCs w:val="24"/>
        </w:rPr>
      </w:pPr>
      <w:r>
        <w:rPr>
          <w:rFonts w:ascii="Calibri" w:hAnsi="Calibri" w:cs="Calibri"/>
          <w:sz w:val="24"/>
          <w:szCs w:val="24"/>
        </w:rPr>
        <w:t>Ending Balance                          $2,944,422</w:t>
      </w:r>
      <w:r w:rsidR="00A23886">
        <w:rPr>
          <w:rFonts w:ascii="Calibri" w:hAnsi="Calibri" w:cs="Calibri"/>
          <w:sz w:val="24"/>
          <w:szCs w:val="24"/>
        </w:rPr>
        <w:t xml:space="preserve">         $</w:t>
      </w:r>
      <w:r w:rsidR="00162EB0">
        <w:rPr>
          <w:rFonts w:ascii="Calibri" w:hAnsi="Calibri" w:cs="Calibri"/>
          <w:sz w:val="24"/>
          <w:szCs w:val="24"/>
        </w:rPr>
        <w:t>3,075,916</w:t>
      </w:r>
    </w:p>
    <w:p w14:paraId="6EF3B20D" w14:textId="77777777" w:rsidR="009856D8" w:rsidRDefault="009856D8" w:rsidP="00717AA0">
      <w:pPr>
        <w:spacing w:after="120" w:line="257" w:lineRule="auto"/>
        <w:contextualSpacing/>
        <w:rPr>
          <w:rFonts w:ascii="Calibri" w:hAnsi="Calibri" w:cs="Calibri"/>
          <w:sz w:val="24"/>
          <w:szCs w:val="24"/>
        </w:rPr>
      </w:pPr>
    </w:p>
    <w:p w14:paraId="16028E51" w14:textId="77777777" w:rsidR="00EB4B27" w:rsidRPr="009856D8" w:rsidRDefault="009856D8" w:rsidP="00717AA0">
      <w:pPr>
        <w:spacing w:after="120" w:line="257" w:lineRule="auto"/>
        <w:contextualSpacing/>
        <w:rPr>
          <w:rFonts w:ascii="Calibri" w:hAnsi="Calibri" w:cs="Calibri"/>
          <w:sz w:val="24"/>
          <w:szCs w:val="24"/>
          <w:u w:val="single"/>
        </w:rPr>
      </w:pPr>
      <w:r w:rsidRPr="009856D8">
        <w:rPr>
          <w:rFonts w:ascii="Calibri" w:hAnsi="Calibri" w:cs="Calibri"/>
          <w:sz w:val="24"/>
          <w:szCs w:val="24"/>
          <w:u w:val="single"/>
        </w:rPr>
        <w:t xml:space="preserve">Part 4 Expenditures </w:t>
      </w:r>
      <w:r w:rsidR="00EA07B2" w:rsidRPr="009856D8">
        <w:rPr>
          <w:rFonts w:ascii="Calibri" w:hAnsi="Calibri" w:cs="Calibri"/>
          <w:sz w:val="24"/>
          <w:szCs w:val="24"/>
          <w:u w:val="single"/>
        </w:rPr>
        <w:t xml:space="preserve">              </w:t>
      </w:r>
      <w:r w:rsidR="00254326" w:rsidRPr="009856D8">
        <w:rPr>
          <w:rFonts w:ascii="Calibri" w:hAnsi="Calibri" w:cs="Calibri"/>
          <w:sz w:val="24"/>
          <w:szCs w:val="24"/>
          <w:u w:val="single"/>
        </w:rPr>
        <w:t xml:space="preserve">                </w:t>
      </w:r>
      <w:r w:rsidR="00EA07B2" w:rsidRPr="009856D8">
        <w:rPr>
          <w:rFonts w:ascii="Calibri" w:hAnsi="Calibri" w:cs="Calibri"/>
          <w:sz w:val="24"/>
          <w:szCs w:val="24"/>
          <w:u w:val="single"/>
        </w:rPr>
        <w:t xml:space="preserve"> </w:t>
      </w:r>
      <w:r w:rsidR="00254326" w:rsidRPr="009856D8">
        <w:rPr>
          <w:rFonts w:ascii="Calibri" w:hAnsi="Calibri" w:cs="Calibri"/>
          <w:sz w:val="24"/>
          <w:szCs w:val="24"/>
          <w:u w:val="single"/>
        </w:rPr>
        <w:t xml:space="preserve">                                       </w:t>
      </w:r>
    </w:p>
    <w:p w14:paraId="7B1A7AFC" w14:textId="77777777" w:rsidR="00A26B0A" w:rsidRPr="002472A9" w:rsidRDefault="00A26B0A" w:rsidP="00717AA0">
      <w:pPr>
        <w:spacing w:after="120" w:line="257" w:lineRule="auto"/>
        <w:contextualSpacing/>
        <w:rPr>
          <w:rFonts w:ascii="Calibri" w:hAnsi="Calibri" w:cs="Calibri"/>
          <w:sz w:val="24"/>
          <w:szCs w:val="24"/>
          <w:u w:val="single"/>
        </w:rPr>
      </w:pPr>
      <w:r>
        <w:rPr>
          <w:rFonts w:ascii="Calibri" w:hAnsi="Calibri" w:cs="Calibri"/>
          <w:sz w:val="24"/>
          <w:szCs w:val="24"/>
        </w:rPr>
        <w:t xml:space="preserve">                                                           </w:t>
      </w:r>
      <w:r w:rsidRPr="00A26B0A">
        <w:rPr>
          <w:rFonts w:ascii="Calibri" w:hAnsi="Calibri" w:cs="Calibri"/>
          <w:sz w:val="24"/>
          <w:szCs w:val="24"/>
          <w:u w:val="single"/>
        </w:rPr>
        <w:t>2022</w:t>
      </w:r>
      <w:r w:rsidR="002472A9">
        <w:rPr>
          <w:rFonts w:ascii="Calibri" w:hAnsi="Calibri" w:cs="Calibri"/>
          <w:sz w:val="24"/>
          <w:szCs w:val="24"/>
          <w:u w:val="single"/>
        </w:rPr>
        <w:t xml:space="preserve">               </w:t>
      </w:r>
      <w:r w:rsidR="002472A9">
        <w:rPr>
          <w:rFonts w:ascii="Calibri" w:hAnsi="Calibri" w:cs="Calibri"/>
          <w:sz w:val="24"/>
          <w:szCs w:val="24"/>
        </w:rPr>
        <w:t>2021</w:t>
      </w:r>
    </w:p>
    <w:p w14:paraId="41ED1347" w14:textId="77777777" w:rsidR="00EB4B27" w:rsidRDefault="00EB4B27" w:rsidP="00717AA0">
      <w:pPr>
        <w:spacing w:after="120" w:line="257" w:lineRule="auto"/>
        <w:contextualSpacing/>
        <w:rPr>
          <w:rFonts w:ascii="Calibri" w:hAnsi="Calibri" w:cs="Calibri"/>
          <w:sz w:val="24"/>
          <w:szCs w:val="24"/>
        </w:rPr>
      </w:pPr>
      <w:r>
        <w:rPr>
          <w:rFonts w:ascii="Calibri" w:hAnsi="Calibri" w:cs="Calibri"/>
          <w:sz w:val="24"/>
          <w:szCs w:val="24"/>
        </w:rPr>
        <w:t xml:space="preserve">Purchasing new equipment       $69,214 </w:t>
      </w:r>
      <w:r w:rsidR="00ED4424">
        <w:rPr>
          <w:rFonts w:ascii="Calibri" w:hAnsi="Calibri" w:cs="Calibri"/>
          <w:sz w:val="24"/>
          <w:szCs w:val="24"/>
        </w:rPr>
        <w:t xml:space="preserve">      $217,9</w:t>
      </w:r>
      <w:r w:rsidR="00A26B0A">
        <w:rPr>
          <w:rFonts w:ascii="Calibri" w:hAnsi="Calibri" w:cs="Calibri"/>
          <w:sz w:val="24"/>
          <w:szCs w:val="24"/>
        </w:rPr>
        <w:t>66</w:t>
      </w:r>
    </w:p>
    <w:p w14:paraId="3F095CD7" w14:textId="77777777" w:rsidR="00EB4B27" w:rsidRDefault="00EB4B27" w:rsidP="00717AA0">
      <w:pPr>
        <w:spacing w:after="120" w:line="257" w:lineRule="auto"/>
        <w:contextualSpacing/>
        <w:rPr>
          <w:rFonts w:ascii="Calibri" w:hAnsi="Calibri" w:cs="Calibri"/>
          <w:sz w:val="24"/>
          <w:szCs w:val="24"/>
        </w:rPr>
      </w:pPr>
      <w:r>
        <w:rPr>
          <w:rFonts w:ascii="Calibri" w:hAnsi="Calibri" w:cs="Calibri"/>
          <w:sz w:val="24"/>
          <w:szCs w:val="24"/>
        </w:rPr>
        <w:t>Maintenance of Equipment     $119,404</w:t>
      </w:r>
      <w:r w:rsidR="00ED4424">
        <w:rPr>
          <w:rFonts w:ascii="Calibri" w:hAnsi="Calibri" w:cs="Calibri"/>
          <w:sz w:val="24"/>
          <w:szCs w:val="24"/>
        </w:rPr>
        <w:t xml:space="preserve">       $129,364</w:t>
      </w:r>
    </w:p>
    <w:p w14:paraId="653B79F9" w14:textId="77777777" w:rsidR="00EB4B27" w:rsidRDefault="00EB4B27" w:rsidP="00717AA0">
      <w:pPr>
        <w:spacing w:after="120" w:line="257" w:lineRule="auto"/>
        <w:contextualSpacing/>
        <w:rPr>
          <w:rFonts w:ascii="Calibri" w:hAnsi="Calibri" w:cs="Calibri"/>
          <w:sz w:val="24"/>
          <w:szCs w:val="24"/>
        </w:rPr>
      </w:pPr>
      <w:r>
        <w:rPr>
          <w:rFonts w:ascii="Calibri" w:hAnsi="Calibri" w:cs="Calibri"/>
          <w:sz w:val="24"/>
          <w:szCs w:val="24"/>
        </w:rPr>
        <w:t xml:space="preserve">Management Services                 $17,787 </w:t>
      </w:r>
      <w:r w:rsidR="00ED4424">
        <w:rPr>
          <w:rFonts w:ascii="Calibri" w:hAnsi="Calibri" w:cs="Calibri"/>
          <w:sz w:val="24"/>
          <w:szCs w:val="24"/>
        </w:rPr>
        <w:t xml:space="preserve">        $23,811</w:t>
      </w:r>
    </w:p>
    <w:p w14:paraId="35C32571" w14:textId="77777777" w:rsidR="00F9332C" w:rsidRPr="002472A9" w:rsidRDefault="00EB4B27" w:rsidP="00717AA0">
      <w:pPr>
        <w:spacing w:after="120" w:line="257" w:lineRule="auto"/>
        <w:contextualSpacing/>
        <w:rPr>
          <w:rFonts w:ascii="Calibri" w:hAnsi="Calibri" w:cs="Calibri"/>
          <w:sz w:val="24"/>
          <w:szCs w:val="24"/>
        </w:rPr>
      </w:pPr>
      <w:r>
        <w:rPr>
          <w:rFonts w:ascii="Calibri" w:hAnsi="Calibri" w:cs="Calibri"/>
          <w:sz w:val="24"/>
          <w:szCs w:val="24"/>
        </w:rPr>
        <w:t xml:space="preserve">Healthcare Services                   </w:t>
      </w:r>
      <w:r w:rsidRPr="00EB4B27">
        <w:rPr>
          <w:rFonts w:ascii="Calibri" w:hAnsi="Calibri" w:cs="Calibri"/>
          <w:sz w:val="24"/>
          <w:szCs w:val="24"/>
          <w:u w:val="single"/>
        </w:rPr>
        <w:t>$352,598</w:t>
      </w:r>
      <w:r w:rsidR="002472A9">
        <w:rPr>
          <w:rFonts w:ascii="Calibri" w:hAnsi="Calibri" w:cs="Calibri"/>
          <w:sz w:val="24"/>
          <w:szCs w:val="24"/>
          <w:u w:val="single"/>
        </w:rPr>
        <w:t xml:space="preserve">        </w:t>
      </w:r>
      <w:r w:rsidR="002472A9" w:rsidRPr="002472A9">
        <w:rPr>
          <w:rFonts w:ascii="Calibri" w:hAnsi="Calibri" w:cs="Calibri"/>
          <w:sz w:val="24"/>
          <w:szCs w:val="24"/>
          <w:u w:val="single"/>
        </w:rPr>
        <w:t>$269,890</w:t>
      </w:r>
    </w:p>
    <w:p w14:paraId="1A802DAE" w14:textId="77777777" w:rsidR="00EB4B27" w:rsidRDefault="00EB4B27" w:rsidP="00717AA0">
      <w:pPr>
        <w:spacing w:after="120" w:line="257" w:lineRule="auto"/>
        <w:contextualSpacing/>
        <w:rPr>
          <w:rFonts w:ascii="Calibri" w:hAnsi="Calibri" w:cs="Calibri"/>
          <w:sz w:val="24"/>
          <w:szCs w:val="24"/>
        </w:rPr>
      </w:pPr>
      <w:r>
        <w:rPr>
          <w:rFonts w:ascii="Calibri" w:hAnsi="Calibri" w:cs="Calibri"/>
          <w:sz w:val="24"/>
          <w:szCs w:val="24"/>
        </w:rPr>
        <w:t>Total Expenditures                    $559,103</w:t>
      </w:r>
      <w:r w:rsidR="002472A9">
        <w:rPr>
          <w:rFonts w:ascii="Calibri" w:hAnsi="Calibri" w:cs="Calibri"/>
          <w:sz w:val="24"/>
          <w:szCs w:val="24"/>
        </w:rPr>
        <w:t xml:space="preserve">         $641,031</w:t>
      </w:r>
    </w:p>
    <w:p w14:paraId="42652695" w14:textId="77777777" w:rsidR="00AC0D24" w:rsidRDefault="00AC0D24" w:rsidP="00717AA0">
      <w:pPr>
        <w:spacing w:after="120" w:line="257" w:lineRule="auto"/>
        <w:contextualSpacing/>
        <w:rPr>
          <w:rFonts w:ascii="Calibri" w:hAnsi="Calibri" w:cs="Calibri"/>
          <w:sz w:val="24"/>
          <w:szCs w:val="24"/>
        </w:rPr>
      </w:pPr>
      <w:r>
        <w:rPr>
          <w:rFonts w:ascii="Calibri" w:hAnsi="Calibri" w:cs="Calibri"/>
          <w:sz w:val="24"/>
          <w:szCs w:val="24"/>
        </w:rPr>
        <w:t>Note all of the figures above do no</w:t>
      </w:r>
      <w:r w:rsidR="002472A9">
        <w:rPr>
          <w:rFonts w:ascii="Calibri" w:hAnsi="Calibri" w:cs="Calibri"/>
          <w:sz w:val="24"/>
          <w:szCs w:val="24"/>
        </w:rPr>
        <w:t>t have any federal funds added.</w:t>
      </w:r>
    </w:p>
    <w:p w14:paraId="3D85E8B6" w14:textId="77777777" w:rsidR="008F484D" w:rsidRDefault="002472A9" w:rsidP="00717AA0">
      <w:pPr>
        <w:spacing w:after="120" w:line="257" w:lineRule="auto"/>
        <w:contextualSpacing/>
        <w:rPr>
          <w:rFonts w:ascii="Calibri" w:hAnsi="Calibri" w:cs="Calibri"/>
          <w:sz w:val="24"/>
          <w:szCs w:val="24"/>
        </w:rPr>
      </w:pPr>
      <w:r>
        <w:rPr>
          <w:rFonts w:ascii="Calibri" w:hAnsi="Calibri" w:cs="Calibri"/>
          <w:sz w:val="24"/>
          <w:szCs w:val="24"/>
        </w:rPr>
        <w:t xml:space="preserve">Note. In 2021, $443,000 was a onetime expense. (FMR Payments) </w:t>
      </w:r>
    </w:p>
    <w:p w14:paraId="553D6C00" w14:textId="77777777" w:rsidR="009D32E3" w:rsidRDefault="009D32E3" w:rsidP="009D32E3">
      <w:pPr>
        <w:spacing w:after="120" w:line="257" w:lineRule="auto"/>
        <w:contextualSpacing/>
        <w:rPr>
          <w:rFonts w:ascii="Calibri" w:hAnsi="Calibri" w:cs="Calibri"/>
          <w:sz w:val="24"/>
          <w:szCs w:val="24"/>
          <w:u w:val="single"/>
        </w:rPr>
      </w:pPr>
    </w:p>
    <w:p w14:paraId="30652CB2" w14:textId="77777777" w:rsidR="009D32E3" w:rsidRDefault="009D32E3" w:rsidP="009D32E3">
      <w:pPr>
        <w:spacing w:after="120" w:line="257" w:lineRule="auto"/>
        <w:contextualSpacing/>
        <w:rPr>
          <w:rFonts w:ascii="Calibri" w:hAnsi="Calibri" w:cs="Calibri"/>
          <w:sz w:val="24"/>
          <w:szCs w:val="24"/>
          <w:u w:val="single"/>
        </w:rPr>
      </w:pPr>
      <w:r>
        <w:rPr>
          <w:rFonts w:ascii="Calibri" w:hAnsi="Calibri" w:cs="Calibri"/>
          <w:sz w:val="24"/>
          <w:szCs w:val="24"/>
          <w:u w:val="single"/>
        </w:rPr>
        <w:t xml:space="preserve">Comments </w:t>
      </w:r>
    </w:p>
    <w:p w14:paraId="34706355" w14:textId="77777777" w:rsidR="009D32E3" w:rsidRDefault="007A08E3" w:rsidP="009D32E3">
      <w:pPr>
        <w:spacing w:after="120" w:line="257" w:lineRule="auto"/>
        <w:contextualSpacing/>
        <w:rPr>
          <w:rFonts w:ascii="Calibri" w:hAnsi="Calibri" w:cs="Calibri"/>
          <w:sz w:val="24"/>
          <w:szCs w:val="24"/>
        </w:rPr>
      </w:pPr>
      <w:r>
        <w:rPr>
          <w:rFonts w:ascii="Calibri" w:hAnsi="Calibri" w:cs="Calibri"/>
          <w:sz w:val="24"/>
          <w:szCs w:val="24"/>
        </w:rPr>
        <w:t xml:space="preserve">In the </w:t>
      </w:r>
      <w:r w:rsidR="009D32E3">
        <w:rPr>
          <w:rFonts w:ascii="Calibri" w:hAnsi="Calibri" w:cs="Calibri"/>
          <w:sz w:val="24"/>
          <w:szCs w:val="24"/>
        </w:rPr>
        <w:t xml:space="preserve">2022 RSA 15 Report, which ends September 2022, the total loss for the year was $131,494 leaving $2,944,422 available to be matched in this year’s financial period. </w:t>
      </w:r>
      <w:r>
        <w:rPr>
          <w:rFonts w:ascii="Calibri" w:hAnsi="Calibri" w:cs="Calibri"/>
          <w:sz w:val="24"/>
          <w:szCs w:val="24"/>
        </w:rPr>
        <w:t xml:space="preserve">In the 2021 RSA 15 report, </w:t>
      </w:r>
      <w:r w:rsidR="00A96E0E">
        <w:rPr>
          <w:rFonts w:ascii="Calibri" w:hAnsi="Calibri" w:cs="Calibri"/>
          <w:sz w:val="24"/>
          <w:szCs w:val="24"/>
        </w:rPr>
        <w:t xml:space="preserve">once the FMR payment was taken out, </w:t>
      </w:r>
      <w:r>
        <w:rPr>
          <w:rFonts w:ascii="Calibri" w:hAnsi="Calibri" w:cs="Calibri"/>
          <w:sz w:val="24"/>
          <w:szCs w:val="24"/>
        </w:rPr>
        <w:t xml:space="preserve">there was a </w:t>
      </w:r>
      <w:r w:rsidR="00A96E0E">
        <w:rPr>
          <w:rFonts w:ascii="Calibri" w:hAnsi="Calibri" w:cs="Calibri"/>
          <w:sz w:val="24"/>
          <w:szCs w:val="24"/>
        </w:rPr>
        <w:t>loss of $438,574.</w:t>
      </w:r>
    </w:p>
    <w:p w14:paraId="569F9655" w14:textId="77777777" w:rsidR="00A96E0E" w:rsidRDefault="00A96E0E" w:rsidP="009D32E3">
      <w:pPr>
        <w:spacing w:after="120" w:line="257" w:lineRule="auto"/>
        <w:contextualSpacing/>
        <w:rPr>
          <w:rFonts w:ascii="Calibri" w:hAnsi="Calibri" w:cs="Calibri"/>
          <w:sz w:val="24"/>
          <w:szCs w:val="24"/>
        </w:rPr>
      </w:pPr>
      <w:r>
        <w:rPr>
          <w:rFonts w:ascii="Calibri" w:hAnsi="Calibri" w:cs="Calibri"/>
          <w:sz w:val="24"/>
          <w:szCs w:val="24"/>
        </w:rPr>
        <w:t xml:space="preserve">The facilities have improved their bottom line this past year. Being only down $131,494 </w:t>
      </w:r>
      <w:r w:rsidR="007E2A08">
        <w:rPr>
          <w:rFonts w:ascii="Calibri" w:hAnsi="Calibri" w:cs="Calibri"/>
          <w:sz w:val="24"/>
          <w:szCs w:val="24"/>
        </w:rPr>
        <w:t>compared</w:t>
      </w:r>
      <w:r>
        <w:rPr>
          <w:rFonts w:ascii="Calibri" w:hAnsi="Calibri" w:cs="Calibri"/>
          <w:sz w:val="24"/>
          <w:szCs w:val="24"/>
        </w:rPr>
        <w:t xml:space="preserve"> to 2021 </w:t>
      </w:r>
      <w:r w:rsidR="007E2A08">
        <w:rPr>
          <w:rFonts w:ascii="Calibri" w:hAnsi="Calibri" w:cs="Calibri"/>
          <w:sz w:val="24"/>
          <w:szCs w:val="24"/>
        </w:rPr>
        <w:t xml:space="preserve">where the loss was </w:t>
      </w:r>
      <w:r>
        <w:rPr>
          <w:rFonts w:ascii="Calibri" w:hAnsi="Calibri" w:cs="Calibri"/>
          <w:sz w:val="24"/>
          <w:szCs w:val="24"/>
        </w:rPr>
        <w:t>$</w:t>
      </w:r>
      <w:r w:rsidR="007E2A08">
        <w:rPr>
          <w:rFonts w:ascii="Calibri" w:hAnsi="Calibri" w:cs="Calibri"/>
          <w:sz w:val="24"/>
          <w:szCs w:val="24"/>
        </w:rPr>
        <w:t>438,574. The gross income has also increased from $</w:t>
      </w:r>
      <w:r w:rsidR="00875F10">
        <w:rPr>
          <w:rFonts w:ascii="Calibri" w:hAnsi="Calibri" w:cs="Calibri"/>
          <w:sz w:val="24"/>
          <w:szCs w:val="24"/>
        </w:rPr>
        <w:t xml:space="preserve">202,457 in 2021 to $427,609 in 2022. Having $2.9m in reserve gives a good cushion if by chance there is a short fall in 2023.  </w:t>
      </w:r>
    </w:p>
    <w:p w14:paraId="43572EA5" w14:textId="77777777" w:rsidR="00875F10" w:rsidRDefault="00875F10" w:rsidP="00717AA0">
      <w:pPr>
        <w:spacing w:after="120" w:line="257" w:lineRule="auto"/>
        <w:contextualSpacing/>
        <w:rPr>
          <w:rFonts w:ascii="Calibri" w:hAnsi="Calibri" w:cs="Calibri"/>
          <w:sz w:val="24"/>
          <w:szCs w:val="24"/>
        </w:rPr>
      </w:pPr>
    </w:p>
    <w:p w14:paraId="02A53BC6" w14:textId="77777777" w:rsidR="008F484D" w:rsidRDefault="008F484D" w:rsidP="00717AA0">
      <w:pPr>
        <w:spacing w:after="120" w:line="257" w:lineRule="auto"/>
        <w:contextualSpacing/>
        <w:rPr>
          <w:rFonts w:ascii="Calibri" w:hAnsi="Calibri" w:cs="Calibri"/>
          <w:b/>
          <w:sz w:val="24"/>
          <w:szCs w:val="24"/>
          <w:u w:val="single"/>
        </w:rPr>
      </w:pPr>
      <w:r>
        <w:rPr>
          <w:rFonts w:ascii="Calibri" w:hAnsi="Calibri" w:cs="Calibri"/>
          <w:b/>
          <w:sz w:val="24"/>
          <w:szCs w:val="24"/>
          <w:u w:val="single"/>
        </w:rPr>
        <w:t>Contracting Federal and State Vending Machine Income (Retirement)</w:t>
      </w:r>
    </w:p>
    <w:p w14:paraId="17F2C784" w14:textId="77777777" w:rsidR="00652D06" w:rsidRPr="00652D06" w:rsidRDefault="00652D06" w:rsidP="00717AA0">
      <w:pPr>
        <w:spacing w:after="120" w:line="257" w:lineRule="auto"/>
        <w:contextualSpacing/>
        <w:rPr>
          <w:rFonts w:ascii="Calibri" w:hAnsi="Calibri" w:cs="Calibri"/>
          <w:sz w:val="24"/>
          <w:szCs w:val="24"/>
          <w:u w:val="single"/>
        </w:rPr>
      </w:pPr>
      <w:r>
        <w:rPr>
          <w:rFonts w:ascii="Calibri" w:hAnsi="Calibri" w:cs="Calibri"/>
          <w:sz w:val="24"/>
          <w:szCs w:val="24"/>
        </w:rPr>
        <w:t xml:space="preserve">                                                          </w:t>
      </w:r>
      <w:r>
        <w:rPr>
          <w:rFonts w:ascii="Calibri" w:hAnsi="Calibri" w:cs="Calibri"/>
          <w:sz w:val="24"/>
          <w:szCs w:val="24"/>
          <w:u w:val="single"/>
        </w:rPr>
        <w:t>2022            2021</w:t>
      </w:r>
    </w:p>
    <w:p w14:paraId="57DCC95A" w14:textId="77777777" w:rsidR="00652D06" w:rsidRDefault="00652D06" w:rsidP="00717AA0">
      <w:pPr>
        <w:spacing w:after="120" w:line="257" w:lineRule="auto"/>
        <w:contextualSpacing/>
        <w:rPr>
          <w:rFonts w:ascii="Calibri" w:hAnsi="Calibri" w:cs="Calibri"/>
          <w:sz w:val="24"/>
          <w:szCs w:val="24"/>
        </w:rPr>
      </w:pPr>
      <w:r>
        <w:rPr>
          <w:rFonts w:ascii="Calibri" w:hAnsi="Calibri" w:cs="Calibri"/>
          <w:sz w:val="24"/>
          <w:szCs w:val="24"/>
        </w:rPr>
        <w:t>Beginning Balance                       $9,574       $19,453</w:t>
      </w:r>
    </w:p>
    <w:p w14:paraId="4C256D97" w14:textId="77777777" w:rsidR="008F484D" w:rsidRDefault="00652D06" w:rsidP="00717AA0">
      <w:pPr>
        <w:spacing w:after="120" w:line="257" w:lineRule="auto"/>
        <w:contextualSpacing/>
        <w:rPr>
          <w:rFonts w:ascii="Calibri" w:hAnsi="Calibri" w:cs="Calibri"/>
          <w:sz w:val="24"/>
          <w:szCs w:val="24"/>
        </w:rPr>
      </w:pPr>
      <w:r>
        <w:rPr>
          <w:rFonts w:ascii="Calibri" w:hAnsi="Calibri" w:cs="Calibri"/>
          <w:sz w:val="24"/>
          <w:szCs w:val="24"/>
        </w:rPr>
        <w:t>Feder</w:t>
      </w:r>
      <w:r w:rsidR="008F484D">
        <w:rPr>
          <w:rFonts w:ascii="Calibri" w:hAnsi="Calibri" w:cs="Calibri"/>
          <w:sz w:val="24"/>
          <w:szCs w:val="24"/>
        </w:rPr>
        <w:t>al machines income      $168,758</w:t>
      </w:r>
      <w:r w:rsidR="00EA07B2">
        <w:rPr>
          <w:rFonts w:ascii="Calibri" w:hAnsi="Calibri" w:cs="Calibri"/>
          <w:sz w:val="24"/>
          <w:szCs w:val="24"/>
        </w:rPr>
        <w:t xml:space="preserve">     </w:t>
      </w:r>
      <w:r w:rsidR="007F68D2">
        <w:rPr>
          <w:rFonts w:ascii="Calibri" w:hAnsi="Calibri" w:cs="Calibri"/>
          <w:sz w:val="24"/>
          <w:szCs w:val="24"/>
        </w:rPr>
        <w:t xml:space="preserve"> </w:t>
      </w:r>
      <w:r w:rsidR="00EA07B2">
        <w:rPr>
          <w:rFonts w:ascii="Calibri" w:hAnsi="Calibri" w:cs="Calibri"/>
          <w:sz w:val="24"/>
          <w:szCs w:val="24"/>
        </w:rPr>
        <w:t>$</w:t>
      </w:r>
      <w:r>
        <w:rPr>
          <w:rFonts w:ascii="Calibri" w:hAnsi="Calibri" w:cs="Calibri"/>
          <w:sz w:val="24"/>
          <w:szCs w:val="24"/>
        </w:rPr>
        <w:t>149179</w:t>
      </w:r>
    </w:p>
    <w:p w14:paraId="52EA2946" w14:textId="77777777" w:rsidR="008F484D" w:rsidRDefault="008F484D" w:rsidP="00717AA0">
      <w:pPr>
        <w:spacing w:after="120" w:line="257" w:lineRule="auto"/>
        <w:contextualSpacing/>
        <w:rPr>
          <w:rFonts w:ascii="Calibri" w:hAnsi="Calibri" w:cs="Calibri"/>
          <w:sz w:val="24"/>
          <w:szCs w:val="24"/>
          <w:u w:val="single"/>
        </w:rPr>
      </w:pPr>
      <w:r>
        <w:rPr>
          <w:rFonts w:ascii="Calibri" w:hAnsi="Calibri" w:cs="Calibri"/>
          <w:sz w:val="24"/>
          <w:szCs w:val="24"/>
        </w:rPr>
        <w:t xml:space="preserve">State      machines income       </w:t>
      </w:r>
      <w:r w:rsidRPr="008F484D">
        <w:rPr>
          <w:rFonts w:ascii="Calibri" w:hAnsi="Calibri" w:cs="Calibri"/>
          <w:sz w:val="24"/>
          <w:szCs w:val="24"/>
          <w:u w:val="single"/>
        </w:rPr>
        <w:t>$75,384</w:t>
      </w:r>
      <w:r w:rsidR="00652D06">
        <w:rPr>
          <w:rFonts w:ascii="Calibri" w:hAnsi="Calibri" w:cs="Calibri"/>
          <w:sz w:val="24"/>
          <w:szCs w:val="24"/>
          <w:u w:val="single"/>
        </w:rPr>
        <w:t xml:space="preserve">       $62001</w:t>
      </w:r>
    </w:p>
    <w:p w14:paraId="7C3E4016" w14:textId="77777777" w:rsidR="008F484D" w:rsidRDefault="008F484D" w:rsidP="00717AA0">
      <w:pPr>
        <w:spacing w:after="120" w:line="257" w:lineRule="auto"/>
        <w:contextualSpacing/>
        <w:rPr>
          <w:rFonts w:ascii="Calibri" w:hAnsi="Calibri" w:cs="Calibri"/>
          <w:sz w:val="24"/>
          <w:szCs w:val="24"/>
        </w:rPr>
      </w:pPr>
      <w:proofErr w:type="gramStart"/>
      <w:r>
        <w:rPr>
          <w:rFonts w:ascii="Calibri" w:hAnsi="Calibri" w:cs="Calibri"/>
          <w:sz w:val="24"/>
          <w:szCs w:val="24"/>
        </w:rPr>
        <w:t>Total  Income</w:t>
      </w:r>
      <w:proofErr w:type="gramEnd"/>
      <w:r>
        <w:rPr>
          <w:rFonts w:ascii="Calibri" w:hAnsi="Calibri" w:cs="Calibri"/>
          <w:sz w:val="24"/>
          <w:szCs w:val="24"/>
        </w:rPr>
        <w:t xml:space="preserve">                              $244,142</w:t>
      </w:r>
      <w:r w:rsidR="008502DA">
        <w:rPr>
          <w:rFonts w:ascii="Calibri" w:hAnsi="Calibri" w:cs="Calibri"/>
          <w:sz w:val="24"/>
          <w:szCs w:val="24"/>
        </w:rPr>
        <w:t xml:space="preserve">    $211,180   </w:t>
      </w:r>
    </w:p>
    <w:p w14:paraId="7B2D8E24" w14:textId="77777777" w:rsidR="008502DA" w:rsidRDefault="008502DA" w:rsidP="00717AA0">
      <w:pPr>
        <w:spacing w:after="120" w:line="257" w:lineRule="auto"/>
        <w:contextualSpacing/>
        <w:rPr>
          <w:rFonts w:ascii="Calibri" w:hAnsi="Calibri" w:cs="Calibri"/>
          <w:sz w:val="24"/>
          <w:szCs w:val="24"/>
        </w:rPr>
      </w:pPr>
    </w:p>
    <w:p w14:paraId="1DB2E88D" w14:textId="77777777" w:rsidR="008502DA" w:rsidRDefault="008502DA" w:rsidP="00717AA0">
      <w:pPr>
        <w:spacing w:after="120" w:line="257" w:lineRule="auto"/>
        <w:contextualSpacing/>
        <w:rPr>
          <w:rFonts w:ascii="Calibri" w:hAnsi="Calibri" w:cs="Calibri"/>
          <w:sz w:val="24"/>
          <w:szCs w:val="24"/>
        </w:rPr>
      </w:pPr>
    </w:p>
    <w:p w14:paraId="73902B3B" w14:textId="77777777" w:rsidR="003E1907" w:rsidRPr="008502DA" w:rsidRDefault="008F484D" w:rsidP="00717AA0">
      <w:pPr>
        <w:spacing w:after="120" w:line="257" w:lineRule="auto"/>
        <w:contextualSpacing/>
        <w:rPr>
          <w:rFonts w:ascii="Calibri" w:hAnsi="Calibri" w:cs="Calibri"/>
          <w:sz w:val="24"/>
          <w:szCs w:val="24"/>
          <w:u w:val="single"/>
        </w:rPr>
      </w:pPr>
      <w:r>
        <w:rPr>
          <w:rFonts w:ascii="Calibri" w:hAnsi="Calibri" w:cs="Calibri"/>
          <w:sz w:val="24"/>
          <w:szCs w:val="24"/>
        </w:rPr>
        <w:t xml:space="preserve">Allocated </w:t>
      </w:r>
      <w:r w:rsidR="003E1907">
        <w:rPr>
          <w:rFonts w:ascii="Calibri" w:hAnsi="Calibri" w:cs="Calibri"/>
          <w:sz w:val="24"/>
          <w:szCs w:val="24"/>
        </w:rPr>
        <w:t xml:space="preserve">to Retirement </w:t>
      </w:r>
      <w:r w:rsidR="008502DA">
        <w:rPr>
          <w:rFonts w:ascii="Calibri" w:hAnsi="Calibri" w:cs="Calibri"/>
          <w:sz w:val="24"/>
          <w:szCs w:val="24"/>
        </w:rPr>
        <w:t xml:space="preserve">           </w:t>
      </w:r>
      <w:r w:rsidR="00F81711">
        <w:rPr>
          <w:rFonts w:ascii="Calibri" w:hAnsi="Calibri" w:cs="Calibri"/>
          <w:sz w:val="24"/>
          <w:szCs w:val="24"/>
        </w:rPr>
        <w:t xml:space="preserve">             </w:t>
      </w:r>
      <w:r w:rsidR="008502DA">
        <w:rPr>
          <w:rFonts w:ascii="Calibri" w:hAnsi="Calibri" w:cs="Calibri"/>
          <w:sz w:val="24"/>
          <w:szCs w:val="24"/>
        </w:rPr>
        <w:t xml:space="preserve"> </w:t>
      </w:r>
      <w:r w:rsidR="008502DA">
        <w:rPr>
          <w:rFonts w:ascii="Calibri" w:hAnsi="Calibri" w:cs="Calibri"/>
          <w:sz w:val="24"/>
          <w:szCs w:val="24"/>
          <w:u w:val="single"/>
        </w:rPr>
        <w:t>2022            2021</w:t>
      </w:r>
    </w:p>
    <w:p w14:paraId="7CD7779B" w14:textId="77777777" w:rsidR="008502DA" w:rsidRDefault="008502DA" w:rsidP="00717AA0">
      <w:pPr>
        <w:spacing w:after="120" w:line="257" w:lineRule="auto"/>
        <w:contextualSpacing/>
        <w:rPr>
          <w:rFonts w:ascii="Calibri" w:hAnsi="Calibri" w:cs="Calibri"/>
          <w:sz w:val="24"/>
          <w:szCs w:val="24"/>
        </w:rPr>
      </w:pPr>
      <w:r>
        <w:rPr>
          <w:rFonts w:ascii="Calibri" w:hAnsi="Calibri" w:cs="Calibri"/>
          <w:sz w:val="24"/>
          <w:szCs w:val="24"/>
        </w:rPr>
        <w:t xml:space="preserve">Beginning Balance                     </w:t>
      </w:r>
      <w:r w:rsidR="00F81711">
        <w:rPr>
          <w:rFonts w:ascii="Calibri" w:hAnsi="Calibri" w:cs="Calibri"/>
          <w:sz w:val="24"/>
          <w:szCs w:val="24"/>
        </w:rPr>
        <w:t xml:space="preserve">             </w:t>
      </w:r>
      <w:r>
        <w:rPr>
          <w:rFonts w:ascii="Calibri" w:hAnsi="Calibri" w:cs="Calibri"/>
          <w:sz w:val="24"/>
          <w:szCs w:val="24"/>
        </w:rPr>
        <w:t xml:space="preserve">  $9,554         $19,453</w:t>
      </w:r>
    </w:p>
    <w:p w14:paraId="71147B34" w14:textId="77777777" w:rsidR="00F87B76" w:rsidRDefault="00F87B76" w:rsidP="00717AA0">
      <w:pPr>
        <w:spacing w:after="120" w:line="257" w:lineRule="auto"/>
        <w:contextualSpacing/>
        <w:rPr>
          <w:rFonts w:ascii="Calibri" w:hAnsi="Calibri" w:cs="Calibri"/>
          <w:sz w:val="24"/>
          <w:szCs w:val="24"/>
        </w:rPr>
      </w:pPr>
      <w:r>
        <w:rPr>
          <w:rFonts w:ascii="Calibri" w:hAnsi="Calibri" w:cs="Calibri"/>
          <w:sz w:val="24"/>
          <w:szCs w:val="24"/>
        </w:rPr>
        <w:t xml:space="preserve">Total Income                                            </w:t>
      </w:r>
      <w:r w:rsidR="00F81711">
        <w:rPr>
          <w:rFonts w:ascii="Calibri" w:hAnsi="Calibri" w:cs="Calibri"/>
          <w:sz w:val="24"/>
          <w:szCs w:val="24"/>
        </w:rPr>
        <w:t>$244,142</w:t>
      </w:r>
      <w:r>
        <w:rPr>
          <w:rFonts w:ascii="Calibri" w:hAnsi="Calibri" w:cs="Calibri"/>
          <w:sz w:val="24"/>
          <w:szCs w:val="24"/>
        </w:rPr>
        <w:t xml:space="preserve"> </w:t>
      </w:r>
      <w:r w:rsidR="00F81711">
        <w:rPr>
          <w:rFonts w:ascii="Calibri" w:hAnsi="Calibri" w:cs="Calibri"/>
          <w:sz w:val="24"/>
          <w:szCs w:val="24"/>
        </w:rPr>
        <w:t xml:space="preserve">      $211,180</w:t>
      </w:r>
    </w:p>
    <w:p w14:paraId="39C76A82" w14:textId="77777777" w:rsidR="003E1907" w:rsidRDefault="00F87B76" w:rsidP="00717AA0">
      <w:pPr>
        <w:spacing w:after="120" w:line="257" w:lineRule="auto"/>
        <w:contextualSpacing/>
        <w:rPr>
          <w:rFonts w:ascii="Calibri" w:hAnsi="Calibri" w:cs="Calibri"/>
          <w:sz w:val="24"/>
          <w:szCs w:val="24"/>
        </w:rPr>
      </w:pPr>
      <w:r>
        <w:rPr>
          <w:rFonts w:ascii="Calibri" w:hAnsi="Calibri" w:cs="Calibri"/>
          <w:sz w:val="24"/>
          <w:szCs w:val="24"/>
        </w:rPr>
        <w:t xml:space="preserve">Federal Expense </w:t>
      </w:r>
      <w:r w:rsidR="003E1907">
        <w:rPr>
          <w:rFonts w:ascii="Calibri" w:hAnsi="Calibri" w:cs="Calibri"/>
          <w:sz w:val="24"/>
          <w:szCs w:val="24"/>
        </w:rPr>
        <w:t xml:space="preserve">                                      $155,578</w:t>
      </w:r>
      <w:r w:rsidR="008502DA">
        <w:rPr>
          <w:rFonts w:ascii="Calibri" w:hAnsi="Calibri" w:cs="Calibri"/>
          <w:sz w:val="24"/>
          <w:szCs w:val="24"/>
        </w:rPr>
        <w:t xml:space="preserve">      $</w:t>
      </w:r>
      <w:r w:rsidR="00EE5B0F">
        <w:rPr>
          <w:rFonts w:ascii="Calibri" w:hAnsi="Calibri" w:cs="Calibri"/>
          <w:sz w:val="24"/>
          <w:szCs w:val="24"/>
        </w:rPr>
        <w:t>137386</w:t>
      </w:r>
    </w:p>
    <w:p w14:paraId="324DD75E" w14:textId="77777777" w:rsidR="003E1907" w:rsidRPr="00EE5B0F" w:rsidRDefault="00F87B76" w:rsidP="00717AA0">
      <w:pPr>
        <w:spacing w:after="120" w:line="257" w:lineRule="auto"/>
        <w:contextualSpacing/>
        <w:rPr>
          <w:rFonts w:ascii="Calibri" w:hAnsi="Calibri" w:cs="Calibri"/>
          <w:sz w:val="24"/>
          <w:szCs w:val="24"/>
        </w:rPr>
      </w:pPr>
      <w:r>
        <w:rPr>
          <w:rFonts w:ascii="Calibri" w:hAnsi="Calibri" w:cs="Calibri"/>
          <w:sz w:val="24"/>
          <w:szCs w:val="24"/>
        </w:rPr>
        <w:t>State Expense</w:t>
      </w:r>
      <w:r w:rsidR="003E1907">
        <w:rPr>
          <w:rFonts w:ascii="Calibri" w:hAnsi="Calibri" w:cs="Calibri"/>
          <w:sz w:val="24"/>
          <w:szCs w:val="24"/>
        </w:rPr>
        <w:t xml:space="preserve">                                          </w:t>
      </w:r>
      <w:r w:rsidR="003E1907" w:rsidRPr="00EE5B0F">
        <w:rPr>
          <w:rFonts w:ascii="Calibri" w:hAnsi="Calibri" w:cs="Calibri"/>
          <w:sz w:val="24"/>
          <w:szCs w:val="24"/>
        </w:rPr>
        <w:t>$77,335</w:t>
      </w:r>
      <w:r w:rsidR="00EE5B0F" w:rsidRPr="00EE5B0F">
        <w:rPr>
          <w:rFonts w:ascii="Calibri" w:hAnsi="Calibri" w:cs="Calibri"/>
          <w:sz w:val="24"/>
          <w:szCs w:val="24"/>
        </w:rPr>
        <w:t xml:space="preserve"> </w:t>
      </w:r>
      <w:r w:rsidR="00EE5B0F">
        <w:rPr>
          <w:rFonts w:ascii="Calibri" w:hAnsi="Calibri" w:cs="Calibri"/>
          <w:sz w:val="24"/>
          <w:szCs w:val="24"/>
        </w:rPr>
        <w:t xml:space="preserve">       </w:t>
      </w:r>
      <w:r w:rsidR="00F81711">
        <w:rPr>
          <w:rFonts w:ascii="Calibri" w:hAnsi="Calibri" w:cs="Calibri"/>
          <w:sz w:val="24"/>
          <w:szCs w:val="24"/>
        </w:rPr>
        <w:t xml:space="preserve">  </w:t>
      </w:r>
      <w:r w:rsidR="00EE5B0F">
        <w:rPr>
          <w:rFonts w:ascii="Calibri" w:hAnsi="Calibri" w:cs="Calibri"/>
          <w:sz w:val="24"/>
          <w:szCs w:val="24"/>
        </w:rPr>
        <w:t xml:space="preserve"> $64,181</w:t>
      </w:r>
    </w:p>
    <w:p w14:paraId="6F4BF854" w14:textId="77777777" w:rsidR="00EE5B0F" w:rsidRDefault="00EE5B0F" w:rsidP="00717AA0">
      <w:pPr>
        <w:spacing w:after="120" w:line="257" w:lineRule="auto"/>
        <w:contextualSpacing/>
        <w:rPr>
          <w:rFonts w:ascii="Calibri" w:hAnsi="Calibri" w:cs="Calibri"/>
          <w:sz w:val="24"/>
          <w:szCs w:val="24"/>
        </w:rPr>
      </w:pPr>
      <w:r>
        <w:rPr>
          <w:rFonts w:ascii="Calibri" w:hAnsi="Calibri" w:cs="Calibri"/>
          <w:sz w:val="24"/>
          <w:szCs w:val="24"/>
        </w:rPr>
        <w:t xml:space="preserve">Other Expense </w:t>
      </w:r>
      <w:r w:rsidR="009D32E3">
        <w:rPr>
          <w:rFonts w:ascii="Calibri" w:hAnsi="Calibri" w:cs="Calibri"/>
          <w:sz w:val="24"/>
          <w:szCs w:val="24"/>
        </w:rPr>
        <w:t xml:space="preserve">                                                   </w:t>
      </w:r>
      <w:r w:rsidR="00F81711">
        <w:rPr>
          <w:rFonts w:ascii="Calibri" w:hAnsi="Calibri" w:cs="Calibri"/>
          <w:sz w:val="24"/>
          <w:szCs w:val="24"/>
        </w:rPr>
        <w:t xml:space="preserve">               </w:t>
      </w:r>
      <w:r w:rsidR="009D32E3">
        <w:rPr>
          <w:rFonts w:ascii="Calibri" w:hAnsi="Calibri" w:cs="Calibri"/>
          <w:sz w:val="24"/>
          <w:szCs w:val="24"/>
        </w:rPr>
        <w:t xml:space="preserve"> $5,643</w:t>
      </w:r>
    </w:p>
    <w:p w14:paraId="50829DC9" w14:textId="77777777" w:rsidR="008F484D" w:rsidRDefault="003E1907" w:rsidP="00717AA0">
      <w:pPr>
        <w:spacing w:after="120" w:line="257" w:lineRule="auto"/>
        <w:contextualSpacing/>
        <w:rPr>
          <w:rFonts w:ascii="Calibri" w:hAnsi="Calibri" w:cs="Calibri"/>
          <w:sz w:val="24"/>
          <w:szCs w:val="24"/>
        </w:rPr>
      </w:pPr>
      <w:r>
        <w:rPr>
          <w:rFonts w:ascii="Calibri" w:hAnsi="Calibri" w:cs="Calibri"/>
          <w:sz w:val="24"/>
          <w:szCs w:val="24"/>
        </w:rPr>
        <w:t xml:space="preserve">Total </w:t>
      </w:r>
      <w:r w:rsidR="008F484D">
        <w:rPr>
          <w:rFonts w:ascii="Calibri" w:hAnsi="Calibri" w:cs="Calibri"/>
          <w:sz w:val="24"/>
          <w:szCs w:val="24"/>
        </w:rPr>
        <w:t xml:space="preserve"> </w:t>
      </w:r>
      <w:r>
        <w:rPr>
          <w:rFonts w:ascii="Calibri" w:hAnsi="Calibri" w:cs="Calibri"/>
          <w:sz w:val="24"/>
          <w:szCs w:val="24"/>
        </w:rPr>
        <w:t xml:space="preserve">                                          </w:t>
      </w:r>
      <w:r w:rsidR="00F81711">
        <w:rPr>
          <w:rFonts w:ascii="Calibri" w:hAnsi="Calibri" w:cs="Calibri"/>
          <w:sz w:val="24"/>
          <w:szCs w:val="24"/>
        </w:rPr>
        <w:t xml:space="preserve">           </w:t>
      </w:r>
      <w:r>
        <w:rPr>
          <w:rFonts w:ascii="Calibri" w:hAnsi="Calibri" w:cs="Calibri"/>
          <w:sz w:val="24"/>
          <w:szCs w:val="24"/>
        </w:rPr>
        <w:t xml:space="preserve"> $232,910</w:t>
      </w:r>
      <w:r w:rsidR="009D32E3">
        <w:rPr>
          <w:rFonts w:ascii="Calibri" w:hAnsi="Calibri" w:cs="Calibri"/>
          <w:sz w:val="24"/>
          <w:szCs w:val="24"/>
        </w:rPr>
        <w:t xml:space="preserve">      </w:t>
      </w:r>
      <w:r w:rsidR="00F81711">
        <w:rPr>
          <w:rFonts w:ascii="Calibri" w:hAnsi="Calibri" w:cs="Calibri"/>
          <w:sz w:val="24"/>
          <w:szCs w:val="24"/>
        </w:rPr>
        <w:t xml:space="preserve">    </w:t>
      </w:r>
      <w:r w:rsidR="009D32E3">
        <w:rPr>
          <w:rFonts w:ascii="Calibri" w:hAnsi="Calibri" w:cs="Calibri"/>
          <w:sz w:val="24"/>
          <w:szCs w:val="24"/>
        </w:rPr>
        <w:t>$69,824</w:t>
      </w:r>
    </w:p>
    <w:p w14:paraId="3DEBF7D2" w14:textId="77777777" w:rsidR="003E1907" w:rsidRPr="008F484D" w:rsidRDefault="003E1907" w:rsidP="00717AA0">
      <w:pPr>
        <w:spacing w:after="120" w:line="257" w:lineRule="auto"/>
        <w:contextualSpacing/>
        <w:rPr>
          <w:rFonts w:ascii="Calibri" w:hAnsi="Calibri" w:cs="Calibri"/>
          <w:sz w:val="24"/>
          <w:szCs w:val="24"/>
        </w:rPr>
      </w:pPr>
      <w:r>
        <w:rPr>
          <w:rFonts w:ascii="Calibri" w:hAnsi="Calibri" w:cs="Calibri"/>
          <w:sz w:val="24"/>
          <w:szCs w:val="24"/>
        </w:rPr>
        <w:t xml:space="preserve">Note. 10% of the state vending income is dedicated to this year’s Professional Services if needed. The $232,910 would be allocated to go into the BEP Retirement Account. </w:t>
      </w:r>
    </w:p>
    <w:p w14:paraId="208EF7ED" w14:textId="77777777" w:rsidR="003E1907" w:rsidRDefault="003E1907" w:rsidP="00717AA0">
      <w:pPr>
        <w:spacing w:after="120" w:line="257" w:lineRule="auto"/>
        <w:contextualSpacing/>
        <w:rPr>
          <w:rFonts w:ascii="Calibri" w:hAnsi="Calibri" w:cs="Calibri"/>
          <w:sz w:val="24"/>
          <w:szCs w:val="24"/>
        </w:rPr>
      </w:pPr>
    </w:p>
    <w:p w14:paraId="27CA0143" w14:textId="77777777" w:rsidR="00AC0D24" w:rsidRPr="00AC0D24" w:rsidRDefault="00893853" w:rsidP="00717AA0">
      <w:pPr>
        <w:spacing w:after="120" w:line="257" w:lineRule="auto"/>
        <w:contextualSpacing/>
        <w:rPr>
          <w:rFonts w:ascii="Calibri" w:hAnsi="Calibri" w:cs="Calibri"/>
          <w:sz w:val="24"/>
          <w:szCs w:val="24"/>
        </w:rPr>
      </w:pPr>
      <w:r>
        <w:rPr>
          <w:rFonts w:ascii="Calibri" w:hAnsi="Calibri" w:cs="Calibri"/>
          <w:sz w:val="24"/>
          <w:szCs w:val="24"/>
        </w:rPr>
        <w:t xml:space="preserve">Note. The RSA 15 report does not include BEP financial data for Liability Insurance, Liability Insurance Reserve or Workers Compensation data.  </w:t>
      </w:r>
      <w:r w:rsidR="00CF736B">
        <w:rPr>
          <w:rFonts w:ascii="Calibri" w:hAnsi="Calibri" w:cs="Calibri"/>
          <w:sz w:val="24"/>
          <w:szCs w:val="24"/>
        </w:rPr>
        <w:t>We get this data from the State Trust Fund reports that comes from CA SLA and represents the state fiscal accounting years. Which makes it more difficult to evaluate the true status of the Ca</w:t>
      </w:r>
      <w:r w:rsidR="005478EB">
        <w:rPr>
          <w:rFonts w:ascii="Calibri" w:hAnsi="Calibri" w:cs="Calibri"/>
          <w:sz w:val="24"/>
          <w:szCs w:val="24"/>
        </w:rPr>
        <w:t xml:space="preserve">lifornia BEP Financial position because of the three month </w:t>
      </w:r>
      <w:r w:rsidR="00F87B76">
        <w:rPr>
          <w:rFonts w:ascii="Calibri" w:hAnsi="Calibri" w:cs="Calibri"/>
          <w:sz w:val="24"/>
          <w:szCs w:val="24"/>
        </w:rPr>
        <w:t>difference</w:t>
      </w:r>
      <w:r w:rsidR="005478EB">
        <w:rPr>
          <w:rFonts w:ascii="Calibri" w:hAnsi="Calibri" w:cs="Calibri"/>
          <w:sz w:val="24"/>
          <w:szCs w:val="24"/>
        </w:rPr>
        <w:t xml:space="preserve"> between the State Fiscal year and the Federal Fiscal year.</w:t>
      </w:r>
      <w:r w:rsidR="00F87B76">
        <w:rPr>
          <w:rFonts w:ascii="Calibri" w:hAnsi="Calibri" w:cs="Calibri"/>
          <w:sz w:val="24"/>
          <w:szCs w:val="24"/>
        </w:rPr>
        <w:t xml:space="preserve"> The true balance in reserve for the Set Aside fund could be different than what is shown here for RSA.  </w:t>
      </w:r>
      <w:r w:rsidR="005478EB">
        <w:rPr>
          <w:rFonts w:ascii="Calibri" w:hAnsi="Calibri" w:cs="Calibri"/>
          <w:sz w:val="24"/>
          <w:szCs w:val="24"/>
        </w:rPr>
        <w:t xml:space="preserve"> </w:t>
      </w:r>
      <w:r w:rsidR="00CF736B">
        <w:rPr>
          <w:rFonts w:ascii="Calibri" w:hAnsi="Calibri" w:cs="Calibri"/>
          <w:sz w:val="24"/>
          <w:szCs w:val="24"/>
        </w:rPr>
        <w:t xml:space="preserve">  </w:t>
      </w:r>
    </w:p>
    <w:p w14:paraId="0B9F29BB" w14:textId="77777777" w:rsidR="00AC0D24" w:rsidRDefault="00AC0D24" w:rsidP="00717AA0">
      <w:pPr>
        <w:spacing w:after="120" w:line="257" w:lineRule="auto"/>
        <w:contextualSpacing/>
        <w:rPr>
          <w:rFonts w:ascii="Calibri" w:hAnsi="Calibri" w:cs="Calibri"/>
          <w:sz w:val="24"/>
          <w:szCs w:val="24"/>
        </w:rPr>
      </w:pPr>
    </w:p>
    <w:p w14:paraId="74109BDC" w14:textId="77777777" w:rsidR="00AC0D24" w:rsidRDefault="00AC0D24" w:rsidP="00717AA0">
      <w:pPr>
        <w:spacing w:after="120" w:line="257" w:lineRule="auto"/>
        <w:contextualSpacing/>
        <w:rPr>
          <w:rFonts w:ascii="Calibri" w:hAnsi="Calibri" w:cs="Calibri"/>
          <w:sz w:val="24"/>
          <w:szCs w:val="24"/>
        </w:rPr>
      </w:pPr>
    </w:p>
    <w:p w14:paraId="3C383837" w14:textId="77777777" w:rsidR="00EB4B27" w:rsidRPr="00DB78F1" w:rsidRDefault="00EB4B27" w:rsidP="00717AA0">
      <w:pPr>
        <w:spacing w:after="120" w:line="257" w:lineRule="auto"/>
        <w:contextualSpacing/>
        <w:rPr>
          <w:rFonts w:ascii="Calibri" w:hAnsi="Calibri" w:cs="Calibri"/>
          <w:sz w:val="24"/>
          <w:szCs w:val="24"/>
        </w:rPr>
      </w:pPr>
    </w:p>
    <w:sectPr w:rsidR="00EB4B27" w:rsidRPr="00DB78F1" w:rsidSect="0001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185"/>
    <w:multiLevelType w:val="hybridMultilevel"/>
    <w:tmpl w:val="F2A2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6BB2"/>
    <w:multiLevelType w:val="hybridMultilevel"/>
    <w:tmpl w:val="718C9764"/>
    <w:lvl w:ilvl="0" w:tplc="9A68F6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539B"/>
    <w:multiLevelType w:val="hybridMultilevel"/>
    <w:tmpl w:val="6B80ABA8"/>
    <w:lvl w:ilvl="0" w:tplc="698467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10D1"/>
    <w:multiLevelType w:val="multilevel"/>
    <w:tmpl w:val="B5504F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9302EA7"/>
    <w:multiLevelType w:val="hybridMultilevel"/>
    <w:tmpl w:val="F3386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4F0072"/>
    <w:multiLevelType w:val="hybridMultilevel"/>
    <w:tmpl w:val="7C5E96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5854669"/>
    <w:multiLevelType w:val="hybridMultilevel"/>
    <w:tmpl w:val="2038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027958">
    <w:abstractNumId w:val="2"/>
  </w:num>
  <w:num w:numId="2" w16cid:durableId="1794323712">
    <w:abstractNumId w:val="3"/>
  </w:num>
  <w:num w:numId="3" w16cid:durableId="815071309">
    <w:abstractNumId w:val="0"/>
  </w:num>
  <w:num w:numId="4" w16cid:durableId="1879462656">
    <w:abstractNumId w:val="6"/>
  </w:num>
  <w:num w:numId="5" w16cid:durableId="387192517">
    <w:abstractNumId w:val="1"/>
  </w:num>
  <w:num w:numId="6" w16cid:durableId="173687263">
    <w:abstractNumId w:val="5"/>
  </w:num>
  <w:num w:numId="7" w16cid:durableId="2756490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22"/>
    <w:rsid w:val="00016C96"/>
    <w:rsid w:val="00044A26"/>
    <w:rsid w:val="00050F0E"/>
    <w:rsid w:val="00063510"/>
    <w:rsid w:val="000731F4"/>
    <w:rsid w:val="000A16BA"/>
    <w:rsid w:val="000B3B5B"/>
    <w:rsid w:val="000D5DC2"/>
    <w:rsid w:val="000D7C22"/>
    <w:rsid w:val="000E6C2A"/>
    <w:rsid w:val="000F41DC"/>
    <w:rsid w:val="00102BA9"/>
    <w:rsid w:val="00143BD7"/>
    <w:rsid w:val="00162EB0"/>
    <w:rsid w:val="00165776"/>
    <w:rsid w:val="001712B5"/>
    <w:rsid w:val="001A2D7A"/>
    <w:rsid w:val="001A3DA4"/>
    <w:rsid w:val="001F5B56"/>
    <w:rsid w:val="001F7DEC"/>
    <w:rsid w:val="00201B89"/>
    <w:rsid w:val="00211971"/>
    <w:rsid w:val="00213F13"/>
    <w:rsid w:val="002156A9"/>
    <w:rsid w:val="002472A9"/>
    <w:rsid w:val="00254326"/>
    <w:rsid w:val="002851B7"/>
    <w:rsid w:val="00287947"/>
    <w:rsid w:val="002907D0"/>
    <w:rsid w:val="00363665"/>
    <w:rsid w:val="00393CA3"/>
    <w:rsid w:val="003B5D2A"/>
    <w:rsid w:val="003C0E77"/>
    <w:rsid w:val="003E1907"/>
    <w:rsid w:val="00412DD8"/>
    <w:rsid w:val="00414BDC"/>
    <w:rsid w:val="0042517D"/>
    <w:rsid w:val="00447B1D"/>
    <w:rsid w:val="00461857"/>
    <w:rsid w:val="00467839"/>
    <w:rsid w:val="004774DC"/>
    <w:rsid w:val="00497282"/>
    <w:rsid w:val="004A2382"/>
    <w:rsid w:val="004C3BE1"/>
    <w:rsid w:val="004E0BAD"/>
    <w:rsid w:val="005026C2"/>
    <w:rsid w:val="0053668A"/>
    <w:rsid w:val="00541611"/>
    <w:rsid w:val="005478EB"/>
    <w:rsid w:val="00550B8B"/>
    <w:rsid w:val="00560B30"/>
    <w:rsid w:val="00586079"/>
    <w:rsid w:val="005E6F8F"/>
    <w:rsid w:val="00604462"/>
    <w:rsid w:val="006107A5"/>
    <w:rsid w:val="006112A4"/>
    <w:rsid w:val="00611BA4"/>
    <w:rsid w:val="00616154"/>
    <w:rsid w:val="0063165C"/>
    <w:rsid w:val="00632B19"/>
    <w:rsid w:val="00652D06"/>
    <w:rsid w:val="006A0CCF"/>
    <w:rsid w:val="006D171A"/>
    <w:rsid w:val="007153F1"/>
    <w:rsid w:val="00717AA0"/>
    <w:rsid w:val="00720543"/>
    <w:rsid w:val="00731AC4"/>
    <w:rsid w:val="00761BA6"/>
    <w:rsid w:val="007A08E3"/>
    <w:rsid w:val="007D104F"/>
    <w:rsid w:val="007D3BF2"/>
    <w:rsid w:val="007E2A08"/>
    <w:rsid w:val="007F5315"/>
    <w:rsid w:val="007F68D2"/>
    <w:rsid w:val="008502DA"/>
    <w:rsid w:val="00870D40"/>
    <w:rsid w:val="00875F10"/>
    <w:rsid w:val="00876CD8"/>
    <w:rsid w:val="00893853"/>
    <w:rsid w:val="008B0D30"/>
    <w:rsid w:val="008B5248"/>
    <w:rsid w:val="008B6A5C"/>
    <w:rsid w:val="008C2C26"/>
    <w:rsid w:val="008E4039"/>
    <w:rsid w:val="008F484D"/>
    <w:rsid w:val="00900523"/>
    <w:rsid w:val="00905BDB"/>
    <w:rsid w:val="00916409"/>
    <w:rsid w:val="00942D4F"/>
    <w:rsid w:val="009620B8"/>
    <w:rsid w:val="00984F78"/>
    <w:rsid w:val="009856D8"/>
    <w:rsid w:val="00987B42"/>
    <w:rsid w:val="009A7D93"/>
    <w:rsid w:val="009D2E26"/>
    <w:rsid w:val="009D32E3"/>
    <w:rsid w:val="009F3A11"/>
    <w:rsid w:val="00A02EC1"/>
    <w:rsid w:val="00A04391"/>
    <w:rsid w:val="00A078C1"/>
    <w:rsid w:val="00A14142"/>
    <w:rsid w:val="00A21219"/>
    <w:rsid w:val="00A23886"/>
    <w:rsid w:val="00A26B0A"/>
    <w:rsid w:val="00A438CA"/>
    <w:rsid w:val="00A5411D"/>
    <w:rsid w:val="00A543DD"/>
    <w:rsid w:val="00A703E6"/>
    <w:rsid w:val="00A808DC"/>
    <w:rsid w:val="00A86E27"/>
    <w:rsid w:val="00A93950"/>
    <w:rsid w:val="00A96E0E"/>
    <w:rsid w:val="00AA1186"/>
    <w:rsid w:val="00AB6C7B"/>
    <w:rsid w:val="00AC0D24"/>
    <w:rsid w:val="00B05029"/>
    <w:rsid w:val="00B43AB5"/>
    <w:rsid w:val="00B45022"/>
    <w:rsid w:val="00B45BCB"/>
    <w:rsid w:val="00B816FC"/>
    <w:rsid w:val="00B855DE"/>
    <w:rsid w:val="00BC54E4"/>
    <w:rsid w:val="00BD215B"/>
    <w:rsid w:val="00C20E69"/>
    <w:rsid w:val="00C76E8E"/>
    <w:rsid w:val="00C91ECE"/>
    <w:rsid w:val="00CC56FA"/>
    <w:rsid w:val="00CC7FFB"/>
    <w:rsid w:val="00CD2A33"/>
    <w:rsid w:val="00CE1123"/>
    <w:rsid w:val="00CF4EB4"/>
    <w:rsid w:val="00CF736B"/>
    <w:rsid w:val="00D1629E"/>
    <w:rsid w:val="00D21FB5"/>
    <w:rsid w:val="00D543BA"/>
    <w:rsid w:val="00D653F2"/>
    <w:rsid w:val="00D73CC6"/>
    <w:rsid w:val="00D93764"/>
    <w:rsid w:val="00DA0117"/>
    <w:rsid w:val="00DB78F1"/>
    <w:rsid w:val="00DF6743"/>
    <w:rsid w:val="00E22108"/>
    <w:rsid w:val="00E26CB3"/>
    <w:rsid w:val="00E26D8C"/>
    <w:rsid w:val="00E37C94"/>
    <w:rsid w:val="00E664C3"/>
    <w:rsid w:val="00E71D24"/>
    <w:rsid w:val="00E7525E"/>
    <w:rsid w:val="00E810A8"/>
    <w:rsid w:val="00E827B1"/>
    <w:rsid w:val="00EA07B2"/>
    <w:rsid w:val="00EA469F"/>
    <w:rsid w:val="00EB4B27"/>
    <w:rsid w:val="00ED4424"/>
    <w:rsid w:val="00ED5A4B"/>
    <w:rsid w:val="00EE5B0F"/>
    <w:rsid w:val="00F02A42"/>
    <w:rsid w:val="00F53C12"/>
    <w:rsid w:val="00F64E79"/>
    <w:rsid w:val="00F81711"/>
    <w:rsid w:val="00F819AB"/>
    <w:rsid w:val="00F87B76"/>
    <w:rsid w:val="00F927FD"/>
    <w:rsid w:val="00F9332C"/>
    <w:rsid w:val="00F96D8E"/>
    <w:rsid w:val="00FB0087"/>
    <w:rsid w:val="00FB4E62"/>
    <w:rsid w:val="00FD0B10"/>
    <w:rsid w:val="00FE11F2"/>
    <w:rsid w:val="00FF02E7"/>
    <w:rsid w:val="00FF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B4C2"/>
  <w15:chartTrackingRefBased/>
  <w15:docId w15:val="{605BC333-23AE-4681-8115-1D02D69C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F13"/>
    <w:pPr>
      <w:spacing w:line="259" w:lineRule="auto"/>
      <w:ind w:left="720"/>
      <w:contextualSpacing/>
    </w:pPr>
  </w:style>
  <w:style w:type="character" w:styleId="Hyperlink">
    <w:name w:val="Hyperlink"/>
    <w:basedOn w:val="DefaultParagraphFont"/>
    <w:uiPriority w:val="99"/>
    <w:unhideWhenUsed/>
    <w:rsid w:val="003C0E77"/>
    <w:rPr>
      <w:color w:val="0563C1" w:themeColor="hyperlink"/>
      <w:u w:val="single"/>
    </w:rPr>
  </w:style>
  <w:style w:type="paragraph" w:styleId="BalloonText">
    <w:name w:val="Balloon Text"/>
    <w:basedOn w:val="Normal"/>
    <w:link w:val="BalloonTextChar"/>
    <w:uiPriority w:val="99"/>
    <w:semiHidden/>
    <w:unhideWhenUsed/>
    <w:rsid w:val="00550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84720">
      <w:bodyDiv w:val="1"/>
      <w:marLeft w:val="0"/>
      <w:marRight w:val="0"/>
      <w:marTop w:val="0"/>
      <w:marBottom w:val="0"/>
      <w:divBdr>
        <w:top w:val="none" w:sz="0" w:space="0" w:color="auto"/>
        <w:left w:val="none" w:sz="0" w:space="0" w:color="auto"/>
        <w:bottom w:val="none" w:sz="0" w:space="0" w:color="auto"/>
        <w:right w:val="none" w:sz="0" w:space="0" w:color="auto"/>
      </w:divBdr>
    </w:div>
    <w:div w:id="837185507">
      <w:bodyDiv w:val="1"/>
      <w:marLeft w:val="0"/>
      <w:marRight w:val="0"/>
      <w:marTop w:val="0"/>
      <w:marBottom w:val="0"/>
      <w:divBdr>
        <w:top w:val="none" w:sz="0" w:space="0" w:color="auto"/>
        <w:left w:val="none" w:sz="0" w:space="0" w:color="auto"/>
        <w:bottom w:val="none" w:sz="0" w:space="0" w:color="auto"/>
        <w:right w:val="none" w:sz="0" w:space="0" w:color="auto"/>
      </w:divBdr>
    </w:div>
    <w:div w:id="986057839">
      <w:bodyDiv w:val="1"/>
      <w:marLeft w:val="0"/>
      <w:marRight w:val="0"/>
      <w:marTop w:val="0"/>
      <w:marBottom w:val="0"/>
      <w:divBdr>
        <w:top w:val="none" w:sz="0" w:space="0" w:color="auto"/>
        <w:left w:val="none" w:sz="0" w:space="0" w:color="auto"/>
        <w:bottom w:val="none" w:sz="0" w:space="0" w:color="auto"/>
        <w:right w:val="none" w:sz="0" w:space="0" w:color="auto"/>
      </w:divBdr>
    </w:div>
    <w:div w:id="1432580256">
      <w:bodyDiv w:val="1"/>
      <w:marLeft w:val="0"/>
      <w:marRight w:val="0"/>
      <w:marTop w:val="0"/>
      <w:marBottom w:val="0"/>
      <w:divBdr>
        <w:top w:val="none" w:sz="0" w:space="0" w:color="auto"/>
        <w:left w:val="none" w:sz="0" w:space="0" w:color="auto"/>
        <w:bottom w:val="none" w:sz="0" w:space="0" w:color="auto"/>
        <w:right w:val="none" w:sz="0" w:space="0" w:color="auto"/>
      </w:divBdr>
    </w:div>
    <w:div w:id="1600527534">
      <w:bodyDiv w:val="1"/>
      <w:marLeft w:val="0"/>
      <w:marRight w:val="0"/>
      <w:marTop w:val="0"/>
      <w:marBottom w:val="0"/>
      <w:divBdr>
        <w:top w:val="none" w:sz="0" w:space="0" w:color="auto"/>
        <w:left w:val="none" w:sz="0" w:space="0" w:color="auto"/>
        <w:bottom w:val="none" w:sz="0" w:space="0" w:color="auto"/>
        <w:right w:val="none" w:sz="0" w:space="0" w:color="auto"/>
      </w:divBdr>
      <w:divsChild>
        <w:div w:id="168645312">
          <w:marLeft w:val="0"/>
          <w:marRight w:val="0"/>
          <w:marTop w:val="0"/>
          <w:marBottom w:val="0"/>
          <w:divBdr>
            <w:top w:val="none" w:sz="0" w:space="0" w:color="auto"/>
            <w:left w:val="none" w:sz="0" w:space="0" w:color="auto"/>
            <w:bottom w:val="none" w:sz="0" w:space="0" w:color="auto"/>
            <w:right w:val="none" w:sz="0" w:space="0" w:color="auto"/>
          </w:divBdr>
          <w:divsChild>
            <w:div w:id="1854605306">
              <w:marLeft w:val="0"/>
              <w:marRight w:val="0"/>
              <w:marTop w:val="0"/>
              <w:marBottom w:val="0"/>
              <w:divBdr>
                <w:top w:val="none" w:sz="0" w:space="0" w:color="auto"/>
                <w:left w:val="none" w:sz="0" w:space="0" w:color="auto"/>
                <w:bottom w:val="none" w:sz="0" w:space="0" w:color="auto"/>
                <w:right w:val="none" w:sz="0" w:space="0" w:color="auto"/>
              </w:divBdr>
            </w:div>
          </w:divsChild>
        </w:div>
        <w:div w:id="965618503">
          <w:marLeft w:val="0"/>
          <w:marRight w:val="0"/>
          <w:marTop w:val="0"/>
          <w:marBottom w:val="0"/>
          <w:divBdr>
            <w:top w:val="none" w:sz="0" w:space="0" w:color="auto"/>
            <w:left w:val="none" w:sz="0" w:space="0" w:color="auto"/>
            <w:bottom w:val="none" w:sz="0" w:space="0" w:color="auto"/>
            <w:right w:val="none" w:sz="0" w:space="0" w:color="auto"/>
          </w:divBdr>
        </w:div>
        <w:div w:id="1296645200">
          <w:marLeft w:val="0"/>
          <w:marRight w:val="0"/>
          <w:marTop w:val="0"/>
          <w:marBottom w:val="0"/>
          <w:divBdr>
            <w:top w:val="none" w:sz="0" w:space="0" w:color="auto"/>
            <w:left w:val="none" w:sz="0" w:space="0" w:color="auto"/>
            <w:bottom w:val="none" w:sz="0" w:space="0" w:color="auto"/>
            <w:right w:val="none" w:sz="0" w:space="0" w:color="auto"/>
          </w:divBdr>
          <w:divsChild>
            <w:div w:id="1816994253">
              <w:marLeft w:val="0"/>
              <w:marRight w:val="0"/>
              <w:marTop w:val="0"/>
              <w:marBottom w:val="0"/>
              <w:divBdr>
                <w:top w:val="none" w:sz="0" w:space="0" w:color="auto"/>
                <w:left w:val="none" w:sz="0" w:space="0" w:color="auto"/>
                <w:bottom w:val="none" w:sz="0" w:space="0" w:color="auto"/>
                <w:right w:val="none" w:sz="0" w:space="0" w:color="auto"/>
              </w:divBdr>
              <w:divsChild>
                <w:div w:id="1429034893">
                  <w:marLeft w:val="0"/>
                  <w:marRight w:val="0"/>
                  <w:marTop w:val="0"/>
                  <w:marBottom w:val="0"/>
                  <w:divBdr>
                    <w:top w:val="none" w:sz="0" w:space="0" w:color="auto"/>
                    <w:left w:val="none" w:sz="0" w:space="0" w:color="auto"/>
                    <w:bottom w:val="none" w:sz="0" w:space="0" w:color="auto"/>
                    <w:right w:val="none" w:sz="0" w:space="0" w:color="auto"/>
                  </w:divBdr>
                  <w:divsChild>
                    <w:div w:id="1114522921">
                      <w:marLeft w:val="0"/>
                      <w:marRight w:val="0"/>
                      <w:marTop w:val="0"/>
                      <w:marBottom w:val="0"/>
                      <w:divBdr>
                        <w:top w:val="none" w:sz="0" w:space="0" w:color="auto"/>
                        <w:left w:val="none" w:sz="0" w:space="0" w:color="auto"/>
                        <w:bottom w:val="none" w:sz="0" w:space="0" w:color="auto"/>
                        <w:right w:val="none" w:sz="0" w:space="0" w:color="auto"/>
                      </w:divBdr>
                      <w:divsChild>
                        <w:div w:id="15067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16506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mlsho</dc:creator>
  <cp:keywords/>
  <dc:description/>
  <cp:lastModifiedBy>Wilbon, Jennifer@DOR</cp:lastModifiedBy>
  <cp:revision>2</cp:revision>
  <cp:lastPrinted>2022-11-28T21:55:00Z</cp:lastPrinted>
  <dcterms:created xsi:type="dcterms:W3CDTF">2023-04-18T16:30:00Z</dcterms:created>
  <dcterms:modified xsi:type="dcterms:W3CDTF">2023-04-18T16:30:00Z</dcterms:modified>
</cp:coreProperties>
</file>