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B4C3" w14:textId="77777777" w:rsidR="00B10AE3" w:rsidRDefault="00B10AE3" w:rsidP="008F7380">
      <w:pPr>
        <w:spacing w:after="120" w:line="257" w:lineRule="auto"/>
        <w:contextualSpacing/>
        <w:rPr>
          <w:rFonts w:ascii="Calibri" w:hAnsi="Calibri" w:cs="Calibri"/>
          <w:b/>
          <w:sz w:val="24"/>
          <w:szCs w:val="24"/>
        </w:rPr>
      </w:pPr>
      <w:r>
        <w:rPr>
          <w:rFonts w:ascii="Calibri" w:hAnsi="Calibri" w:cs="Calibri"/>
          <w:b/>
          <w:sz w:val="24"/>
          <w:szCs w:val="24"/>
        </w:rPr>
        <w:t>Location and Vendors MORs</w:t>
      </w:r>
    </w:p>
    <w:p w14:paraId="5763491F" w14:textId="77777777" w:rsidR="006A21A6" w:rsidRDefault="00B10AE3" w:rsidP="008F7380">
      <w:pPr>
        <w:spacing w:after="120" w:line="257" w:lineRule="auto"/>
        <w:contextualSpacing/>
        <w:rPr>
          <w:rFonts w:ascii="Calibri" w:hAnsi="Calibri" w:cs="Calibri"/>
          <w:b/>
          <w:sz w:val="24"/>
          <w:szCs w:val="24"/>
        </w:rPr>
      </w:pPr>
      <w:r>
        <w:rPr>
          <w:rFonts w:ascii="Calibri" w:hAnsi="Calibri" w:cs="Calibri"/>
          <w:b/>
          <w:sz w:val="24"/>
          <w:szCs w:val="24"/>
        </w:rPr>
        <w:t xml:space="preserve">December 2022 </w:t>
      </w:r>
    </w:p>
    <w:p w14:paraId="16F91184" w14:textId="77777777" w:rsidR="00B10AE3" w:rsidRPr="00B10AE3" w:rsidRDefault="00B10AE3" w:rsidP="008F7380">
      <w:pPr>
        <w:spacing w:after="120" w:line="257" w:lineRule="auto"/>
        <w:contextualSpacing/>
        <w:rPr>
          <w:rFonts w:ascii="Calibri" w:hAnsi="Calibri" w:cs="Calibri"/>
          <w:b/>
          <w:sz w:val="24"/>
          <w:szCs w:val="24"/>
        </w:rPr>
      </w:pPr>
    </w:p>
    <w:p w14:paraId="6C21B3F7" w14:textId="77777777" w:rsidR="008F7380" w:rsidRDefault="008F7380" w:rsidP="008F7380">
      <w:pPr>
        <w:spacing w:after="120" w:line="257" w:lineRule="auto"/>
        <w:contextualSpacing/>
        <w:rPr>
          <w:rFonts w:ascii="Calibri" w:hAnsi="Calibri" w:cs="Calibri"/>
          <w:b/>
          <w:sz w:val="24"/>
          <w:szCs w:val="24"/>
          <w:u w:val="single"/>
        </w:rPr>
      </w:pPr>
      <w:r>
        <w:rPr>
          <w:rFonts w:ascii="Calibri" w:hAnsi="Calibri" w:cs="Calibri"/>
          <w:b/>
          <w:sz w:val="24"/>
          <w:szCs w:val="24"/>
          <w:u w:val="single"/>
        </w:rPr>
        <w:t xml:space="preserve">Locations </w:t>
      </w:r>
    </w:p>
    <w:p w14:paraId="640201B7"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There are currently 79 Locations. Some facilities are Primary and Interims. </w:t>
      </w:r>
    </w:p>
    <w:p w14:paraId="3C08B467" w14:textId="77777777" w:rsidR="008F7380" w:rsidRPr="00A70A74" w:rsidRDefault="008F7380" w:rsidP="008F7380">
      <w:pPr>
        <w:spacing w:after="120" w:line="257" w:lineRule="auto"/>
        <w:contextualSpacing/>
        <w:rPr>
          <w:rFonts w:ascii="Calibri" w:hAnsi="Calibri" w:cs="Calibri"/>
          <w:b/>
          <w:sz w:val="24"/>
          <w:szCs w:val="24"/>
          <w:u w:val="single"/>
        </w:rPr>
      </w:pPr>
      <w:proofErr w:type="spellStart"/>
      <w:proofErr w:type="gramStart"/>
      <w:r>
        <w:rPr>
          <w:rFonts w:ascii="Calibri" w:hAnsi="Calibri" w:cs="Calibri"/>
          <w:sz w:val="24"/>
          <w:szCs w:val="24"/>
        </w:rPr>
        <w:t>Caf</w:t>
      </w:r>
      <w:proofErr w:type="spellEnd"/>
      <w:r>
        <w:rPr>
          <w:rFonts w:ascii="Calibri" w:hAnsi="Calibri" w:cs="Calibri"/>
          <w:sz w:val="24"/>
          <w:szCs w:val="24"/>
        </w:rPr>
        <w:t xml:space="preserve">  =</w:t>
      </w:r>
      <w:proofErr w:type="gramEnd"/>
      <w:r>
        <w:rPr>
          <w:rFonts w:ascii="Calibri" w:hAnsi="Calibri" w:cs="Calibri"/>
          <w:sz w:val="24"/>
          <w:szCs w:val="24"/>
        </w:rPr>
        <w:t xml:space="preserve">  12      </w:t>
      </w:r>
    </w:p>
    <w:p w14:paraId="34FDB4FA"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DVS </w:t>
      </w:r>
      <w:proofErr w:type="gramStart"/>
      <w:r>
        <w:rPr>
          <w:rFonts w:ascii="Calibri" w:hAnsi="Calibri" w:cs="Calibri"/>
          <w:sz w:val="24"/>
          <w:szCs w:val="24"/>
        </w:rPr>
        <w:t>=  2</w:t>
      </w:r>
      <w:proofErr w:type="gramEnd"/>
    </w:p>
    <w:p w14:paraId="0414A155"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SB    </w:t>
      </w:r>
      <w:proofErr w:type="gramStart"/>
      <w:r>
        <w:rPr>
          <w:rFonts w:ascii="Calibri" w:hAnsi="Calibri" w:cs="Calibri"/>
          <w:sz w:val="24"/>
          <w:szCs w:val="24"/>
        </w:rPr>
        <w:t>=  4</w:t>
      </w:r>
      <w:proofErr w:type="gramEnd"/>
    </w:p>
    <w:p w14:paraId="267DEA6F" w14:textId="77777777" w:rsidR="008F7380" w:rsidRDefault="008F7380" w:rsidP="008F7380">
      <w:pPr>
        <w:spacing w:after="120" w:line="257" w:lineRule="auto"/>
        <w:contextualSpacing/>
        <w:rPr>
          <w:rFonts w:ascii="Calibri" w:hAnsi="Calibri" w:cs="Calibri"/>
          <w:sz w:val="24"/>
          <w:szCs w:val="24"/>
        </w:rPr>
      </w:pPr>
      <w:proofErr w:type="gramStart"/>
      <w:r>
        <w:rPr>
          <w:rFonts w:ascii="Calibri" w:hAnsi="Calibri" w:cs="Calibri"/>
          <w:sz w:val="24"/>
          <w:szCs w:val="24"/>
        </w:rPr>
        <w:t>VM  =</w:t>
      </w:r>
      <w:proofErr w:type="gramEnd"/>
      <w:r>
        <w:rPr>
          <w:rFonts w:ascii="Calibri" w:hAnsi="Calibri" w:cs="Calibri"/>
          <w:sz w:val="24"/>
          <w:szCs w:val="24"/>
        </w:rPr>
        <w:t xml:space="preserve">  39</w:t>
      </w:r>
    </w:p>
    <w:p w14:paraId="479772C6"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WVS </w:t>
      </w:r>
      <w:proofErr w:type="gramStart"/>
      <w:r>
        <w:rPr>
          <w:rFonts w:ascii="Calibri" w:hAnsi="Calibri" w:cs="Calibri"/>
          <w:sz w:val="24"/>
          <w:szCs w:val="24"/>
        </w:rPr>
        <w:t>=  16</w:t>
      </w:r>
      <w:proofErr w:type="gramEnd"/>
    </w:p>
    <w:p w14:paraId="181AF697"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DOD </w:t>
      </w:r>
      <w:proofErr w:type="gramStart"/>
      <w:r>
        <w:rPr>
          <w:rFonts w:ascii="Calibri" w:hAnsi="Calibri" w:cs="Calibri"/>
          <w:sz w:val="24"/>
          <w:szCs w:val="24"/>
        </w:rPr>
        <w:t>=  6</w:t>
      </w:r>
      <w:proofErr w:type="gramEnd"/>
      <w:r>
        <w:rPr>
          <w:rFonts w:ascii="Calibri" w:hAnsi="Calibri" w:cs="Calibri"/>
          <w:sz w:val="24"/>
          <w:szCs w:val="24"/>
        </w:rPr>
        <w:t xml:space="preserve"> </w:t>
      </w:r>
    </w:p>
    <w:p w14:paraId="5D72BE78"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T       </w:t>
      </w:r>
      <w:proofErr w:type="gramStart"/>
      <w:r>
        <w:rPr>
          <w:rFonts w:ascii="Calibri" w:hAnsi="Calibri" w:cs="Calibri"/>
          <w:sz w:val="24"/>
          <w:szCs w:val="24"/>
        </w:rPr>
        <w:t>=  79</w:t>
      </w:r>
      <w:proofErr w:type="gramEnd"/>
    </w:p>
    <w:p w14:paraId="1601E39A" w14:textId="77777777" w:rsidR="008F7380" w:rsidRDefault="008F7380" w:rsidP="008F7380">
      <w:pPr>
        <w:spacing w:after="120" w:line="257" w:lineRule="auto"/>
        <w:contextualSpacing/>
        <w:rPr>
          <w:rFonts w:ascii="Calibri" w:hAnsi="Calibri" w:cs="Calibri"/>
          <w:sz w:val="24"/>
          <w:szCs w:val="24"/>
        </w:rPr>
      </w:pPr>
    </w:p>
    <w:p w14:paraId="618554E6"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The average net income for the vendors has increase quite a bit. Last year at this time three of the six categories had a negative average net income and this year they are all better. The facilities that generate under $4,558 is 55. Last year 63 facilities were in this category. The facilities generating under $2,246 this year is 41. Last year was 54. This is a good trend. It is showing most of the facilities bottom line is improving. </w:t>
      </w:r>
    </w:p>
    <w:p w14:paraId="5316E01C" w14:textId="77777777" w:rsidR="008F7380" w:rsidRDefault="008F7380" w:rsidP="008F7380">
      <w:pPr>
        <w:spacing w:after="120" w:line="257" w:lineRule="auto"/>
        <w:contextualSpacing/>
        <w:rPr>
          <w:rFonts w:ascii="Calibri" w:hAnsi="Calibri" w:cs="Calibri"/>
          <w:sz w:val="24"/>
          <w:szCs w:val="24"/>
        </w:rPr>
      </w:pPr>
    </w:p>
    <w:p w14:paraId="2FA062DF" w14:textId="77777777" w:rsidR="008F7380" w:rsidRPr="00A70A74" w:rsidRDefault="008F7380" w:rsidP="008F7380">
      <w:pPr>
        <w:spacing w:after="120" w:line="257" w:lineRule="auto"/>
        <w:contextualSpacing/>
        <w:rPr>
          <w:rFonts w:ascii="Calibri" w:hAnsi="Calibri" w:cs="Calibri"/>
          <w:b/>
          <w:sz w:val="24"/>
          <w:szCs w:val="24"/>
          <w:u w:val="single"/>
        </w:rPr>
      </w:pPr>
      <w:r>
        <w:rPr>
          <w:rFonts w:ascii="Calibri" w:hAnsi="Calibri" w:cs="Calibri"/>
          <w:b/>
          <w:sz w:val="24"/>
          <w:szCs w:val="24"/>
          <w:u w:val="single"/>
        </w:rPr>
        <w:t>Vendors MOR’s</w:t>
      </w:r>
    </w:p>
    <w:p w14:paraId="36FDD08A"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The BEP has gone from 29 vendors with at least one outstanding MOR to 18 vendors. This is promising except last year the total funds owed increased from $56,695 to $58,110. Of the 29 vendors last year 16 had at least 3 months outstanding MOR’s, seven of those were more than 9 months and 1 had 21 missing MOR’s. As of December 2022 the vendors that owe more than 3 months has gone down to 7 and 4 vendors have over 9 months outstanding MOR’s. Now 1 vendor is 19 months late and 1 is over 20 months. </w:t>
      </w:r>
    </w:p>
    <w:p w14:paraId="42361B92"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It appears the number of vendors that owe MOR’s has decreased dramatically but the dollars owed to BEP has increased. </w:t>
      </w:r>
    </w:p>
    <w:p w14:paraId="30CC76EC" w14:textId="77777777" w:rsidR="008F7380" w:rsidRDefault="008F7380" w:rsidP="008F7380">
      <w:pPr>
        <w:spacing w:after="120" w:line="257" w:lineRule="auto"/>
        <w:contextualSpacing/>
        <w:rPr>
          <w:rFonts w:ascii="Calibri" w:hAnsi="Calibri" w:cs="Calibri"/>
          <w:sz w:val="24"/>
          <w:szCs w:val="24"/>
        </w:rPr>
      </w:pPr>
    </w:p>
    <w:p w14:paraId="2EFB0F22" w14:textId="77777777" w:rsidR="008F7380" w:rsidRDefault="008F7380" w:rsidP="008F7380">
      <w:pPr>
        <w:spacing w:after="120" w:line="257" w:lineRule="auto"/>
        <w:contextualSpacing/>
        <w:rPr>
          <w:rFonts w:ascii="Calibri" w:hAnsi="Calibri" w:cs="Calibri"/>
          <w:sz w:val="24"/>
          <w:szCs w:val="24"/>
        </w:rPr>
      </w:pPr>
      <w:r w:rsidRPr="008C7776">
        <w:rPr>
          <w:rFonts w:ascii="Calibri" w:hAnsi="Calibri" w:cs="Calibri"/>
          <w:b/>
          <w:sz w:val="24"/>
          <w:szCs w:val="24"/>
          <w:u w:val="single"/>
        </w:rPr>
        <w:t xml:space="preserve">Conclusion  </w:t>
      </w:r>
    </w:p>
    <w:p w14:paraId="70804532"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 xml:space="preserve">Over all it appears BEP is making a good comeback. If the set aside fees just doubles where </w:t>
      </w:r>
      <w:proofErr w:type="spellStart"/>
      <w:r>
        <w:rPr>
          <w:rFonts w:ascii="Calibri" w:hAnsi="Calibri" w:cs="Calibri"/>
          <w:sz w:val="24"/>
          <w:szCs w:val="24"/>
        </w:rPr>
        <w:t>is</w:t>
      </w:r>
      <w:proofErr w:type="spellEnd"/>
      <w:r>
        <w:rPr>
          <w:rFonts w:ascii="Calibri" w:hAnsi="Calibri" w:cs="Calibri"/>
          <w:sz w:val="24"/>
          <w:szCs w:val="24"/>
        </w:rPr>
        <w:t xml:space="preserve"> </w:t>
      </w:r>
      <w:proofErr w:type="spellStart"/>
      <w:r>
        <w:rPr>
          <w:rFonts w:ascii="Calibri" w:hAnsi="Calibri" w:cs="Calibri"/>
          <w:sz w:val="24"/>
          <w:szCs w:val="24"/>
        </w:rPr>
        <w:t>is</w:t>
      </w:r>
      <w:proofErr w:type="spellEnd"/>
      <w:r>
        <w:rPr>
          <w:rFonts w:ascii="Calibri" w:hAnsi="Calibri" w:cs="Calibri"/>
          <w:sz w:val="24"/>
          <w:szCs w:val="24"/>
        </w:rPr>
        <w:t xml:space="preserve"> today, there could still be a $200,000 short fall. This is </w:t>
      </w:r>
      <w:r w:rsidRPr="0061390E">
        <w:rPr>
          <w:rFonts w:ascii="Calibri" w:hAnsi="Calibri" w:cs="Calibri"/>
          <w:sz w:val="24"/>
          <w:szCs w:val="24"/>
          <w:u w:val="single"/>
        </w:rPr>
        <w:t>not</w:t>
      </w:r>
      <w:r>
        <w:rPr>
          <w:rFonts w:ascii="Calibri" w:hAnsi="Calibri" w:cs="Calibri"/>
          <w:sz w:val="24"/>
          <w:szCs w:val="24"/>
        </w:rPr>
        <w:t xml:space="preserve"> bad.</w:t>
      </w:r>
    </w:p>
    <w:p w14:paraId="03EB71B3" w14:textId="77777777" w:rsidR="008F7380" w:rsidRDefault="008F7380" w:rsidP="008F7380">
      <w:pPr>
        <w:spacing w:after="120" w:line="257" w:lineRule="auto"/>
        <w:contextualSpacing/>
        <w:rPr>
          <w:rFonts w:ascii="Calibri" w:hAnsi="Calibri" w:cs="Calibri"/>
          <w:sz w:val="24"/>
          <w:szCs w:val="24"/>
        </w:rPr>
      </w:pPr>
      <w:r>
        <w:rPr>
          <w:rFonts w:ascii="Calibri" w:hAnsi="Calibri" w:cs="Calibri"/>
          <w:sz w:val="24"/>
          <w:szCs w:val="24"/>
        </w:rPr>
        <w:t>It will depend on equipment purchases. The program still needs to purchase and maintain equipment fo</w:t>
      </w:r>
      <w:r w:rsidR="006A21A6">
        <w:rPr>
          <w:rFonts w:ascii="Calibri" w:hAnsi="Calibri" w:cs="Calibri"/>
          <w:sz w:val="24"/>
          <w:szCs w:val="24"/>
        </w:rPr>
        <w:t xml:space="preserve">r the vendor’s success. </w:t>
      </w:r>
      <w:proofErr w:type="gramStart"/>
      <w:r w:rsidR="006A21A6">
        <w:rPr>
          <w:rFonts w:ascii="Calibri" w:hAnsi="Calibri" w:cs="Calibri"/>
          <w:sz w:val="24"/>
          <w:szCs w:val="24"/>
        </w:rPr>
        <w:t xml:space="preserve">According </w:t>
      </w:r>
      <w:r>
        <w:rPr>
          <w:rFonts w:ascii="Calibri" w:hAnsi="Calibri" w:cs="Calibri"/>
          <w:sz w:val="24"/>
          <w:szCs w:val="24"/>
        </w:rPr>
        <w:t xml:space="preserve"> </w:t>
      </w:r>
      <w:r w:rsidR="006A21A6">
        <w:rPr>
          <w:rFonts w:ascii="Calibri" w:hAnsi="Calibri" w:cs="Calibri"/>
          <w:sz w:val="24"/>
          <w:szCs w:val="24"/>
        </w:rPr>
        <w:t>to</w:t>
      </w:r>
      <w:proofErr w:type="gramEnd"/>
      <w:r w:rsidR="006A21A6">
        <w:rPr>
          <w:rFonts w:ascii="Calibri" w:hAnsi="Calibri" w:cs="Calibri"/>
          <w:sz w:val="24"/>
          <w:szCs w:val="24"/>
        </w:rPr>
        <w:t xml:space="preserve"> the latest RSA 15 report, there is over $2.9</w:t>
      </w:r>
      <w:r>
        <w:rPr>
          <w:rFonts w:ascii="Calibri" w:hAnsi="Calibri" w:cs="Calibri"/>
          <w:sz w:val="24"/>
          <w:szCs w:val="24"/>
        </w:rPr>
        <w:t xml:space="preserve">m available and only being down maybe $200,000 this year isn’t bad as long as the sales in the facilities keep rising which appears to be the case and increases the set aside fees so next year BEP could start to grow again. </w:t>
      </w:r>
    </w:p>
    <w:p w14:paraId="7A758E1B" w14:textId="77777777" w:rsidR="00B10AE3" w:rsidRDefault="00B10AE3" w:rsidP="008F7380">
      <w:pPr>
        <w:spacing w:after="120" w:line="257" w:lineRule="auto"/>
        <w:contextualSpacing/>
        <w:rPr>
          <w:rFonts w:ascii="Calibri" w:hAnsi="Calibri" w:cs="Calibri"/>
          <w:sz w:val="24"/>
          <w:szCs w:val="24"/>
        </w:rPr>
      </w:pPr>
    </w:p>
    <w:p w14:paraId="0AD996DA" w14:textId="77777777" w:rsidR="00B10AE3" w:rsidRDefault="00B10AE3" w:rsidP="008F7380">
      <w:pPr>
        <w:spacing w:after="120" w:line="257" w:lineRule="auto"/>
        <w:contextualSpacing/>
        <w:rPr>
          <w:rFonts w:ascii="Calibri" w:hAnsi="Calibri" w:cs="Calibri"/>
          <w:sz w:val="24"/>
          <w:szCs w:val="24"/>
        </w:rPr>
      </w:pPr>
      <w:r>
        <w:rPr>
          <w:rFonts w:ascii="Calibri" w:hAnsi="Calibri" w:cs="Calibri"/>
          <w:sz w:val="24"/>
          <w:szCs w:val="24"/>
        </w:rPr>
        <w:t xml:space="preserve">Submitted by </w:t>
      </w:r>
    </w:p>
    <w:p w14:paraId="587CD22E" w14:textId="77777777" w:rsidR="00B10AE3" w:rsidRDefault="00B10AE3" w:rsidP="008F7380">
      <w:pPr>
        <w:spacing w:after="120" w:line="257" w:lineRule="auto"/>
        <w:contextualSpacing/>
        <w:rPr>
          <w:rFonts w:ascii="Calibri" w:hAnsi="Calibri" w:cs="Calibri"/>
          <w:sz w:val="24"/>
          <w:szCs w:val="24"/>
        </w:rPr>
      </w:pPr>
      <w:r>
        <w:rPr>
          <w:rFonts w:ascii="Calibri" w:hAnsi="Calibri" w:cs="Calibri"/>
          <w:sz w:val="24"/>
          <w:szCs w:val="24"/>
        </w:rPr>
        <w:t xml:space="preserve">Willie Shoemaker </w:t>
      </w:r>
    </w:p>
    <w:p w14:paraId="47981643" w14:textId="77777777" w:rsidR="00C76702" w:rsidRPr="00447B1D" w:rsidRDefault="00C76702" w:rsidP="00447B1D"/>
    <w:sectPr w:rsidR="00C76702" w:rsidRPr="00447B1D" w:rsidSect="0001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185"/>
    <w:multiLevelType w:val="hybridMultilevel"/>
    <w:tmpl w:val="F2A2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BB2"/>
    <w:multiLevelType w:val="hybridMultilevel"/>
    <w:tmpl w:val="718C9764"/>
    <w:lvl w:ilvl="0" w:tplc="9A68F6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539B"/>
    <w:multiLevelType w:val="hybridMultilevel"/>
    <w:tmpl w:val="6B80ABA8"/>
    <w:lvl w:ilvl="0" w:tplc="698467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10D1"/>
    <w:multiLevelType w:val="multilevel"/>
    <w:tmpl w:val="B5504F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9302EA7"/>
    <w:multiLevelType w:val="hybridMultilevel"/>
    <w:tmpl w:val="F3386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4F0072"/>
    <w:multiLevelType w:val="hybridMultilevel"/>
    <w:tmpl w:val="7C5E96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8485D5C"/>
    <w:multiLevelType w:val="hybridMultilevel"/>
    <w:tmpl w:val="744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54669"/>
    <w:multiLevelType w:val="hybridMultilevel"/>
    <w:tmpl w:val="203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890438">
    <w:abstractNumId w:val="2"/>
  </w:num>
  <w:num w:numId="2" w16cid:durableId="1039478014">
    <w:abstractNumId w:val="3"/>
  </w:num>
  <w:num w:numId="3" w16cid:durableId="1562905151">
    <w:abstractNumId w:val="0"/>
  </w:num>
  <w:num w:numId="4" w16cid:durableId="1121151722">
    <w:abstractNumId w:val="7"/>
  </w:num>
  <w:num w:numId="5" w16cid:durableId="677543300">
    <w:abstractNumId w:val="1"/>
  </w:num>
  <w:num w:numId="6" w16cid:durableId="1398748268">
    <w:abstractNumId w:val="5"/>
  </w:num>
  <w:num w:numId="7" w16cid:durableId="195046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9689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2"/>
    <w:rsid w:val="00016C96"/>
    <w:rsid w:val="00050F0E"/>
    <w:rsid w:val="00062A6B"/>
    <w:rsid w:val="000731F4"/>
    <w:rsid w:val="000A16BA"/>
    <w:rsid w:val="000B3B5B"/>
    <w:rsid w:val="000D5DC2"/>
    <w:rsid w:val="000D7C22"/>
    <w:rsid w:val="000E6C2A"/>
    <w:rsid w:val="00102BA9"/>
    <w:rsid w:val="00143BD7"/>
    <w:rsid w:val="00165776"/>
    <w:rsid w:val="001A2D7A"/>
    <w:rsid w:val="001F5B56"/>
    <w:rsid w:val="001F7DEC"/>
    <w:rsid w:val="00211971"/>
    <w:rsid w:val="00213F13"/>
    <w:rsid w:val="002156A9"/>
    <w:rsid w:val="002851B7"/>
    <w:rsid w:val="00287947"/>
    <w:rsid w:val="00363665"/>
    <w:rsid w:val="00393CA3"/>
    <w:rsid w:val="003B5D2A"/>
    <w:rsid w:val="003C0E77"/>
    <w:rsid w:val="00414BDC"/>
    <w:rsid w:val="0042517D"/>
    <w:rsid w:val="00447B1D"/>
    <w:rsid w:val="00461857"/>
    <w:rsid w:val="004774DC"/>
    <w:rsid w:val="00497282"/>
    <w:rsid w:val="004A2382"/>
    <w:rsid w:val="004C3BE1"/>
    <w:rsid w:val="005026C2"/>
    <w:rsid w:val="0053668A"/>
    <w:rsid w:val="00541611"/>
    <w:rsid w:val="00550B8B"/>
    <w:rsid w:val="00560B30"/>
    <w:rsid w:val="005E6F8F"/>
    <w:rsid w:val="00604462"/>
    <w:rsid w:val="006107A5"/>
    <w:rsid w:val="0063165C"/>
    <w:rsid w:val="006A0CCF"/>
    <w:rsid w:val="006A21A6"/>
    <w:rsid w:val="006D171A"/>
    <w:rsid w:val="00720543"/>
    <w:rsid w:val="00731AC4"/>
    <w:rsid w:val="00761BA6"/>
    <w:rsid w:val="007D104F"/>
    <w:rsid w:val="007F5315"/>
    <w:rsid w:val="00870D40"/>
    <w:rsid w:val="00876CD8"/>
    <w:rsid w:val="008B0D30"/>
    <w:rsid w:val="008C2C26"/>
    <w:rsid w:val="008E4039"/>
    <w:rsid w:val="008F7380"/>
    <w:rsid w:val="00916409"/>
    <w:rsid w:val="00942D4F"/>
    <w:rsid w:val="009620B8"/>
    <w:rsid w:val="00984F78"/>
    <w:rsid w:val="009D2E26"/>
    <w:rsid w:val="009F3A11"/>
    <w:rsid w:val="00A02EC1"/>
    <w:rsid w:val="00A04391"/>
    <w:rsid w:val="00A14142"/>
    <w:rsid w:val="00A5411D"/>
    <w:rsid w:val="00A703E6"/>
    <w:rsid w:val="00A808DC"/>
    <w:rsid w:val="00A93950"/>
    <w:rsid w:val="00AA1186"/>
    <w:rsid w:val="00AB5928"/>
    <w:rsid w:val="00AB6C7B"/>
    <w:rsid w:val="00B05029"/>
    <w:rsid w:val="00B10AE3"/>
    <w:rsid w:val="00B43AB5"/>
    <w:rsid w:val="00B45022"/>
    <w:rsid w:val="00B816FC"/>
    <w:rsid w:val="00B855DE"/>
    <w:rsid w:val="00BC54E4"/>
    <w:rsid w:val="00BD215B"/>
    <w:rsid w:val="00C76702"/>
    <w:rsid w:val="00C76E8E"/>
    <w:rsid w:val="00CC56FA"/>
    <w:rsid w:val="00CD2A33"/>
    <w:rsid w:val="00CE1123"/>
    <w:rsid w:val="00CF4EB4"/>
    <w:rsid w:val="00D1629E"/>
    <w:rsid w:val="00D73CC6"/>
    <w:rsid w:val="00D93764"/>
    <w:rsid w:val="00DA0117"/>
    <w:rsid w:val="00DF6743"/>
    <w:rsid w:val="00E26CB3"/>
    <w:rsid w:val="00E26D8C"/>
    <w:rsid w:val="00E37C94"/>
    <w:rsid w:val="00E639CD"/>
    <w:rsid w:val="00E664C3"/>
    <w:rsid w:val="00E71D24"/>
    <w:rsid w:val="00E7525E"/>
    <w:rsid w:val="00E810A8"/>
    <w:rsid w:val="00E827B1"/>
    <w:rsid w:val="00ED5A4B"/>
    <w:rsid w:val="00F02A42"/>
    <w:rsid w:val="00F53C12"/>
    <w:rsid w:val="00F64E79"/>
    <w:rsid w:val="00F819AB"/>
    <w:rsid w:val="00F927FD"/>
    <w:rsid w:val="00F96D8E"/>
    <w:rsid w:val="00FB0087"/>
    <w:rsid w:val="00FB4E62"/>
    <w:rsid w:val="00FB7B90"/>
    <w:rsid w:val="00FD3A92"/>
    <w:rsid w:val="00FE7E75"/>
    <w:rsid w:val="00FF02E7"/>
    <w:rsid w:val="00F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0E93"/>
  <w15:chartTrackingRefBased/>
  <w15:docId w15:val="{605BC333-23AE-4681-8115-1D02D69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13"/>
    <w:pPr>
      <w:spacing w:line="259" w:lineRule="auto"/>
      <w:ind w:left="720"/>
      <w:contextualSpacing/>
    </w:pPr>
  </w:style>
  <w:style w:type="character" w:styleId="Hyperlink">
    <w:name w:val="Hyperlink"/>
    <w:basedOn w:val="DefaultParagraphFont"/>
    <w:uiPriority w:val="99"/>
    <w:unhideWhenUsed/>
    <w:rsid w:val="003C0E77"/>
    <w:rPr>
      <w:color w:val="0563C1" w:themeColor="hyperlink"/>
      <w:u w:val="single"/>
    </w:rPr>
  </w:style>
  <w:style w:type="paragraph" w:styleId="BalloonText">
    <w:name w:val="Balloon Text"/>
    <w:basedOn w:val="Normal"/>
    <w:link w:val="BalloonTextChar"/>
    <w:uiPriority w:val="99"/>
    <w:semiHidden/>
    <w:unhideWhenUsed/>
    <w:rsid w:val="0055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4720">
      <w:bodyDiv w:val="1"/>
      <w:marLeft w:val="0"/>
      <w:marRight w:val="0"/>
      <w:marTop w:val="0"/>
      <w:marBottom w:val="0"/>
      <w:divBdr>
        <w:top w:val="none" w:sz="0" w:space="0" w:color="auto"/>
        <w:left w:val="none" w:sz="0" w:space="0" w:color="auto"/>
        <w:bottom w:val="none" w:sz="0" w:space="0" w:color="auto"/>
        <w:right w:val="none" w:sz="0" w:space="0" w:color="auto"/>
      </w:divBdr>
    </w:div>
    <w:div w:id="837185507">
      <w:bodyDiv w:val="1"/>
      <w:marLeft w:val="0"/>
      <w:marRight w:val="0"/>
      <w:marTop w:val="0"/>
      <w:marBottom w:val="0"/>
      <w:divBdr>
        <w:top w:val="none" w:sz="0" w:space="0" w:color="auto"/>
        <w:left w:val="none" w:sz="0" w:space="0" w:color="auto"/>
        <w:bottom w:val="none" w:sz="0" w:space="0" w:color="auto"/>
        <w:right w:val="none" w:sz="0" w:space="0" w:color="auto"/>
      </w:divBdr>
    </w:div>
    <w:div w:id="986057839">
      <w:bodyDiv w:val="1"/>
      <w:marLeft w:val="0"/>
      <w:marRight w:val="0"/>
      <w:marTop w:val="0"/>
      <w:marBottom w:val="0"/>
      <w:divBdr>
        <w:top w:val="none" w:sz="0" w:space="0" w:color="auto"/>
        <w:left w:val="none" w:sz="0" w:space="0" w:color="auto"/>
        <w:bottom w:val="none" w:sz="0" w:space="0" w:color="auto"/>
        <w:right w:val="none" w:sz="0" w:space="0" w:color="auto"/>
      </w:divBdr>
    </w:div>
    <w:div w:id="1432580256">
      <w:bodyDiv w:val="1"/>
      <w:marLeft w:val="0"/>
      <w:marRight w:val="0"/>
      <w:marTop w:val="0"/>
      <w:marBottom w:val="0"/>
      <w:divBdr>
        <w:top w:val="none" w:sz="0" w:space="0" w:color="auto"/>
        <w:left w:val="none" w:sz="0" w:space="0" w:color="auto"/>
        <w:bottom w:val="none" w:sz="0" w:space="0" w:color="auto"/>
        <w:right w:val="none" w:sz="0" w:space="0" w:color="auto"/>
      </w:divBdr>
    </w:div>
    <w:div w:id="1600527534">
      <w:bodyDiv w:val="1"/>
      <w:marLeft w:val="0"/>
      <w:marRight w:val="0"/>
      <w:marTop w:val="0"/>
      <w:marBottom w:val="0"/>
      <w:divBdr>
        <w:top w:val="none" w:sz="0" w:space="0" w:color="auto"/>
        <w:left w:val="none" w:sz="0" w:space="0" w:color="auto"/>
        <w:bottom w:val="none" w:sz="0" w:space="0" w:color="auto"/>
        <w:right w:val="none" w:sz="0" w:space="0" w:color="auto"/>
      </w:divBdr>
      <w:divsChild>
        <w:div w:id="168645312">
          <w:marLeft w:val="0"/>
          <w:marRight w:val="0"/>
          <w:marTop w:val="0"/>
          <w:marBottom w:val="0"/>
          <w:divBdr>
            <w:top w:val="none" w:sz="0" w:space="0" w:color="auto"/>
            <w:left w:val="none" w:sz="0" w:space="0" w:color="auto"/>
            <w:bottom w:val="none" w:sz="0" w:space="0" w:color="auto"/>
            <w:right w:val="none" w:sz="0" w:space="0" w:color="auto"/>
          </w:divBdr>
          <w:divsChild>
            <w:div w:id="1854605306">
              <w:marLeft w:val="0"/>
              <w:marRight w:val="0"/>
              <w:marTop w:val="0"/>
              <w:marBottom w:val="0"/>
              <w:divBdr>
                <w:top w:val="none" w:sz="0" w:space="0" w:color="auto"/>
                <w:left w:val="none" w:sz="0" w:space="0" w:color="auto"/>
                <w:bottom w:val="none" w:sz="0" w:space="0" w:color="auto"/>
                <w:right w:val="none" w:sz="0" w:space="0" w:color="auto"/>
              </w:divBdr>
            </w:div>
          </w:divsChild>
        </w:div>
        <w:div w:id="965618503">
          <w:marLeft w:val="0"/>
          <w:marRight w:val="0"/>
          <w:marTop w:val="0"/>
          <w:marBottom w:val="0"/>
          <w:divBdr>
            <w:top w:val="none" w:sz="0" w:space="0" w:color="auto"/>
            <w:left w:val="none" w:sz="0" w:space="0" w:color="auto"/>
            <w:bottom w:val="none" w:sz="0" w:space="0" w:color="auto"/>
            <w:right w:val="none" w:sz="0" w:space="0" w:color="auto"/>
          </w:divBdr>
        </w:div>
        <w:div w:id="1296645200">
          <w:marLeft w:val="0"/>
          <w:marRight w:val="0"/>
          <w:marTop w:val="0"/>
          <w:marBottom w:val="0"/>
          <w:divBdr>
            <w:top w:val="none" w:sz="0" w:space="0" w:color="auto"/>
            <w:left w:val="none" w:sz="0" w:space="0" w:color="auto"/>
            <w:bottom w:val="none" w:sz="0" w:space="0" w:color="auto"/>
            <w:right w:val="none" w:sz="0" w:space="0" w:color="auto"/>
          </w:divBdr>
          <w:divsChild>
            <w:div w:id="1816994253">
              <w:marLeft w:val="0"/>
              <w:marRight w:val="0"/>
              <w:marTop w:val="0"/>
              <w:marBottom w:val="0"/>
              <w:divBdr>
                <w:top w:val="none" w:sz="0" w:space="0" w:color="auto"/>
                <w:left w:val="none" w:sz="0" w:space="0" w:color="auto"/>
                <w:bottom w:val="none" w:sz="0" w:space="0" w:color="auto"/>
                <w:right w:val="none" w:sz="0" w:space="0" w:color="auto"/>
              </w:divBdr>
              <w:divsChild>
                <w:div w:id="1429034893">
                  <w:marLeft w:val="0"/>
                  <w:marRight w:val="0"/>
                  <w:marTop w:val="0"/>
                  <w:marBottom w:val="0"/>
                  <w:divBdr>
                    <w:top w:val="none" w:sz="0" w:space="0" w:color="auto"/>
                    <w:left w:val="none" w:sz="0" w:space="0" w:color="auto"/>
                    <w:bottom w:val="none" w:sz="0" w:space="0" w:color="auto"/>
                    <w:right w:val="none" w:sz="0" w:space="0" w:color="auto"/>
                  </w:divBdr>
                  <w:divsChild>
                    <w:div w:id="1114522921">
                      <w:marLeft w:val="0"/>
                      <w:marRight w:val="0"/>
                      <w:marTop w:val="0"/>
                      <w:marBottom w:val="0"/>
                      <w:divBdr>
                        <w:top w:val="none" w:sz="0" w:space="0" w:color="auto"/>
                        <w:left w:val="none" w:sz="0" w:space="0" w:color="auto"/>
                        <w:bottom w:val="none" w:sz="0" w:space="0" w:color="auto"/>
                        <w:right w:val="none" w:sz="0" w:space="0" w:color="auto"/>
                      </w:divBdr>
                      <w:divsChild>
                        <w:div w:id="15067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16506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mlsho</dc:creator>
  <cp:keywords/>
  <dc:description/>
  <cp:lastModifiedBy>Wilbon, Jennifer@DOR</cp:lastModifiedBy>
  <cp:revision>2</cp:revision>
  <cp:lastPrinted>2022-11-28T21:55:00Z</cp:lastPrinted>
  <dcterms:created xsi:type="dcterms:W3CDTF">2023-04-18T16:29:00Z</dcterms:created>
  <dcterms:modified xsi:type="dcterms:W3CDTF">2023-04-18T16:29:00Z</dcterms:modified>
</cp:coreProperties>
</file>