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557E" w14:textId="5A2944C3" w:rsidR="00A20D99" w:rsidRDefault="00C80AE8" w:rsidP="00C80AE8">
      <w:pPr>
        <w:jc w:val="center"/>
        <w:rPr>
          <w:b/>
          <w:bCs/>
        </w:rPr>
      </w:pPr>
      <w:r w:rsidRPr="00C80AE8">
        <w:rPr>
          <w:b/>
          <w:bCs/>
        </w:rPr>
        <w:t>Strategic Co-Enrollment/No Wrong Door Policies</w:t>
      </w:r>
    </w:p>
    <w:p w14:paraId="7C3FD4C3" w14:textId="37D23A92" w:rsidR="00C80AE8" w:rsidRDefault="00C80AE8" w:rsidP="00C80AE8">
      <w:pPr>
        <w:jc w:val="center"/>
        <w:rPr>
          <w:b/>
          <w:bCs/>
        </w:rPr>
      </w:pPr>
    </w:p>
    <w:p w14:paraId="171DC517" w14:textId="1459E3EC" w:rsidR="00C80AE8" w:rsidRPr="00C80AE8" w:rsidRDefault="00C80AE8" w:rsidP="00C80AE8">
      <w:pPr>
        <w:rPr>
          <w:rFonts w:cs="Arial"/>
          <w:b/>
          <w:bCs/>
          <w:szCs w:val="28"/>
        </w:rPr>
      </w:pPr>
      <w:r w:rsidRPr="00C80AE8">
        <w:rPr>
          <w:rFonts w:cs="Arial"/>
          <w:b/>
          <w:bCs/>
          <w:szCs w:val="28"/>
        </w:rPr>
        <w:t>Introduction</w:t>
      </w:r>
    </w:p>
    <w:p w14:paraId="3C3CCB30" w14:textId="686A58F9" w:rsidR="00C80AE8" w:rsidRDefault="00C80AE8" w:rsidP="00C80AE8">
      <w:pPr>
        <w:pStyle w:val="Default"/>
        <w:rPr>
          <w:rFonts w:ascii="Arial" w:hAnsi="Arial" w:cs="Arial"/>
          <w:sz w:val="28"/>
          <w:szCs w:val="28"/>
        </w:rPr>
      </w:pPr>
      <w:r w:rsidRPr="00C80AE8">
        <w:rPr>
          <w:rFonts w:ascii="Arial" w:hAnsi="Arial" w:cs="Arial"/>
          <w:sz w:val="28"/>
          <w:szCs w:val="28"/>
        </w:rPr>
        <w:t xml:space="preserve">The State Coordination Subcommittee is developing policy recommendations on strategic co-enrollment/no wrong door policies. </w:t>
      </w:r>
      <w:r w:rsidR="004E6348">
        <w:rPr>
          <w:rFonts w:ascii="Arial" w:hAnsi="Arial" w:cs="Arial"/>
          <w:sz w:val="28"/>
          <w:szCs w:val="28"/>
        </w:rPr>
        <w:t>At the April meeting, Members should discuss how to approach the conversation</w:t>
      </w:r>
      <w:r w:rsidR="00AE5F7B">
        <w:rPr>
          <w:rFonts w:ascii="Arial" w:hAnsi="Arial" w:cs="Arial"/>
          <w:sz w:val="28"/>
          <w:szCs w:val="28"/>
        </w:rPr>
        <w:t xml:space="preserve"> after receiving introductory presentations.</w:t>
      </w:r>
    </w:p>
    <w:p w14:paraId="07CFD027" w14:textId="4A7124B6" w:rsidR="004E6348" w:rsidRDefault="004E6348" w:rsidP="00C80AE8">
      <w:pPr>
        <w:pStyle w:val="Default"/>
        <w:rPr>
          <w:rFonts w:ascii="Arial" w:hAnsi="Arial" w:cs="Arial"/>
          <w:sz w:val="28"/>
          <w:szCs w:val="28"/>
        </w:rPr>
      </w:pPr>
    </w:p>
    <w:p w14:paraId="49F6CECB" w14:textId="5AAC3700" w:rsidR="004E6348" w:rsidRDefault="004E6348" w:rsidP="004E634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Also at the March 2022 meeting, Members discussed that there should be overall policy recommendations with ones specific to Departments and/or programs. Members have agreed that employment services and support services are fragmented within California for people with disabilities. </w:t>
      </w:r>
      <w:r w:rsidR="00AE5F7B">
        <w:rPr>
          <w:rFonts w:ascii="Arial" w:hAnsi="Arial" w:cs="Arial"/>
          <w:sz w:val="28"/>
          <w:szCs w:val="28"/>
        </w:rPr>
        <w:t>Because s</w:t>
      </w:r>
      <w:r>
        <w:rPr>
          <w:rFonts w:ascii="Arial" w:hAnsi="Arial" w:cs="Arial"/>
          <w:sz w:val="28"/>
          <w:szCs w:val="28"/>
        </w:rPr>
        <w:t>trategic co-enrollment and no wrong door policies can affect multiple programs and services</w:t>
      </w:r>
      <w:r w:rsidR="00AE5F7B">
        <w:rPr>
          <w:rFonts w:ascii="Arial" w:hAnsi="Arial" w:cs="Arial"/>
          <w:sz w:val="28"/>
          <w:szCs w:val="28"/>
        </w:rPr>
        <w:t>, th</w:t>
      </w:r>
      <w:r>
        <w:rPr>
          <w:rFonts w:ascii="Arial" w:hAnsi="Arial" w:cs="Arial"/>
          <w:sz w:val="28"/>
          <w:szCs w:val="28"/>
        </w:rPr>
        <w:t xml:space="preserve">e Executive Officer is recommending </w:t>
      </w:r>
      <w:r w:rsidR="00AE5F7B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following</w:t>
      </w:r>
      <w:r>
        <w:rPr>
          <w:rFonts w:ascii="Arial" w:hAnsi="Arial" w:cs="Arial"/>
          <w:sz w:val="28"/>
          <w:szCs w:val="28"/>
        </w:rPr>
        <w:t xml:space="preserve"> options</w:t>
      </w:r>
      <w:r w:rsidR="00AE5F7B">
        <w:rPr>
          <w:rFonts w:ascii="Arial" w:hAnsi="Arial" w:cs="Arial"/>
          <w:sz w:val="28"/>
          <w:szCs w:val="28"/>
        </w:rPr>
        <w:t xml:space="preserve"> as next steps to either narrow or broaden the topics:</w:t>
      </w:r>
    </w:p>
    <w:p w14:paraId="1C682C39" w14:textId="09B97F59" w:rsidR="004E6348" w:rsidRDefault="004E6348" w:rsidP="004E6348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Developing recommendations affecting</w:t>
      </w:r>
      <w:r w:rsidR="00AE5F7B">
        <w:rPr>
          <w:rFonts w:ascii="Arial" w:hAnsi="Arial" w:cs="Arial"/>
          <w:sz w:val="28"/>
          <w:szCs w:val="28"/>
        </w:rPr>
        <w:t xml:space="preserve"> strategic co-enrollment between</w:t>
      </w:r>
      <w:r>
        <w:rPr>
          <w:rFonts w:ascii="Arial" w:hAnsi="Arial" w:cs="Arial"/>
          <w:sz w:val="28"/>
          <w:szCs w:val="28"/>
        </w:rPr>
        <w:t xml:space="preserve"> employment services</w:t>
      </w:r>
      <w:r w:rsidR="00AE5F7B">
        <w:rPr>
          <w:rFonts w:ascii="Arial" w:hAnsi="Arial" w:cs="Arial"/>
          <w:sz w:val="28"/>
          <w:szCs w:val="28"/>
        </w:rPr>
        <w:t xml:space="preserve"> in workforce</w:t>
      </w:r>
      <w:r>
        <w:rPr>
          <w:rFonts w:ascii="Arial" w:hAnsi="Arial" w:cs="Arial"/>
          <w:sz w:val="28"/>
          <w:szCs w:val="28"/>
        </w:rPr>
        <w:t xml:space="preserve"> and vocational rehabilitation services.</w:t>
      </w:r>
    </w:p>
    <w:p w14:paraId="288F852A" w14:textId="4FDE2538" w:rsidR="00AE5F7B" w:rsidRDefault="00AE5F7B" w:rsidP="004E6348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Developing recommendations to develop an integrated service delivery model for people with disabilities within workforce.</w:t>
      </w:r>
    </w:p>
    <w:p w14:paraId="23E9C760" w14:textId="1A9755A8" w:rsidR="004E6348" w:rsidRDefault="004E6348" w:rsidP="004E6348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Discussing a broader and comprehensive set of policy recommendations that encompasses multiple social services programs and employment services.</w:t>
      </w:r>
    </w:p>
    <w:p w14:paraId="5A92828B" w14:textId="7E5C8929" w:rsidR="004E6348" w:rsidRPr="00AE5F7B" w:rsidRDefault="00AE5F7B" w:rsidP="004E6348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</w:t>
      </w:r>
      <w:r w:rsidR="004E6348" w:rsidRPr="00AE5F7B">
        <w:rPr>
          <w:rFonts w:ascii="Arial" w:hAnsi="Arial" w:cs="Arial"/>
          <w:sz w:val="28"/>
          <w:szCs w:val="28"/>
        </w:rPr>
        <w:t>a short-term strategy to focus on integrated service models between employment services and vocational rehabilitation services and</w:t>
      </w:r>
      <w:r>
        <w:rPr>
          <w:rFonts w:ascii="Arial" w:hAnsi="Arial" w:cs="Arial"/>
          <w:sz w:val="28"/>
          <w:szCs w:val="28"/>
        </w:rPr>
        <w:t xml:space="preserve"> </w:t>
      </w:r>
      <w:r w:rsidR="004E6348" w:rsidRPr="00AE5F7B">
        <w:rPr>
          <w:rFonts w:ascii="Arial" w:hAnsi="Arial" w:cs="Arial"/>
          <w:sz w:val="28"/>
          <w:szCs w:val="28"/>
        </w:rPr>
        <w:t>in the long-term focus on what a no wrong door framework for employment services</w:t>
      </w:r>
      <w:r>
        <w:rPr>
          <w:rFonts w:ascii="Arial" w:hAnsi="Arial" w:cs="Arial"/>
          <w:sz w:val="28"/>
          <w:szCs w:val="28"/>
        </w:rPr>
        <w:t xml:space="preserve"> should be</w:t>
      </w:r>
      <w:r w:rsidR="004E6348" w:rsidRPr="00AE5F7B">
        <w:rPr>
          <w:rFonts w:ascii="Arial" w:hAnsi="Arial" w:cs="Arial"/>
          <w:sz w:val="28"/>
          <w:szCs w:val="28"/>
        </w:rPr>
        <w:t xml:space="preserve"> for people with disabilities.</w:t>
      </w:r>
    </w:p>
    <w:p w14:paraId="719A2AF6" w14:textId="77777777" w:rsidR="004E6348" w:rsidRDefault="004E6348" w:rsidP="00C80AE8">
      <w:pPr>
        <w:pStyle w:val="Default"/>
        <w:rPr>
          <w:rFonts w:ascii="Arial" w:hAnsi="Arial" w:cs="Arial"/>
          <w:sz w:val="28"/>
          <w:szCs w:val="28"/>
        </w:rPr>
      </w:pPr>
    </w:p>
    <w:p w14:paraId="3E2D12DB" w14:textId="1D9A6287" w:rsidR="00C80AE8" w:rsidRPr="004E6348" w:rsidRDefault="004E6348" w:rsidP="00C80AE8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4E6348">
        <w:rPr>
          <w:rFonts w:ascii="Arial" w:hAnsi="Arial" w:cs="Arial"/>
          <w:b/>
          <w:bCs/>
          <w:sz w:val="28"/>
          <w:szCs w:val="28"/>
        </w:rPr>
        <w:t>Strategic Co-Enrollment Framework and Definition</w:t>
      </w:r>
    </w:p>
    <w:p w14:paraId="47078422" w14:textId="0BB2FF21" w:rsidR="00C80AE8" w:rsidRDefault="00C80AE8" w:rsidP="00C80AE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March 2022 meeting, Members received a presentation on the English Language Learner Co-Enrollment pilot between Title I (career services) and Title II (adult education) of the Workforce Innovation and Opportunity Act (WIOA). A framework was presented to the Members that will be used to guide the discussions. </w:t>
      </w:r>
      <w:r w:rsidR="00CA052B">
        <w:rPr>
          <w:rFonts w:ascii="Arial" w:hAnsi="Arial" w:cs="Arial"/>
          <w:sz w:val="28"/>
          <w:szCs w:val="28"/>
        </w:rPr>
        <w:t>The framework stated that the following is needed:</w:t>
      </w:r>
    </w:p>
    <w:p w14:paraId="49721F11" w14:textId="4B2ED76A" w:rsidR="00CA052B" w:rsidRDefault="00CA052B" w:rsidP="00CA052B">
      <w:pPr>
        <w:pStyle w:val="Defaul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structure to support collaboration and navigators to support individuals with the various programs and services.</w:t>
      </w:r>
    </w:p>
    <w:p w14:paraId="5F0ADB17" w14:textId="40EBF328" w:rsidR="00CA052B" w:rsidRDefault="00CA052B" w:rsidP="00CA052B">
      <w:pPr>
        <w:pStyle w:val="Defaul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Programs and services that are perceived as the most valuable by participants should be included.</w:t>
      </w:r>
    </w:p>
    <w:p w14:paraId="36DC10C3" w14:textId="0A98A526" w:rsidR="00CA052B" w:rsidRDefault="00CA052B" w:rsidP="00CA052B">
      <w:pPr>
        <w:pStyle w:val="Defaul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 areas to be concentrated are:</w:t>
      </w:r>
    </w:p>
    <w:p w14:paraId="1D0459CE" w14:textId="50954149" w:rsidR="00CA052B" w:rsidRDefault="00CA052B" w:rsidP="00CA052B">
      <w:pPr>
        <w:pStyle w:val="Default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Eligibility</w:t>
      </w:r>
    </w:p>
    <w:p w14:paraId="24C85950" w14:textId="2FA7F49A" w:rsidR="00CA052B" w:rsidRDefault="00CA052B" w:rsidP="00CA052B">
      <w:pPr>
        <w:pStyle w:val="Default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and Data</w:t>
      </w:r>
    </w:p>
    <w:p w14:paraId="595F8B7D" w14:textId="4306D066" w:rsidR="00CA052B" w:rsidRDefault="00CA052B" w:rsidP="00CA052B">
      <w:pPr>
        <w:pStyle w:val="Default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Programs and Services</w:t>
      </w:r>
    </w:p>
    <w:p w14:paraId="7C5A3038" w14:textId="62AB0B80" w:rsidR="00CA052B" w:rsidRDefault="00CA052B" w:rsidP="00CA052B">
      <w:pPr>
        <w:pStyle w:val="Default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Outcomes</w:t>
      </w:r>
    </w:p>
    <w:p w14:paraId="1246F4FD" w14:textId="181BDEB9" w:rsidR="004E6348" w:rsidRDefault="004E6348" w:rsidP="004E634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presenter also defined the strategic co-enrollment concept as </w:t>
      </w:r>
      <w:r w:rsidRPr="00C80AE8">
        <w:rPr>
          <w:rFonts w:ascii="Arial" w:hAnsi="Arial" w:cs="Arial"/>
          <w:sz w:val="28"/>
          <w:szCs w:val="28"/>
        </w:rPr>
        <w:t>to expand access to supports and services, utilize a “no wrong door” policy, and enable an environment of co-case management</w:t>
      </w:r>
      <w:r>
        <w:rPr>
          <w:rFonts w:ascii="Arial" w:hAnsi="Arial" w:cs="Arial"/>
          <w:sz w:val="28"/>
          <w:szCs w:val="28"/>
        </w:rPr>
        <w:t xml:space="preserve">. The ideal would be for clients to be enrolled simultaneously in services and programs. </w:t>
      </w:r>
    </w:p>
    <w:p w14:paraId="52C90F26" w14:textId="0656F7D4" w:rsidR="004E6348" w:rsidRDefault="004E6348" w:rsidP="004E6348">
      <w:pPr>
        <w:pStyle w:val="Default"/>
        <w:rPr>
          <w:rFonts w:ascii="Arial" w:hAnsi="Arial" w:cs="Arial"/>
          <w:sz w:val="28"/>
          <w:szCs w:val="28"/>
        </w:rPr>
      </w:pPr>
    </w:p>
    <w:p w14:paraId="516E3D62" w14:textId="66CB746D" w:rsidR="004E6348" w:rsidRDefault="004E6348" w:rsidP="004E6348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4E6348">
        <w:rPr>
          <w:rFonts w:ascii="Arial" w:hAnsi="Arial" w:cs="Arial"/>
          <w:b/>
          <w:bCs/>
          <w:sz w:val="28"/>
          <w:szCs w:val="28"/>
        </w:rPr>
        <w:t>No Wrong Door Policies</w:t>
      </w:r>
    </w:p>
    <w:p w14:paraId="263E5769" w14:textId="3F06EB72" w:rsidR="004E6348" w:rsidRDefault="004E6348" w:rsidP="004E6348">
      <w:pPr>
        <w:pStyle w:val="Default"/>
        <w:rPr>
          <w:rFonts w:ascii="Arial" w:hAnsi="Arial" w:cs="Arial"/>
          <w:sz w:val="28"/>
          <w:szCs w:val="28"/>
        </w:rPr>
      </w:pPr>
      <w:r w:rsidRPr="004E6348">
        <w:rPr>
          <w:rFonts w:ascii="Arial" w:hAnsi="Arial" w:cs="Arial"/>
          <w:sz w:val="28"/>
          <w:szCs w:val="28"/>
        </w:rPr>
        <w:t>At the February 2022 meeting, Members received a presentation on no wrong door policies being developed for Aging and Independent Living programs.</w:t>
      </w:r>
      <w:r>
        <w:rPr>
          <w:rFonts w:ascii="Arial" w:hAnsi="Arial" w:cs="Arial"/>
          <w:sz w:val="28"/>
          <w:szCs w:val="28"/>
        </w:rPr>
        <w:t xml:space="preserve"> The goal of no wrong door policies is to minimize confusion and streamline access to long-term services. No wrong door policies also </w:t>
      </w:r>
      <w:r w:rsidR="00FF5285">
        <w:rPr>
          <w:rFonts w:ascii="Arial" w:hAnsi="Arial" w:cs="Arial"/>
          <w:sz w:val="28"/>
          <w:szCs w:val="28"/>
        </w:rPr>
        <w:t>integrate</w:t>
      </w:r>
      <w:r>
        <w:rPr>
          <w:rFonts w:ascii="Arial" w:hAnsi="Arial" w:cs="Arial"/>
          <w:sz w:val="28"/>
          <w:szCs w:val="28"/>
        </w:rPr>
        <w:t xml:space="preserve"> networks for various services and should provide the same access to information regardless of which partner the customer request</w:t>
      </w:r>
      <w:r w:rsidR="00AE5F7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the services. The key ingredients to no wrong door policies </w:t>
      </w:r>
      <w:r w:rsidR="00FF5285">
        <w:rPr>
          <w:rFonts w:ascii="Arial" w:hAnsi="Arial" w:cs="Arial"/>
          <w:sz w:val="28"/>
          <w:szCs w:val="28"/>
        </w:rPr>
        <w:t xml:space="preserve">are </w:t>
      </w:r>
      <w:r>
        <w:rPr>
          <w:rFonts w:ascii="Arial" w:hAnsi="Arial" w:cs="Arial"/>
          <w:sz w:val="28"/>
          <w:szCs w:val="28"/>
        </w:rPr>
        <w:t xml:space="preserve">to determine which service functions be a part of the policy, adapt a no wrong door philosophy with partners and continued support from partners. The Aging and Disability Resource Centers </w:t>
      </w:r>
      <w:r w:rsidR="00FF5285">
        <w:rPr>
          <w:rFonts w:ascii="Arial" w:hAnsi="Arial" w:cs="Arial"/>
          <w:sz w:val="28"/>
          <w:szCs w:val="28"/>
        </w:rPr>
        <w:t>are doing the following: one-stop coordinated system, single standard process, objective and neutral, person-centered, seamless, and person-friendly, streamlined access to public and private programs.</w:t>
      </w:r>
    </w:p>
    <w:p w14:paraId="77294DE3" w14:textId="77777777" w:rsidR="004E6348" w:rsidRPr="004E6348" w:rsidRDefault="004E6348" w:rsidP="004E6348">
      <w:pPr>
        <w:pStyle w:val="Default"/>
        <w:rPr>
          <w:rFonts w:ascii="Arial" w:hAnsi="Arial" w:cs="Arial"/>
          <w:sz w:val="28"/>
          <w:szCs w:val="28"/>
        </w:rPr>
      </w:pPr>
    </w:p>
    <w:p w14:paraId="219AE398" w14:textId="0C3A3512" w:rsidR="00C80AE8" w:rsidRDefault="00C80AE8" w:rsidP="00C80AE8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C80AE8">
        <w:rPr>
          <w:rFonts w:ascii="Arial" w:hAnsi="Arial" w:cs="Arial"/>
          <w:b/>
          <w:bCs/>
          <w:sz w:val="28"/>
          <w:szCs w:val="28"/>
        </w:rPr>
        <w:t>Policy Recommendations</w:t>
      </w:r>
    </w:p>
    <w:p w14:paraId="3012BBEC" w14:textId="6FFFD871" w:rsidR="00CA052B" w:rsidRPr="00CA052B" w:rsidRDefault="00CA052B" w:rsidP="00C80AE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Pr="00CA052B">
        <w:rPr>
          <w:rFonts w:ascii="Arial" w:hAnsi="Arial" w:cs="Arial"/>
          <w:sz w:val="28"/>
          <w:szCs w:val="28"/>
        </w:rPr>
        <w:t xml:space="preserve"> Executive Officer began</w:t>
      </w:r>
      <w:r w:rsidR="00AE5F7B">
        <w:rPr>
          <w:rFonts w:ascii="Arial" w:hAnsi="Arial" w:cs="Arial"/>
          <w:sz w:val="28"/>
          <w:szCs w:val="28"/>
        </w:rPr>
        <w:t xml:space="preserve"> capturing </w:t>
      </w:r>
      <w:r>
        <w:rPr>
          <w:rFonts w:ascii="Arial" w:hAnsi="Arial" w:cs="Arial"/>
          <w:sz w:val="28"/>
          <w:szCs w:val="28"/>
        </w:rPr>
        <w:t xml:space="preserve">language </w:t>
      </w:r>
      <w:r w:rsidR="00AE5F7B">
        <w:rPr>
          <w:rFonts w:ascii="Arial" w:hAnsi="Arial" w:cs="Arial"/>
          <w:sz w:val="28"/>
          <w:szCs w:val="28"/>
        </w:rPr>
        <w:t>for recommendations</w:t>
      </w:r>
      <w:r>
        <w:rPr>
          <w:rFonts w:ascii="Arial" w:hAnsi="Arial" w:cs="Arial"/>
          <w:sz w:val="28"/>
          <w:szCs w:val="28"/>
        </w:rPr>
        <w:t xml:space="preserve"> th</w:t>
      </w:r>
      <w:r w:rsidR="00AE5F7B">
        <w:rPr>
          <w:rFonts w:ascii="Arial" w:hAnsi="Arial" w:cs="Arial"/>
          <w:sz w:val="28"/>
          <w:szCs w:val="28"/>
        </w:rPr>
        <w:t>at the</w:t>
      </w:r>
      <w:r>
        <w:rPr>
          <w:rFonts w:ascii="Arial" w:hAnsi="Arial" w:cs="Arial"/>
          <w:sz w:val="28"/>
          <w:szCs w:val="28"/>
        </w:rPr>
        <w:t xml:space="preserve"> Subcommittee</w:t>
      </w:r>
      <w:r w:rsidR="004E6348">
        <w:rPr>
          <w:rFonts w:ascii="Arial" w:hAnsi="Arial" w:cs="Arial"/>
          <w:sz w:val="28"/>
          <w:szCs w:val="28"/>
        </w:rPr>
        <w:t xml:space="preserve"> has had in the last two meetings</w:t>
      </w:r>
      <w:r>
        <w:rPr>
          <w:rFonts w:ascii="Arial" w:hAnsi="Arial" w:cs="Arial"/>
          <w:sz w:val="28"/>
          <w:szCs w:val="28"/>
        </w:rPr>
        <w:t>. Below are potential recommendations:</w:t>
      </w:r>
    </w:p>
    <w:p w14:paraId="647F3C23" w14:textId="6D493A59" w:rsidR="00C80AE8" w:rsidRDefault="00C80AE8" w:rsidP="00C80AE8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AE8">
        <w:rPr>
          <w:rFonts w:ascii="Arial" w:hAnsi="Arial" w:cs="Arial"/>
          <w:sz w:val="28"/>
          <w:szCs w:val="28"/>
        </w:rPr>
        <w:t>Fund navigators to assist people with disabilitie</w:t>
      </w:r>
      <w:r>
        <w:rPr>
          <w:rFonts w:ascii="Arial" w:hAnsi="Arial" w:cs="Arial"/>
          <w:sz w:val="28"/>
          <w:szCs w:val="28"/>
        </w:rPr>
        <w:t>s within workforce</w:t>
      </w:r>
      <w:r w:rsidR="00CA052B">
        <w:rPr>
          <w:rFonts w:ascii="Arial" w:hAnsi="Arial" w:cs="Arial"/>
          <w:sz w:val="28"/>
          <w:szCs w:val="28"/>
        </w:rPr>
        <w:t xml:space="preserve"> in a consistent manner.</w:t>
      </w:r>
    </w:p>
    <w:p w14:paraId="4CEFA77D" w14:textId="0A77DFC7" w:rsidR="00C80AE8" w:rsidRDefault="00C80AE8" w:rsidP="00C80AE8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 efforts to build the capacity</w:t>
      </w:r>
      <w:r w:rsidR="00463457">
        <w:rPr>
          <w:rFonts w:ascii="Arial" w:hAnsi="Arial" w:cs="Arial"/>
          <w:sz w:val="28"/>
          <w:szCs w:val="28"/>
        </w:rPr>
        <w:t xml:space="preserve"> within the Titles of </w:t>
      </w:r>
      <w:r w:rsidR="00CA052B">
        <w:rPr>
          <w:rFonts w:ascii="Arial" w:hAnsi="Arial" w:cs="Arial"/>
          <w:sz w:val="28"/>
          <w:szCs w:val="28"/>
        </w:rPr>
        <w:t xml:space="preserve">the </w:t>
      </w:r>
      <w:r w:rsidR="00463457">
        <w:rPr>
          <w:rFonts w:ascii="Arial" w:hAnsi="Arial" w:cs="Arial"/>
          <w:sz w:val="28"/>
          <w:szCs w:val="28"/>
        </w:rPr>
        <w:t>W</w:t>
      </w:r>
      <w:r w:rsidR="00CA052B">
        <w:rPr>
          <w:rFonts w:ascii="Arial" w:hAnsi="Arial" w:cs="Arial"/>
          <w:sz w:val="28"/>
          <w:szCs w:val="28"/>
        </w:rPr>
        <w:t xml:space="preserve">orkforce </w:t>
      </w:r>
      <w:r w:rsidR="00463457">
        <w:rPr>
          <w:rFonts w:ascii="Arial" w:hAnsi="Arial" w:cs="Arial"/>
          <w:sz w:val="28"/>
          <w:szCs w:val="28"/>
        </w:rPr>
        <w:t>I</w:t>
      </w:r>
      <w:r w:rsidR="00CA052B">
        <w:rPr>
          <w:rFonts w:ascii="Arial" w:hAnsi="Arial" w:cs="Arial"/>
          <w:sz w:val="28"/>
          <w:szCs w:val="28"/>
        </w:rPr>
        <w:t xml:space="preserve">nnovation and </w:t>
      </w:r>
      <w:r w:rsidR="00463457">
        <w:rPr>
          <w:rFonts w:ascii="Arial" w:hAnsi="Arial" w:cs="Arial"/>
          <w:sz w:val="28"/>
          <w:szCs w:val="28"/>
        </w:rPr>
        <w:t>O</w:t>
      </w:r>
      <w:r w:rsidR="00CA052B">
        <w:rPr>
          <w:rFonts w:ascii="Arial" w:hAnsi="Arial" w:cs="Arial"/>
          <w:sz w:val="28"/>
          <w:szCs w:val="28"/>
        </w:rPr>
        <w:t xml:space="preserve">pportunity </w:t>
      </w:r>
      <w:r w:rsidR="00463457">
        <w:rPr>
          <w:rFonts w:ascii="Arial" w:hAnsi="Arial" w:cs="Arial"/>
          <w:sz w:val="28"/>
          <w:szCs w:val="28"/>
        </w:rPr>
        <w:t>A</w:t>
      </w:r>
      <w:r w:rsidR="00CA052B">
        <w:rPr>
          <w:rFonts w:ascii="Arial" w:hAnsi="Arial" w:cs="Arial"/>
          <w:sz w:val="28"/>
          <w:szCs w:val="28"/>
        </w:rPr>
        <w:t>ct (WIOA)</w:t>
      </w:r>
      <w:r>
        <w:rPr>
          <w:rFonts w:ascii="Arial" w:hAnsi="Arial" w:cs="Arial"/>
          <w:sz w:val="28"/>
          <w:szCs w:val="28"/>
        </w:rPr>
        <w:t xml:space="preserve"> for </w:t>
      </w:r>
      <w:r w:rsidR="00113C79">
        <w:rPr>
          <w:rFonts w:ascii="Arial" w:hAnsi="Arial" w:cs="Arial"/>
          <w:sz w:val="28"/>
          <w:szCs w:val="28"/>
        </w:rPr>
        <w:t>integrated service delivery efforts for people with disabilities.</w:t>
      </w:r>
    </w:p>
    <w:p w14:paraId="66BABD6A" w14:textId="318C117A" w:rsidR="00113C79" w:rsidRDefault="00113C79" w:rsidP="00C80AE8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cross-training that is ongoing and builds the knowledge of workforce professionals on disability-related topics.</w:t>
      </w:r>
      <w:r w:rsidR="00CA052B">
        <w:rPr>
          <w:rFonts w:ascii="Arial" w:hAnsi="Arial" w:cs="Arial"/>
          <w:sz w:val="28"/>
          <w:szCs w:val="28"/>
        </w:rPr>
        <w:t xml:space="preserve"> Training can be leveraged through existing programs and services in Vocational Rehabilitation or Independent Living Centers. </w:t>
      </w:r>
      <w:r w:rsidR="004E6348">
        <w:rPr>
          <w:rFonts w:ascii="Arial" w:hAnsi="Arial" w:cs="Arial"/>
          <w:sz w:val="28"/>
          <w:szCs w:val="28"/>
        </w:rPr>
        <w:t>Develop partnership agreements to deliver ongoing training within WIOA and programs that have been incorporated in the State Plan.</w:t>
      </w:r>
    </w:p>
    <w:p w14:paraId="18EF5CCB" w14:textId="5AB67357" w:rsidR="00113C79" w:rsidRDefault="00113C79" w:rsidP="00C80AE8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developing integrated service delivery models for specific populations, incorporate disability-related topics and include the programs and services serving people with disabiliti</w:t>
      </w:r>
      <w:r w:rsidR="00CA052B">
        <w:rPr>
          <w:rFonts w:ascii="Arial" w:hAnsi="Arial" w:cs="Arial"/>
          <w:sz w:val="28"/>
          <w:szCs w:val="28"/>
        </w:rPr>
        <w:t>es. People with disabilities are represented in every population.</w:t>
      </w:r>
    </w:p>
    <w:p w14:paraId="63AD8DF0" w14:textId="3EDA04C1" w:rsidR="00113C79" w:rsidRDefault="00113C79" w:rsidP="00C80AE8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052B">
        <w:rPr>
          <w:rFonts w:ascii="Arial" w:hAnsi="Arial" w:cs="Arial"/>
          <w:sz w:val="28"/>
          <w:szCs w:val="28"/>
        </w:rPr>
        <w:t xml:space="preserve">Develop an intersectionality </w:t>
      </w:r>
      <w:r w:rsidR="00CA052B" w:rsidRPr="00CA052B">
        <w:rPr>
          <w:rFonts w:ascii="Arial" w:hAnsi="Arial" w:cs="Arial"/>
          <w:sz w:val="28"/>
          <w:szCs w:val="28"/>
        </w:rPr>
        <w:t>framework for employment services that includes disability</w:t>
      </w:r>
      <w:r w:rsidR="00CA052B">
        <w:rPr>
          <w:rFonts w:ascii="Arial" w:hAnsi="Arial" w:cs="Arial"/>
          <w:sz w:val="28"/>
          <w:szCs w:val="28"/>
        </w:rPr>
        <w:t xml:space="preserve"> as part of the equity lens for employment services. Not including disability in the equity framework can hinder successful employment outcomes.</w:t>
      </w:r>
    </w:p>
    <w:p w14:paraId="4CF52D4A" w14:textId="74D74D2A" w:rsidR="00CA052B" w:rsidRDefault="00CA052B" w:rsidP="00CA052B">
      <w:pPr>
        <w:pStyle w:val="Default"/>
        <w:rPr>
          <w:rFonts w:ascii="Arial" w:hAnsi="Arial" w:cs="Arial"/>
          <w:sz w:val="28"/>
          <w:szCs w:val="28"/>
        </w:rPr>
      </w:pPr>
    </w:p>
    <w:p w14:paraId="7301A956" w14:textId="1EC7CDF1" w:rsidR="00113C79" w:rsidRPr="00113C79" w:rsidRDefault="00CA052B" w:rsidP="00FF5285">
      <w:pPr>
        <w:pStyle w:val="Default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 xml:space="preserve">At each meeting, the Executive Officer will add or change policy recommendations </w:t>
      </w:r>
      <w:r w:rsidR="00FF5285">
        <w:rPr>
          <w:rFonts w:ascii="Arial" w:hAnsi="Arial" w:cs="Arial"/>
          <w:sz w:val="28"/>
          <w:szCs w:val="28"/>
        </w:rPr>
        <w:t>based on the conversations of the meeting.</w:t>
      </w:r>
      <w:r w:rsidR="00AE5F7B">
        <w:rPr>
          <w:rFonts w:ascii="Arial" w:hAnsi="Arial" w:cs="Arial"/>
          <w:sz w:val="28"/>
          <w:szCs w:val="28"/>
        </w:rPr>
        <w:t xml:space="preserve"> Members will also refine the recommendations.</w:t>
      </w:r>
    </w:p>
    <w:p w14:paraId="5AB1EFBF" w14:textId="77777777" w:rsidR="00C80AE8" w:rsidRPr="00C80AE8" w:rsidRDefault="00C80AE8" w:rsidP="00C80AE8">
      <w:pPr>
        <w:pStyle w:val="Default"/>
        <w:ind w:left="720"/>
        <w:rPr>
          <w:rFonts w:ascii="Arial" w:hAnsi="Arial" w:cs="Arial"/>
          <w:sz w:val="28"/>
          <w:szCs w:val="28"/>
        </w:rPr>
      </w:pPr>
    </w:p>
    <w:p w14:paraId="1358D16C" w14:textId="5166D6C1" w:rsidR="00C80AE8" w:rsidRDefault="00C80AE8" w:rsidP="00C80AE8">
      <w:pPr>
        <w:pStyle w:val="Default"/>
        <w:rPr>
          <w:rFonts w:ascii="Arial" w:hAnsi="Arial" w:cs="Arial"/>
          <w:sz w:val="28"/>
          <w:szCs w:val="28"/>
        </w:rPr>
      </w:pPr>
    </w:p>
    <w:p w14:paraId="71497EA1" w14:textId="77777777" w:rsidR="00C80AE8" w:rsidRPr="00C80AE8" w:rsidRDefault="00C80AE8" w:rsidP="00C80AE8">
      <w:pPr>
        <w:pStyle w:val="Default"/>
        <w:rPr>
          <w:rFonts w:ascii="Arial" w:hAnsi="Arial" w:cs="Arial"/>
          <w:sz w:val="28"/>
          <w:szCs w:val="28"/>
        </w:rPr>
      </w:pPr>
    </w:p>
    <w:p w14:paraId="15F72B5C" w14:textId="034BD778" w:rsidR="00C80AE8" w:rsidRPr="00C80AE8" w:rsidRDefault="00C80AE8" w:rsidP="00C80AE8"/>
    <w:p w14:paraId="31427583" w14:textId="77777777" w:rsidR="00C80AE8" w:rsidRPr="00C80AE8" w:rsidRDefault="00C80AE8" w:rsidP="00C80AE8"/>
    <w:sectPr w:rsidR="00C80AE8" w:rsidRPr="00C80A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43A2"/>
    <w:multiLevelType w:val="hybridMultilevel"/>
    <w:tmpl w:val="C904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B796D"/>
    <w:multiLevelType w:val="hybridMultilevel"/>
    <w:tmpl w:val="57B6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701C9"/>
    <w:multiLevelType w:val="hybridMultilevel"/>
    <w:tmpl w:val="75B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E8"/>
    <w:rsid w:val="00113C79"/>
    <w:rsid w:val="00463457"/>
    <w:rsid w:val="004E6348"/>
    <w:rsid w:val="00674018"/>
    <w:rsid w:val="00A20D99"/>
    <w:rsid w:val="00AE5F7B"/>
    <w:rsid w:val="00C80AE8"/>
    <w:rsid w:val="00CA052B"/>
    <w:rsid w:val="00F073A5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FFA6A"/>
  <w15:chartTrackingRefBased/>
  <w15:docId w15:val="{A344D584-9F65-4CDF-874B-BF1BFEB1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A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678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Aliferis-Gjerde, Maria@DOR</dc:creator>
  <cp:keywords/>
  <dc:description/>
  <cp:lastModifiedBy>Aliferis-Gjerde, Maria@DOR</cp:lastModifiedBy>
  <cp:revision>7</cp:revision>
  <dcterms:created xsi:type="dcterms:W3CDTF">2022-03-23T19:51:00Z</dcterms:created>
  <dcterms:modified xsi:type="dcterms:W3CDTF">2022-04-14T16:49:00Z</dcterms:modified>
</cp:coreProperties>
</file>