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4B7C" w14:textId="77777777" w:rsidR="00F81632" w:rsidRPr="00D95E62" w:rsidRDefault="00F81632" w:rsidP="00F81632">
      <w:pPr>
        <w:jc w:val="center"/>
        <w:rPr>
          <w:rFonts w:ascii="Arial" w:hAnsi="Arial" w:cs="Arial"/>
          <w:sz w:val="28"/>
          <w:szCs w:val="28"/>
        </w:rPr>
      </w:pPr>
    </w:p>
    <w:p w14:paraId="32DB6497" w14:textId="77777777" w:rsidR="00F81632" w:rsidRPr="00D95E62" w:rsidRDefault="00F81632" w:rsidP="00F81632">
      <w:pPr>
        <w:jc w:val="center"/>
        <w:rPr>
          <w:rFonts w:ascii="Arial" w:hAnsi="Arial" w:cs="Arial"/>
          <w:sz w:val="28"/>
          <w:szCs w:val="28"/>
        </w:rPr>
      </w:pPr>
    </w:p>
    <w:p w14:paraId="31477CED" w14:textId="77777777" w:rsidR="00145DC3" w:rsidRDefault="00145DC3" w:rsidP="00F81632">
      <w:pPr>
        <w:jc w:val="center"/>
        <w:rPr>
          <w:rFonts w:ascii="Arial" w:hAnsi="Arial" w:cs="Arial"/>
          <w:sz w:val="96"/>
          <w:szCs w:val="96"/>
        </w:rPr>
      </w:pPr>
    </w:p>
    <w:p w14:paraId="5F00C062" w14:textId="2E107314" w:rsidR="00F81632" w:rsidRPr="00D95E62" w:rsidRDefault="00F81632" w:rsidP="00F81632">
      <w:pPr>
        <w:jc w:val="center"/>
        <w:rPr>
          <w:rFonts w:ascii="Arial" w:hAnsi="Arial" w:cs="Arial"/>
          <w:sz w:val="96"/>
          <w:szCs w:val="96"/>
        </w:rPr>
      </w:pPr>
      <w:r w:rsidRPr="00D95E62">
        <w:rPr>
          <w:rFonts w:ascii="Arial" w:hAnsi="Arial" w:cs="Arial"/>
          <w:sz w:val="96"/>
          <w:szCs w:val="96"/>
        </w:rPr>
        <w:t xml:space="preserve">CCEPD </w:t>
      </w:r>
    </w:p>
    <w:p w14:paraId="71CDCE92" w14:textId="77777777" w:rsidR="00F81632" w:rsidRPr="00D95E62" w:rsidRDefault="00F81632" w:rsidP="00F81632">
      <w:pPr>
        <w:jc w:val="center"/>
        <w:rPr>
          <w:rFonts w:ascii="Arial" w:hAnsi="Arial" w:cs="Arial"/>
          <w:sz w:val="96"/>
          <w:szCs w:val="96"/>
        </w:rPr>
      </w:pPr>
      <w:r w:rsidRPr="00D95E62">
        <w:rPr>
          <w:rFonts w:ascii="Arial" w:hAnsi="Arial" w:cs="Arial"/>
          <w:sz w:val="96"/>
          <w:szCs w:val="96"/>
        </w:rPr>
        <w:t xml:space="preserve">FULL </w:t>
      </w:r>
    </w:p>
    <w:p w14:paraId="2073071B" w14:textId="77777777" w:rsidR="00F81632" w:rsidRPr="00D95E62" w:rsidRDefault="00F81632" w:rsidP="00F81632">
      <w:pPr>
        <w:jc w:val="center"/>
        <w:rPr>
          <w:rFonts w:ascii="Arial" w:hAnsi="Arial" w:cs="Arial"/>
          <w:sz w:val="96"/>
          <w:szCs w:val="96"/>
        </w:rPr>
      </w:pPr>
      <w:r w:rsidRPr="00D95E62">
        <w:rPr>
          <w:rFonts w:ascii="Arial" w:hAnsi="Arial" w:cs="Arial"/>
          <w:sz w:val="96"/>
          <w:szCs w:val="96"/>
        </w:rPr>
        <w:t xml:space="preserve">COMMITTEE </w:t>
      </w:r>
    </w:p>
    <w:p w14:paraId="7ED16911" w14:textId="77E45213" w:rsidR="00F81632" w:rsidRPr="00D95E62" w:rsidRDefault="00F81632" w:rsidP="00F81632">
      <w:pPr>
        <w:jc w:val="center"/>
        <w:rPr>
          <w:rFonts w:ascii="Arial" w:hAnsi="Arial" w:cs="Arial"/>
          <w:sz w:val="96"/>
          <w:szCs w:val="96"/>
        </w:rPr>
      </w:pPr>
      <w:r w:rsidRPr="00D95E62">
        <w:rPr>
          <w:rFonts w:ascii="Arial" w:hAnsi="Arial" w:cs="Arial"/>
          <w:sz w:val="96"/>
          <w:szCs w:val="96"/>
        </w:rPr>
        <w:t>MEETING</w:t>
      </w:r>
    </w:p>
    <w:p w14:paraId="0D2D96BF" w14:textId="7D50C40D" w:rsidR="00F81632" w:rsidRPr="00D95E62" w:rsidRDefault="00F81632" w:rsidP="00F81632">
      <w:pPr>
        <w:jc w:val="center"/>
        <w:rPr>
          <w:rFonts w:ascii="Arial" w:hAnsi="Arial" w:cs="Arial"/>
          <w:sz w:val="96"/>
          <w:szCs w:val="96"/>
        </w:rPr>
      </w:pPr>
      <w:r w:rsidRPr="00D95E62">
        <w:rPr>
          <w:rFonts w:ascii="Arial" w:hAnsi="Arial" w:cs="Arial"/>
          <w:sz w:val="96"/>
          <w:szCs w:val="96"/>
        </w:rPr>
        <w:t>MAY 19, 2022</w:t>
      </w:r>
    </w:p>
    <w:p w14:paraId="1E7E1BD7" w14:textId="66FEC55E" w:rsidR="00576154" w:rsidRPr="00D95E62" w:rsidRDefault="00576154" w:rsidP="00F81632">
      <w:pPr>
        <w:jc w:val="center"/>
        <w:rPr>
          <w:rFonts w:ascii="Arial" w:hAnsi="Arial" w:cs="Arial"/>
          <w:sz w:val="28"/>
          <w:szCs w:val="28"/>
        </w:rPr>
      </w:pPr>
    </w:p>
    <w:p w14:paraId="56E6A52D" w14:textId="57636C94" w:rsidR="00576154" w:rsidRDefault="00576154" w:rsidP="00F81632">
      <w:pPr>
        <w:jc w:val="center"/>
        <w:rPr>
          <w:rFonts w:ascii="Arial" w:hAnsi="Arial" w:cs="Arial"/>
          <w:sz w:val="28"/>
          <w:szCs w:val="28"/>
        </w:rPr>
      </w:pPr>
    </w:p>
    <w:p w14:paraId="1C495644" w14:textId="447F22C7" w:rsidR="00D95E62" w:rsidRDefault="00D95E62" w:rsidP="00F81632">
      <w:pPr>
        <w:jc w:val="center"/>
        <w:rPr>
          <w:rFonts w:ascii="Arial" w:hAnsi="Arial" w:cs="Arial"/>
          <w:sz w:val="28"/>
          <w:szCs w:val="28"/>
        </w:rPr>
      </w:pPr>
    </w:p>
    <w:p w14:paraId="5C660F59" w14:textId="77777777" w:rsidR="00D95E62" w:rsidRDefault="00D95E62" w:rsidP="00F81632">
      <w:pPr>
        <w:jc w:val="center"/>
        <w:rPr>
          <w:rFonts w:ascii="Arial" w:hAnsi="Arial" w:cs="Arial"/>
          <w:sz w:val="28"/>
          <w:szCs w:val="28"/>
        </w:rPr>
      </w:pPr>
    </w:p>
    <w:p w14:paraId="48C61433" w14:textId="7201C7B0" w:rsidR="00D95E62" w:rsidRDefault="00D95E62" w:rsidP="00F81632">
      <w:pPr>
        <w:jc w:val="center"/>
        <w:rPr>
          <w:rFonts w:ascii="Arial" w:hAnsi="Arial" w:cs="Arial"/>
          <w:sz w:val="28"/>
          <w:szCs w:val="28"/>
        </w:rPr>
      </w:pPr>
    </w:p>
    <w:p w14:paraId="49568FA4" w14:textId="18D16537" w:rsidR="00D95E62" w:rsidRDefault="00D95E62" w:rsidP="00F81632">
      <w:pPr>
        <w:jc w:val="center"/>
        <w:rPr>
          <w:rFonts w:ascii="Arial" w:hAnsi="Arial" w:cs="Arial"/>
          <w:sz w:val="28"/>
          <w:szCs w:val="28"/>
        </w:rPr>
      </w:pPr>
    </w:p>
    <w:p w14:paraId="3424B244" w14:textId="7ED7B8E2" w:rsidR="00D95E62" w:rsidRDefault="00D95E62" w:rsidP="00F81632">
      <w:pPr>
        <w:jc w:val="center"/>
        <w:rPr>
          <w:rFonts w:ascii="Arial" w:hAnsi="Arial" w:cs="Arial"/>
          <w:sz w:val="28"/>
          <w:szCs w:val="28"/>
        </w:rPr>
      </w:pPr>
    </w:p>
    <w:p w14:paraId="34DCC2AB" w14:textId="1424EAAC" w:rsidR="00D95E62" w:rsidRDefault="00D95E62" w:rsidP="00F81632">
      <w:pPr>
        <w:jc w:val="center"/>
        <w:rPr>
          <w:rFonts w:ascii="Arial" w:hAnsi="Arial" w:cs="Arial"/>
          <w:sz w:val="28"/>
          <w:szCs w:val="28"/>
        </w:rPr>
      </w:pPr>
    </w:p>
    <w:p w14:paraId="4BDDE6CA" w14:textId="1AEBC068" w:rsidR="00A96625" w:rsidRDefault="00A96625" w:rsidP="00F81632">
      <w:pPr>
        <w:jc w:val="center"/>
        <w:rPr>
          <w:rFonts w:ascii="Arial" w:hAnsi="Arial" w:cs="Arial"/>
          <w:sz w:val="28"/>
          <w:szCs w:val="28"/>
        </w:rPr>
      </w:pPr>
    </w:p>
    <w:sdt>
      <w:sdtPr>
        <w:rPr>
          <w:rFonts w:asciiTheme="minorHAnsi" w:eastAsiaTheme="minorHAnsi" w:hAnsiTheme="minorHAnsi" w:cstheme="minorBidi"/>
          <w:color w:val="auto"/>
          <w:sz w:val="22"/>
          <w:szCs w:val="22"/>
        </w:rPr>
        <w:id w:val="1366256505"/>
        <w:docPartObj>
          <w:docPartGallery w:val="Table of Contents"/>
          <w:docPartUnique/>
        </w:docPartObj>
      </w:sdtPr>
      <w:sdtEndPr>
        <w:rPr>
          <w:b/>
          <w:bCs/>
          <w:noProof/>
        </w:rPr>
      </w:sdtEndPr>
      <w:sdtContent>
        <w:p w14:paraId="0A917394" w14:textId="56C6EE7C" w:rsidR="00DB381A" w:rsidRPr="00891828" w:rsidRDefault="00DB381A">
          <w:pPr>
            <w:pStyle w:val="TOCHeading"/>
            <w:rPr>
              <w:rFonts w:ascii="Arial" w:hAnsi="Arial" w:cs="Arial"/>
              <w:b/>
              <w:bCs/>
              <w:color w:val="auto"/>
            </w:rPr>
          </w:pPr>
          <w:r w:rsidRPr="00891828">
            <w:rPr>
              <w:rFonts w:ascii="Arial" w:hAnsi="Arial" w:cs="Arial"/>
              <w:b/>
              <w:bCs/>
              <w:color w:val="auto"/>
            </w:rPr>
            <w:t>Contents</w:t>
          </w:r>
        </w:p>
        <w:p w14:paraId="5B5E246C" w14:textId="2318EB92" w:rsidR="00DB381A" w:rsidRPr="00891828" w:rsidRDefault="00DB381A" w:rsidP="00C8778F">
          <w:pPr>
            <w:pStyle w:val="TOC1"/>
            <w:rPr>
              <w:rFonts w:eastAsiaTheme="minorEastAsia" w:cs="Arial"/>
              <w:b w:val="0"/>
              <w:bCs w:val="0"/>
            </w:rPr>
          </w:pPr>
          <w:r w:rsidRPr="00891828">
            <w:rPr>
              <w:rFonts w:cs="Arial"/>
              <w:b w:val="0"/>
              <w:bCs w:val="0"/>
            </w:rPr>
            <w:fldChar w:fldCharType="begin"/>
          </w:r>
          <w:r w:rsidRPr="00891828">
            <w:rPr>
              <w:rFonts w:cs="Arial"/>
              <w:b w:val="0"/>
              <w:bCs w:val="0"/>
            </w:rPr>
            <w:instrText xml:space="preserve"> TOC \o "1-3" \h \z \u </w:instrText>
          </w:r>
          <w:r w:rsidRPr="00891828">
            <w:rPr>
              <w:rFonts w:cs="Arial"/>
              <w:b w:val="0"/>
              <w:bCs w:val="0"/>
            </w:rPr>
            <w:fldChar w:fldCharType="separate"/>
          </w:r>
          <w:hyperlink w:anchor="_Toc103236450" w:history="1">
            <w:r w:rsidRPr="00891828">
              <w:rPr>
                <w:rStyle w:val="Hyperlink"/>
                <w:rFonts w:cs="Arial"/>
                <w:b w:val="0"/>
                <w:bCs w:val="0"/>
              </w:rPr>
              <w:t>M</w:t>
            </w:r>
            <w:r w:rsidR="00C8778F" w:rsidRPr="00891828">
              <w:rPr>
                <w:rStyle w:val="Hyperlink"/>
                <w:rFonts w:cs="Arial"/>
                <w:b w:val="0"/>
                <w:bCs w:val="0"/>
              </w:rPr>
              <w:t>eting Notice and Agenda</w:t>
            </w:r>
            <w:r w:rsidRPr="00891828">
              <w:rPr>
                <w:rFonts w:cs="Arial"/>
                <w:b w:val="0"/>
                <w:bCs w:val="0"/>
                <w:webHidden/>
              </w:rPr>
              <w:tab/>
            </w:r>
            <w:r w:rsidRPr="00891828">
              <w:rPr>
                <w:rFonts w:cs="Arial"/>
                <w:b w:val="0"/>
                <w:bCs w:val="0"/>
                <w:webHidden/>
              </w:rPr>
              <w:fldChar w:fldCharType="begin"/>
            </w:r>
            <w:r w:rsidRPr="00891828">
              <w:rPr>
                <w:rFonts w:cs="Arial"/>
                <w:b w:val="0"/>
                <w:bCs w:val="0"/>
                <w:webHidden/>
              </w:rPr>
              <w:instrText xml:space="preserve"> PAGEREF _Toc103236450 \h </w:instrText>
            </w:r>
            <w:r w:rsidRPr="00891828">
              <w:rPr>
                <w:rFonts w:cs="Arial"/>
                <w:b w:val="0"/>
                <w:bCs w:val="0"/>
                <w:webHidden/>
              </w:rPr>
            </w:r>
            <w:r w:rsidRPr="00891828">
              <w:rPr>
                <w:rFonts w:cs="Arial"/>
                <w:b w:val="0"/>
                <w:bCs w:val="0"/>
                <w:webHidden/>
              </w:rPr>
              <w:fldChar w:fldCharType="separate"/>
            </w:r>
            <w:r w:rsidR="00765C50">
              <w:rPr>
                <w:rFonts w:cs="Arial"/>
                <w:b w:val="0"/>
                <w:bCs w:val="0"/>
                <w:webHidden/>
              </w:rPr>
              <w:t>3</w:t>
            </w:r>
            <w:r w:rsidRPr="00891828">
              <w:rPr>
                <w:rFonts w:cs="Arial"/>
                <w:b w:val="0"/>
                <w:bCs w:val="0"/>
                <w:webHidden/>
              </w:rPr>
              <w:fldChar w:fldCharType="end"/>
            </w:r>
          </w:hyperlink>
        </w:p>
        <w:p w14:paraId="45A821B8" w14:textId="59EE0F62" w:rsidR="00DB381A" w:rsidRPr="00891828" w:rsidRDefault="0066470E" w:rsidP="00C8778F">
          <w:pPr>
            <w:pStyle w:val="TOC1"/>
            <w:rPr>
              <w:rFonts w:eastAsiaTheme="minorEastAsia" w:cs="Arial"/>
              <w:b w:val="0"/>
              <w:bCs w:val="0"/>
              <w:sz w:val="22"/>
              <w:szCs w:val="22"/>
            </w:rPr>
          </w:pPr>
          <w:hyperlink w:anchor="_Toc103236452" w:history="1">
            <w:r w:rsidR="00DB381A" w:rsidRPr="00891828">
              <w:rPr>
                <w:rStyle w:val="Hyperlink"/>
                <w:rFonts w:cs="Arial"/>
                <w:b w:val="0"/>
                <w:bCs w:val="0"/>
              </w:rPr>
              <w:t>F</w:t>
            </w:r>
            <w:r w:rsidR="00C8778F" w:rsidRPr="00891828">
              <w:rPr>
                <w:rStyle w:val="Hyperlink"/>
                <w:rFonts w:cs="Arial"/>
                <w:b w:val="0"/>
                <w:bCs w:val="0"/>
              </w:rPr>
              <w:t>ull Committee Meeting Minutes (Draft</w:t>
            </w:r>
            <w:r w:rsidR="00DB381A" w:rsidRPr="00891828">
              <w:rPr>
                <w:rStyle w:val="Hyperlink"/>
                <w:rFonts w:cs="Arial"/>
                <w:b w:val="0"/>
                <w:bCs w:val="0"/>
              </w:rPr>
              <w:t>)</w:t>
            </w:r>
            <w:r w:rsidR="00DB381A" w:rsidRPr="00891828">
              <w:rPr>
                <w:rFonts w:cs="Arial"/>
                <w:b w:val="0"/>
                <w:bCs w:val="0"/>
                <w:webHidden/>
              </w:rPr>
              <w:tab/>
            </w:r>
            <w:r w:rsidR="00DB381A" w:rsidRPr="00891828">
              <w:rPr>
                <w:rFonts w:cs="Arial"/>
                <w:b w:val="0"/>
                <w:bCs w:val="0"/>
                <w:webHidden/>
              </w:rPr>
              <w:fldChar w:fldCharType="begin"/>
            </w:r>
            <w:r w:rsidR="00DB381A" w:rsidRPr="00891828">
              <w:rPr>
                <w:rFonts w:cs="Arial"/>
                <w:b w:val="0"/>
                <w:bCs w:val="0"/>
                <w:webHidden/>
              </w:rPr>
              <w:instrText xml:space="preserve"> PAGEREF _Toc103236452 \h </w:instrText>
            </w:r>
            <w:r w:rsidR="00DB381A" w:rsidRPr="00891828">
              <w:rPr>
                <w:rFonts w:cs="Arial"/>
                <w:b w:val="0"/>
                <w:bCs w:val="0"/>
                <w:webHidden/>
              </w:rPr>
            </w:r>
            <w:r w:rsidR="00DB381A" w:rsidRPr="00891828">
              <w:rPr>
                <w:rFonts w:cs="Arial"/>
                <w:b w:val="0"/>
                <w:bCs w:val="0"/>
                <w:webHidden/>
              </w:rPr>
              <w:fldChar w:fldCharType="separate"/>
            </w:r>
            <w:r w:rsidR="00765C50">
              <w:rPr>
                <w:rFonts w:cs="Arial"/>
                <w:b w:val="0"/>
                <w:bCs w:val="0"/>
                <w:webHidden/>
              </w:rPr>
              <w:t>6</w:t>
            </w:r>
            <w:r w:rsidR="00DB381A" w:rsidRPr="00891828">
              <w:rPr>
                <w:rFonts w:cs="Arial"/>
                <w:b w:val="0"/>
                <w:bCs w:val="0"/>
                <w:webHidden/>
              </w:rPr>
              <w:fldChar w:fldCharType="end"/>
            </w:r>
          </w:hyperlink>
        </w:p>
        <w:p w14:paraId="5E226B8E" w14:textId="31FFCCD9" w:rsidR="00DB381A" w:rsidRPr="00891828" w:rsidRDefault="0066470E" w:rsidP="00C8778F">
          <w:pPr>
            <w:pStyle w:val="TOC1"/>
            <w:rPr>
              <w:rFonts w:eastAsiaTheme="minorEastAsia" w:cs="Arial"/>
              <w:b w:val="0"/>
              <w:bCs w:val="0"/>
              <w:sz w:val="22"/>
              <w:szCs w:val="22"/>
            </w:rPr>
          </w:pPr>
          <w:hyperlink w:anchor="_Toc103236453" w:history="1">
            <w:r w:rsidR="00DB381A" w:rsidRPr="00891828">
              <w:rPr>
                <w:rStyle w:val="Hyperlink"/>
                <w:rFonts w:cs="Arial"/>
                <w:b w:val="0"/>
                <w:bCs w:val="0"/>
              </w:rPr>
              <w:t>Integrated Benefits Planning Policy Recommendations</w:t>
            </w:r>
            <w:r w:rsidR="00DB381A" w:rsidRPr="00891828">
              <w:rPr>
                <w:rFonts w:cs="Arial"/>
                <w:b w:val="0"/>
                <w:bCs w:val="0"/>
                <w:webHidden/>
              </w:rPr>
              <w:tab/>
            </w:r>
            <w:r w:rsidR="00DB381A" w:rsidRPr="00891828">
              <w:rPr>
                <w:rFonts w:cs="Arial"/>
                <w:b w:val="0"/>
                <w:bCs w:val="0"/>
                <w:webHidden/>
              </w:rPr>
              <w:fldChar w:fldCharType="begin"/>
            </w:r>
            <w:r w:rsidR="00DB381A" w:rsidRPr="00891828">
              <w:rPr>
                <w:rFonts w:cs="Arial"/>
                <w:b w:val="0"/>
                <w:bCs w:val="0"/>
                <w:webHidden/>
              </w:rPr>
              <w:instrText xml:space="preserve"> PAGEREF _Toc103236453 \h </w:instrText>
            </w:r>
            <w:r w:rsidR="00DB381A" w:rsidRPr="00891828">
              <w:rPr>
                <w:rFonts w:cs="Arial"/>
                <w:b w:val="0"/>
                <w:bCs w:val="0"/>
                <w:webHidden/>
              </w:rPr>
            </w:r>
            <w:r w:rsidR="00DB381A" w:rsidRPr="00891828">
              <w:rPr>
                <w:rFonts w:cs="Arial"/>
                <w:b w:val="0"/>
                <w:bCs w:val="0"/>
                <w:webHidden/>
              </w:rPr>
              <w:fldChar w:fldCharType="separate"/>
            </w:r>
            <w:r w:rsidR="00765C50">
              <w:rPr>
                <w:rFonts w:cs="Arial"/>
                <w:b w:val="0"/>
                <w:bCs w:val="0"/>
                <w:webHidden/>
              </w:rPr>
              <w:t>10</w:t>
            </w:r>
            <w:r w:rsidR="00DB381A" w:rsidRPr="00891828">
              <w:rPr>
                <w:rFonts w:cs="Arial"/>
                <w:b w:val="0"/>
                <w:bCs w:val="0"/>
                <w:webHidden/>
              </w:rPr>
              <w:fldChar w:fldCharType="end"/>
            </w:r>
          </w:hyperlink>
        </w:p>
        <w:p w14:paraId="69850D03" w14:textId="506AD41F" w:rsidR="00DB381A" w:rsidRPr="00891828" w:rsidRDefault="0066470E" w:rsidP="00C8778F">
          <w:pPr>
            <w:pStyle w:val="TOC1"/>
            <w:rPr>
              <w:rFonts w:eastAsiaTheme="minorEastAsia" w:cs="Arial"/>
              <w:b w:val="0"/>
              <w:bCs w:val="0"/>
              <w:sz w:val="22"/>
              <w:szCs w:val="22"/>
            </w:rPr>
          </w:pPr>
          <w:hyperlink w:anchor="_Toc103236454" w:history="1">
            <w:r w:rsidR="00DB381A" w:rsidRPr="00891828">
              <w:rPr>
                <w:rStyle w:val="Hyperlink"/>
                <w:rFonts w:cs="Arial"/>
                <w:b w:val="0"/>
                <w:bCs w:val="0"/>
              </w:rPr>
              <w:t>2022 CCEPD Strategic Priorities</w:t>
            </w:r>
            <w:r w:rsidR="00DB381A" w:rsidRPr="00891828">
              <w:rPr>
                <w:rFonts w:cs="Arial"/>
                <w:b w:val="0"/>
                <w:bCs w:val="0"/>
                <w:webHidden/>
              </w:rPr>
              <w:tab/>
            </w:r>
            <w:r w:rsidR="00DB381A" w:rsidRPr="00891828">
              <w:rPr>
                <w:rFonts w:cs="Arial"/>
                <w:b w:val="0"/>
                <w:bCs w:val="0"/>
                <w:webHidden/>
              </w:rPr>
              <w:fldChar w:fldCharType="begin"/>
            </w:r>
            <w:r w:rsidR="00DB381A" w:rsidRPr="00891828">
              <w:rPr>
                <w:rFonts w:cs="Arial"/>
                <w:b w:val="0"/>
                <w:bCs w:val="0"/>
                <w:webHidden/>
              </w:rPr>
              <w:instrText xml:space="preserve"> PAGEREF _Toc103236454 \h </w:instrText>
            </w:r>
            <w:r w:rsidR="00DB381A" w:rsidRPr="00891828">
              <w:rPr>
                <w:rFonts w:cs="Arial"/>
                <w:b w:val="0"/>
                <w:bCs w:val="0"/>
                <w:webHidden/>
              </w:rPr>
            </w:r>
            <w:r w:rsidR="00DB381A" w:rsidRPr="00891828">
              <w:rPr>
                <w:rFonts w:cs="Arial"/>
                <w:b w:val="0"/>
                <w:bCs w:val="0"/>
                <w:webHidden/>
              </w:rPr>
              <w:fldChar w:fldCharType="separate"/>
            </w:r>
            <w:r w:rsidR="00765C50">
              <w:rPr>
                <w:rFonts w:cs="Arial"/>
                <w:b w:val="0"/>
                <w:bCs w:val="0"/>
                <w:webHidden/>
              </w:rPr>
              <w:t>20</w:t>
            </w:r>
            <w:r w:rsidR="00DB381A" w:rsidRPr="00891828">
              <w:rPr>
                <w:rFonts w:cs="Arial"/>
                <w:b w:val="0"/>
                <w:bCs w:val="0"/>
                <w:webHidden/>
              </w:rPr>
              <w:fldChar w:fldCharType="end"/>
            </w:r>
          </w:hyperlink>
        </w:p>
        <w:p w14:paraId="090BA699" w14:textId="70786BA8" w:rsidR="00DB381A" w:rsidRDefault="00DB381A">
          <w:r w:rsidRPr="00891828">
            <w:rPr>
              <w:rFonts w:ascii="Arial" w:hAnsi="Arial" w:cs="Arial"/>
              <w:noProof/>
            </w:rPr>
            <w:fldChar w:fldCharType="end"/>
          </w:r>
        </w:p>
      </w:sdtContent>
    </w:sdt>
    <w:p w14:paraId="61411445" w14:textId="7B387559" w:rsidR="00A96625" w:rsidRDefault="00A96625" w:rsidP="00F81632">
      <w:pPr>
        <w:jc w:val="center"/>
        <w:rPr>
          <w:rFonts w:ascii="Arial" w:hAnsi="Arial" w:cs="Arial"/>
          <w:sz w:val="28"/>
          <w:szCs w:val="28"/>
        </w:rPr>
      </w:pPr>
    </w:p>
    <w:p w14:paraId="3FFAC541" w14:textId="126E1413" w:rsidR="0066506E" w:rsidRDefault="0066506E" w:rsidP="00F81632">
      <w:pPr>
        <w:jc w:val="center"/>
        <w:rPr>
          <w:rFonts w:ascii="Arial" w:hAnsi="Arial" w:cs="Arial"/>
          <w:sz w:val="28"/>
          <w:szCs w:val="28"/>
        </w:rPr>
      </w:pPr>
    </w:p>
    <w:p w14:paraId="2404DEFE" w14:textId="69EB71B0" w:rsidR="0066506E" w:rsidRDefault="0066506E" w:rsidP="00F81632">
      <w:pPr>
        <w:jc w:val="center"/>
        <w:rPr>
          <w:rFonts w:ascii="Arial" w:hAnsi="Arial" w:cs="Arial"/>
          <w:sz w:val="28"/>
          <w:szCs w:val="28"/>
        </w:rPr>
      </w:pPr>
    </w:p>
    <w:p w14:paraId="08756EB8" w14:textId="1C252D09" w:rsidR="0066506E" w:rsidRDefault="0066506E" w:rsidP="00F81632">
      <w:pPr>
        <w:jc w:val="center"/>
        <w:rPr>
          <w:rFonts w:ascii="Arial" w:hAnsi="Arial" w:cs="Arial"/>
          <w:sz w:val="28"/>
          <w:szCs w:val="28"/>
        </w:rPr>
      </w:pPr>
    </w:p>
    <w:p w14:paraId="593D81D8" w14:textId="27AB1190" w:rsidR="0066506E" w:rsidRDefault="0066506E" w:rsidP="00F81632">
      <w:pPr>
        <w:jc w:val="center"/>
        <w:rPr>
          <w:rFonts w:ascii="Arial" w:hAnsi="Arial" w:cs="Arial"/>
          <w:sz w:val="28"/>
          <w:szCs w:val="28"/>
        </w:rPr>
      </w:pPr>
    </w:p>
    <w:p w14:paraId="68CD8FD6" w14:textId="3113EC5F" w:rsidR="0066506E" w:rsidRDefault="0066506E" w:rsidP="00F81632">
      <w:pPr>
        <w:jc w:val="center"/>
        <w:rPr>
          <w:rFonts w:ascii="Arial" w:hAnsi="Arial" w:cs="Arial"/>
          <w:sz w:val="28"/>
          <w:szCs w:val="28"/>
        </w:rPr>
      </w:pPr>
    </w:p>
    <w:p w14:paraId="645FB401" w14:textId="46896CBE" w:rsidR="0066506E" w:rsidRDefault="0066506E" w:rsidP="00F81632">
      <w:pPr>
        <w:jc w:val="center"/>
        <w:rPr>
          <w:rFonts w:ascii="Arial" w:hAnsi="Arial" w:cs="Arial"/>
          <w:sz w:val="28"/>
          <w:szCs w:val="28"/>
        </w:rPr>
      </w:pPr>
    </w:p>
    <w:p w14:paraId="211DA1D2" w14:textId="08D5C53E" w:rsidR="0066506E" w:rsidRDefault="0066506E" w:rsidP="00F81632">
      <w:pPr>
        <w:jc w:val="center"/>
        <w:rPr>
          <w:rFonts w:ascii="Arial" w:hAnsi="Arial" w:cs="Arial"/>
          <w:sz w:val="28"/>
          <w:szCs w:val="28"/>
        </w:rPr>
      </w:pPr>
    </w:p>
    <w:p w14:paraId="0BFC87BC" w14:textId="71EFF137" w:rsidR="0066506E" w:rsidRDefault="0066506E" w:rsidP="00F81632">
      <w:pPr>
        <w:jc w:val="center"/>
        <w:rPr>
          <w:rFonts w:ascii="Arial" w:hAnsi="Arial" w:cs="Arial"/>
          <w:sz w:val="28"/>
          <w:szCs w:val="28"/>
        </w:rPr>
      </w:pPr>
    </w:p>
    <w:p w14:paraId="1D05B47B" w14:textId="7EE9A2EE" w:rsidR="0066506E" w:rsidRDefault="0066506E" w:rsidP="00F81632">
      <w:pPr>
        <w:jc w:val="center"/>
        <w:rPr>
          <w:rFonts w:ascii="Arial" w:hAnsi="Arial" w:cs="Arial"/>
          <w:sz w:val="28"/>
          <w:szCs w:val="28"/>
        </w:rPr>
      </w:pPr>
    </w:p>
    <w:p w14:paraId="641C72E7" w14:textId="3270FE3B" w:rsidR="0066506E" w:rsidRDefault="0066506E" w:rsidP="00F81632">
      <w:pPr>
        <w:jc w:val="center"/>
        <w:rPr>
          <w:rFonts w:ascii="Arial" w:hAnsi="Arial" w:cs="Arial"/>
          <w:sz w:val="28"/>
          <w:szCs w:val="28"/>
        </w:rPr>
      </w:pPr>
    </w:p>
    <w:p w14:paraId="33D5F001" w14:textId="316536A6" w:rsidR="0066506E" w:rsidRDefault="0066506E" w:rsidP="00F81632">
      <w:pPr>
        <w:jc w:val="center"/>
        <w:rPr>
          <w:rFonts w:ascii="Arial" w:hAnsi="Arial" w:cs="Arial"/>
          <w:sz w:val="28"/>
          <w:szCs w:val="28"/>
        </w:rPr>
      </w:pPr>
    </w:p>
    <w:p w14:paraId="12EE4172" w14:textId="59515C4C" w:rsidR="0066506E" w:rsidRDefault="0066506E" w:rsidP="00F81632">
      <w:pPr>
        <w:jc w:val="center"/>
        <w:rPr>
          <w:rFonts w:ascii="Arial" w:hAnsi="Arial" w:cs="Arial"/>
          <w:sz w:val="28"/>
          <w:szCs w:val="28"/>
        </w:rPr>
      </w:pPr>
    </w:p>
    <w:p w14:paraId="214EBE0E" w14:textId="64DDEEE2" w:rsidR="0066506E" w:rsidRDefault="0066506E" w:rsidP="00F81632">
      <w:pPr>
        <w:jc w:val="center"/>
        <w:rPr>
          <w:rFonts w:ascii="Arial" w:hAnsi="Arial" w:cs="Arial"/>
          <w:sz w:val="28"/>
          <w:szCs w:val="28"/>
        </w:rPr>
      </w:pPr>
    </w:p>
    <w:p w14:paraId="31223F1A" w14:textId="09DB8A9C" w:rsidR="0066506E" w:rsidRDefault="0066506E" w:rsidP="00F81632">
      <w:pPr>
        <w:jc w:val="center"/>
        <w:rPr>
          <w:rFonts w:ascii="Arial" w:hAnsi="Arial" w:cs="Arial"/>
          <w:sz w:val="28"/>
          <w:szCs w:val="28"/>
        </w:rPr>
      </w:pPr>
    </w:p>
    <w:p w14:paraId="4661450F" w14:textId="1CA327BE" w:rsidR="0066506E" w:rsidRDefault="0066506E" w:rsidP="00F81632">
      <w:pPr>
        <w:jc w:val="center"/>
        <w:rPr>
          <w:rFonts w:ascii="Arial" w:hAnsi="Arial" w:cs="Arial"/>
          <w:sz w:val="28"/>
          <w:szCs w:val="28"/>
        </w:rPr>
      </w:pPr>
    </w:p>
    <w:p w14:paraId="3A386EF4" w14:textId="220552B2" w:rsidR="0066506E" w:rsidRDefault="0066506E" w:rsidP="00F81632">
      <w:pPr>
        <w:jc w:val="center"/>
        <w:rPr>
          <w:rFonts w:ascii="Arial" w:hAnsi="Arial" w:cs="Arial"/>
          <w:sz w:val="28"/>
          <w:szCs w:val="28"/>
        </w:rPr>
      </w:pPr>
    </w:p>
    <w:p w14:paraId="41423827" w14:textId="24710091" w:rsidR="0066506E" w:rsidRDefault="0066506E" w:rsidP="00F81632">
      <w:pPr>
        <w:jc w:val="center"/>
        <w:rPr>
          <w:rFonts w:ascii="Arial" w:hAnsi="Arial" w:cs="Arial"/>
          <w:sz w:val="28"/>
          <w:szCs w:val="28"/>
        </w:rPr>
      </w:pPr>
    </w:p>
    <w:p w14:paraId="0EB477AF" w14:textId="77777777" w:rsidR="00D95E62" w:rsidRPr="00D95E62" w:rsidRDefault="00D95E62" w:rsidP="00D95E62">
      <w:pPr>
        <w:jc w:val="center"/>
        <w:rPr>
          <w:rFonts w:ascii="Arial" w:hAnsi="Arial" w:cs="Arial"/>
          <w:b/>
          <w:sz w:val="28"/>
          <w:szCs w:val="28"/>
        </w:rPr>
      </w:pPr>
      <w:r w:rsidRPr="00D95E62">
        <w:rPr>
          <w:rFonts w:ascii="Arial" w:hAnsi="Arial" w:cs="Arial"/>
          <w:b/>
          <w:sz w:val="28"/>
          <w:szCs w:val="28"/>
        </w:rPr>
        <w:lastRenderedPageBreak/>
        <w:t>California Committee on Employment of People with Disabilities (CCEPD)</w:t>
      </w:r>
    </w:p>
    <w:p w14:paraId="5907FF44" w14:textId="28A5C365" w:rsidR="00F84732" w:rsidRPr="00891828" w:rsidRDefault="00D95E62" w:rsidP="0008785F">
      <w:pPr>
        <w:pStyle w:val="Heading1"/>
        <w:rPr>
          <w:sz w:val="28"/>
          <w:szCs w:val="28"/>
        </w:rPr>
      </w:pPr>
      <w:bookmarkStart w:id="0" w:name="_Toc103236450"/>
      <w:r w:rsidRPr="00891828">
        <w:rPr>
          <w:sz w:val="28"/>
          <w:szCs w:val="28"/>
        </w:rPr>
        <w:t>MEETING NOTICE AND AGENDA</w:t>
      </w:r>
      <w:bookmarkEnd w:id="0"/>
    </w:p>
    <w:p w14:paraId="5203F457" w14:textId="1CEA067F" w:rsidR="00D95E62" w:rsidRPr="00703373" w:rsidRDefault="00D95E62" w:rsidP="00F84732">
      <w:pPr>
        <w:spacing w:after="0"/>
        <w:jc w:val="center"/>
        <w:rPr>
          <w:rFonts w:ascii="Arial" w:hAnsi="Arial" w:cs="Arial"/>
          <w:b/>
          <w:sz w:val="28"/>
          <w:szCs w:val="28"/>
        </w:rPr>
      </w:pPr>
      <w:r w:rsidRPr="00D95E62">
        <w:rPr>
          <w:rFonts w:ascii="Arial" w:hAnsi="Arial" w:cs="Arial"/>
          <w:sz w:val="28"/>
          <w:szCs w:val="28"/>
        </w:rPr>
        <w:t>Thursday, May 19, 2022</w:t>
      </w:r>
    </w:p>
    <w:p w14:paraId="7CC187BE" w14:textId="77777777" w:rsidR="00D95E62" w:rsidRPr="00D95E62" w:rsidRDefault="00D95E62" w:rsidP="00F84732">
      <w:pPr>
        <w:spacing w:after="0"/>
        <w:jc w:val="center"/>
        <w:rPr>
          <w:rFonts w:ascii="Arial" w:hAnsi="Arial" w:cs="Arial"/>
          <w:sz w:val="28"/>
          <w:szCs w:val="28"/>
        </w:rPr>
      </w:pPr>
      <w:r w:rsidRPr="00D95E62">
        <w:rPr>
          <w:rFonts w:ascii="Arial" w:hAnsi="Arial" w:cs="Arial"/>
          <w:sz w:val="28"/>
          <w:szCs w:val="28"/>
        </w:rPr>
        <w:t>9:00 a.m. – 12:00 p.m.</w:t>
      </w:r>
    </w:p>
    <w:p w14:paraId="27817192" w14:textId="77777777" w:rsidR="00D95E62" w:rsidRPr="00D95E62" w:rsidRDefault="00D95E62" w:rsidP="00F84732">
      <w:pPr>
        <w:spacing w:after="0"/>
        <w:jc w:val="center"/>
        <w:rPr>
          <w:rFonts w:ascii="Arial" w:hAnsi="Arial" w:cs="Arial"/>
          <w:sz w:val="28"/>
          <w:szCs w:val="28"/>
        </w:rPr>
      </w:pPr>
      <w:r w:rsidRPr="00D95E62">
        <w:rPr>
          <w:rFonts w:ascii="Arial" w:hAnsi="Arial" w:cs="Arial"/>
          <w:sz w:val="28"/>
          <w:szCs w:val="28"/>
        </w:rPr>
        <w:t>721 Capitol Mall, Room 301</w:t>
      </w:r>
    </w:p>
    <w:p w14:paraId="2BEEB718" w14:textId="77777777" w:rsidR="00D95E62" w:rsidRPr="00D95E62" w:rsidRDefault="00D95E62" w:rsidP="00F84732">
      <w:pPr>
        <w:spacing w:after="0"/>
        <w:jc w:val="center"/>
        <w:rPr>
          <w:rFonts w:ascii="Arial" w:hAnsi="Arial" w:cs="Arial"/>
          <w:sz w:val="28"/>
          <w:szCs w:val="28"/>
        </w:rPr>
      </w:pPr>
      <w:r w:rsidRPr="00D95E62">
        <w:rPr>
          <w:rFonts w:ascii="Arial" w:hAnsi="Arial" w:cs="Arial"/>
          <w:sz w:val="28"/>
          <w:szCs w:val="28"/>
        </w:rPr>
        <w:t>Sacramento, CA</w:t>
      </w:r>
    </w:p>
    <w:p w14:paraId="7FF2F160" w14:textId="77777777" w:rsidR="00D95E62" w:rsidRPr="00D95E62" w:rsidRDefault="00D95E62" w:rsidP="00D95E62">
      <w:pPr>
        <w:jc w:val="center"/>
        <w:rPr>
          <w:rFonts w:ascii="Arial" w:hAnsi="Arial" w:cs="Arial"/>
          <w:sz w:val="28"/>
          <w:szCs w:val="28"/>
        </w:rPr>
      </w:pPr>
    </w:p>
    <w:p w14:paraId="2622F207" w14:textId="77777777" w:rsidR="00D95E62" w:rsidRPr="00D95E62" w:rsidRDefault="00D95E62" w:rsidP="00D95E62">
      <w:pPr>
        <w:rPr>
          <w:rFonts w:ascii="Arial" w:hAnsi="Arial" w:cs="Arial"/>
          <w:b/>
          <w:bCs/>
          <w:sz w:val="28"/>
          <w:szCs w:val="28"/>
          <w:u w:val="single"/>
        </w:rPr>
      </w:pPr>
      <w:r w:rsidRPr="00D95E62">
        <w:rPr>
          <w:rFonts w:ascii="Arial" w:hAnsi="Arial" w:cs="Arial"/>
          <w:b/>
          <w:bCs/>
          <w:sz w:val="28"/>
          <w:szCs w:val="28"/>
          <w:u w:val="single"/>
        </w:rPr>
        <w:t>Other Public Participation Options</w:t>
      </w:r>
    </w:p>
    <w:p w14:paraId="25ABBDA7" w14:textId="77777777" w:rsidR="00D95E62" w:rsidRPr="00D95E62" w:rsidRDefault="00D95E62" w:rsidP="00F84732">
      <w:pPr>
        <w:spacing w:after="0"/>
        <w:rPr>
          <w:rFonts w:ascii="Arial" w:hAnsi="Arial" w:cs="Arial"/>
          <w:sz w:val="28"/>
          <w:szCs w:val="28"/>
        </w:rPr>
      </w:pPr>
      <w:bookmarkStart w:id="1" w:name="_Hlk101334358"/>
      <w:r w:rsidRPr="00D95E62">
        <w:rPr>
          <w:rFonts w:ascii="Arial" w:hAnsi="Arial" w:cs="Arial"/>
          <w:b/>
          <w:sz w:val="28"/>
          <w:szCs w:val="28"/>
        </w:rPr>
        <w:t>Video Conference</w:t>
      </w:r>
      <w:r w:rsidRPr="00D95E62">
        <w:rPr>
          <w:rFonts w:ascii="Arial" w:hAnsi="Arial" w:cs="Arial"/>
          <w:sz w:val="28"/>
          <w:szCs w:val="28"/>
        </w:rPr>
        <w:t xml:space="preserve">: </w:t>
      </w:r>
      <w:hyperlink r:id="rId7" w:history="1">
        <w:r w:rsidRPr="00D95E62">
          <w:rPr>
            <w:rStyle w:val="Hyperlink"/>
            <w:rFonts w:ascii="Arial" w:hAnsi="Arial" w:cs="Arial"/>
            <w:sz w:val="28"/>
            <w:szCs w:val="28"/>
          </w:rPr>
          <w:t>Zoom</w:t>
        </w:r>
      </w:hyperlink>
      <w:r w:rsidRPr="00D95E62">
        <w:rPr>
          <w:rFonts w:ascii="Arial" w:hAnsi="Arial" w:cs="Arial"/>
          <w:sz w:val="28"/>
          <w:szCs w:val="28"/>
        </w:rPr>
        <w:t xml:space="preserve"> </w:t>
      </w:r>
    </w:p>
    <w:p w14:paraId="74EE1B27" w14:textId="62D2125F" w:rsidR="00D95E62" w:rsidRPr="00D95E62" w:rsidRDefault="00D95E62" w:rsidP="00F84732">
      <w:pPr>
        <w:spacing w:after="0"/>
        <w:rPr>
          <w:rFonts w:ascii="Arial" w:hAnsi="Arial" w:cs="Arial"/>
          <w:sz w:val="28"/>
          <w:szCs w:val="28"/>
        </w:rPr>
      </w:pPr>
      <w:r w:rsidRPr="00D95E62">
        <w:rPr>
          <w:rFonts w:ascii="Arial" w:hAnsi="Arial" w:cs="Arial"/>
          <w:sz w:val="28"/>
          <w:szCs w:val="28"/>
        </w:rPr>
        <w:t>Use Meeting ID: 824 0358 1728 and Passcode: Y8%Cg7Cf</w:t>
      </w:r>
    </w:p>
    <w:p w14:paraId="6D948AD2" w14:textId="77777777" w:rsidR="00D95E62" w:rsidRPr="00D95E62" w:rsidRDefault="00D95E62" w:rsidP="00F84732">
      <w:pPr>
        <w:spacing w:after="0"/>
        <w:rPr>
          <w:rFonts w:ascii="Arial" w:hAnsi="Arial" w:cs="Arial"/>
          <w:sz w:val="28"/>
          <w:szCs w:val="28"/>
        </w:rPr>
      </w:pPr>
      <w:r w:rsidRPr="00D95E62">
        <w:rPr>
          <w:rFonts w:ascii="Arial" w:hAnsi="Arial" w:cs="Arial"/>
          <w:b/>
          <w:sz w:val="28"/>
          <w:szCs w:val="28"/>
        </w:rPr>
        <w:t>Teleconference</w:t>
      </w:r>
      <w:r w:rsidRPr="00D95E62">
        <w:rPr>
          <w:rFonts w:ascii="Arial" w:hAnsi="Arial" w:cs="Arial"/>
          <w:sz w:val="28"/>
          <w:szCs w:val="28"/>
        </w:rPr>
        <w:t>: (408) 638-0968</w:t>
      </w:r>
    </w:p>
    <w:p w14:paraId="769E8A9B" w14:textId="13B0AC05" w:rsidR="00D95E62" w:rsidRDefault="00D95E62" w:rsidP="00F84732">
      <w:pPr>
        <w:spacing w:after="0"/>
        <w:rPr>
          <w:rFonts w:ascii="Arial" w:hAnsi="Arial" w:cs="Arial"/>
          <w:sz w:val="28"/>
          <w:szCs w:val="28"/>
        </w:rPr>
      </w:pPr>
      <w:r w:rsidRPr="00D95E62">
        <w:rPr>
          <w:rFonts w:ascii="Arial" w:hAnsi="Arial" w:cs="Arial"/>
          <w:sz w:val="28"/>
          <w:szCs w:val="28"/>
        </w:rPr>
        <w:t>Use Meeting ID: 824 0358 1728 and Passcode: 54599351</w:t>
      </w:r>
    </w:p>
    <w:p w14:paraId="7BC3E852" w14:textId="77777777" w:rsidR="00F84732" w:rsidRPr="00D95E62" w:rsidRDefault="00F84732" w:rsidP="00F84732">
      <w:pPr>
        <w:spacing w:after="0"/>
        <w:rPr>
          <w:rFonts w:ascii="Arial" w:hAnsi="Arial" w:cs="Arial"/>
          <w:sz w:val="28"/>
          <w:szCs w:val="28"/>
        </w:rPr>
      </w:pPr>
    </w:p>
    <w:p w14:paraId="78200EED" w14:textId="5A240BE6" w:rsidR="00D95E62" w:rsidRPr="00D95E62" w:rsidRDefault="00D95E62" w:rsidP="00F84732">
      <w:pPr>
        <w:keepNext/>
        <w:keepLines/>
        <w:jc w:val="center"/>
        <w:outlineLvl w:val="1"/>
        <w:rPr>
          <w:rFonts w:ascii="Arial" w:eastAsiaTheme="majorEastAsia" w:hAnsi="Arial" w:cs="Arial"/>
          <w:b/>
          <w:bCs/>
          <w:sz w:val="28"/>
          <w:szCs w:val="28"/>
          <w:u w:val="single"/>
        </w:rPr>
      </w:pPr>
      <w:bookmarkStart w:id="2" w:name="_Toc103161132"/>
      <w:bookmarkStart w:id="3" w:name="_Toc103236451"/>
      <w:bookmarkEnd w:id="1"/>
      <w:r w:rsidRPr="00D95E62">
        <w:rPr>
          <w:rFonts w:ascii="Arial" w:eastAsiaTheme="majorEastAsia" w:hAnsi="Arial" w:cs="Arial"/>
          <w:b/>
          <w:bCs/>
          <w:sz w:val="28"/>
          <w:szCs w:val="28"/>
          <w:u w:val="single"/>
        </w:rPr>
        <w:t>Meeting Agenda</w:t>
      </w:r>
      <w:bookmarkEnd w:id="2"/>
      <w:bookmarkEnd w:id="3"/>
      <w:r w:rsidR="008D2861">
        <w:rPr>
          <w:rFonts w:ascii="Arial" w:eastAsiaTheme="majorEastAsia" w:hAnsi="Arial" w:cs="Arial"/>
          <w:b/>
          <w:bCs/>
          <w:sz w:val="28"/>
          <w:szCs w:val="28"/>
          <w:u w:val="single"/>
        </w:rPr>
        <w:t xml:space="preserve"> </w:t>
      </w:r>
    </w:p>
    <w:p w14:paraId="00E98ED7" w14:textId="77777777" w:rsidR="00D95E62" w:rsidRPr="00D95E62" w:rsidRDefault="00D95E62" w:rsidP="00D95E62">
      <w:pPr>
        <w:pStyle w:val="Default"/>
        <w:numPr>
          <w:ilvl w:val="0"/>
          <w:numId w:val="1"/>
        </w:numPr>
        <w:tabs>
          <w:tab w:val="left" w:pos="7920"/>
        </w:tabs>
        <w:ind w:left="900" w:hanging="540"/>
        <w:rPr>
          <w:rFonts w:ascii="Arial" w:eastAsia="Times New Roman" w:hAnsi="Arial" w:cs="Arial"/>
          <w:b/>
          <w:color w:val="auto"/>
          <w:sz w:val="28"/>
          <w:szCs w:val="28"/>
        </w:rPr>
      </w:pPr>
      <w:r w:rsidRPr="00D95E62">
        <w:rPr>
          <w:rFonts w:ascii="Arial" w:eastAsia="Times New Roman" w:hAnsi="Arial" w:cs="Arial"/>
          <w:b/>
          <w:color w:val="auto"/>
          <w:sz w:val="28"/>
          <w:szCs w:val="28"/>
        </w:rPr>
        <w:t>Welcome and Introductions</w:t>
      </w:r>
      <w:r w:rsidRPr="00D95E62">
        <w:rPr>
          <w:rFonts w:ascii="Arial" w:eastAsia="Times New Roman" w:hAnsi="Arial" w:cs="Arial"/>
          <w:b/>
          <w:color w:val="auto"/>
          <w:sz w:val="28"/>
          <w:szCs w:val="28"/>
        </w:rPr>
        <w:tab/>
      </w:r>
    </w:p>
    <w:p w14:paraId="1B198195" w14:textId="77777777" w:rsidR="00D95E62" w:rsidRPr="00D95E62" w:rsidRDefault="00D95E62" w:rsidP="00D95E62">
      <w:pPr>
        <w:pStyle w:val="Default"/>
        <w:ind w:left="900"/>
        <w:rPr>
          <w:rFonts w:ascii="Arial" w:eastAsia="Times New Roman" w:hAnsi="Arial" w:cs="Arial"/>
          <w:color w:val="auto"/>
          <w:sz w:val="28"/>
          <w:szCs w:val="28"/>
        </w:rPr>
      </w:pPr>
      <w:r w:rsidRPr="00D95E62">
        <w:rPr>
          <w:rFonts w:ascii="Arial" w:eastAsia="Times New Roman" w:hAnsi="Arial" w:cs="Arial"/>
          <w:color w:val="auto"/>
          <w:sz w:val="28"/>
          <w:szCs w:val="28"/>
        </w:rPr>
        <w:t xml:space="preserve">Taylor Winchell, Vice-Chair, CCEPD </w:t>
      </w:r>
    </w:p>
    <w:p w14:paraId="3C8D02CD" w14:textId="77777777" w:rsidR="00D95E62" w:rsidRPr="00D95E62" w:rsidRDefault="00D95E62" w:rsidP="00D95E62">
      <w:pPr>
        <w:pStyle w:val="ListParagraph"/>
        <w:ind w:left="900"/>
        <w:rPr>
          <w:rFonts w:eastAsia="Times New Roman" w:cs="Arial"/>
          <w:b/>
          <w:szCs w:val="28"/>
        </w:rPr>
      </w:pPr>
    </w:p>
    <w:p w14:paraId="08B1575E" w14:textId="77777777" w:rsidR="00D95E62" w:rsidRPr="00D95E62" w:rsidRDefault="00D95E62" w:rsidP="00D95E62">
      <w:pPr>
        <w:pStyle w:val="Default"/>
        <w:numPr>
          <w:ilvl w:val="0"/>
          <w:numId w:val="1"/>
        </w:numPr>
        <w:ind w:left="900" w:hanging="540"/>
        <w:rPr>
          <w:rFonts w:ascii="Arial" w:eastAsia="Times New Roman" w:hAnsi="Arial" w:cs="Arial"/>
          <w:bCs/>
          <w:color w:val="auto"/>
          <w:sz w:val="28"/>
          <w:szCs w:val="28"/>
        </w:rPr>
      </w:pPr>
      <w:r w:rsidRPr="00D95E62">
        <w:rPr>
          <w:rFonts w:ascii="Arial" w:eastAsia="Times New Roman" w:hAnsi="Arial" w:cs="Arial"/>
          <w:b/>
          <w:color w:val="auto"/>
          <w:sz w:val="28"/>
          <w:szCs w:val="28"/>
        </w:rPr>
        <w:t xml:space="preserve">Employment Development Department (EDD) Directorate Discussion </w:t>
      </w:r>
    </w:p>
    <w:p w14:paraId="167167B3" w14:textId="77777777" w:rsidR="00D95E62" w:rsidRPr="00D95E62" w:rsidRDefault="00D95E62" w:rsidP="00D95E62">
      <w:pPr>
        <w:pStyle w:val="Default"/>
        <w:ind w:left="900"/>
        <w:rPr>
          <w:rFonts w:ascii="Arial" w:eastAsia="Times New Roman" w:hAnsi="Arial" w:cs="Arial"/>
          <w:bCs/>
          <w:color w:val="auto"/>
          <w:sz w:val="28"/>
          <w:szCs w:val="28"/>
        </w:rPr>
      </w:pPr>
      <w:r w:rsidRPr="00D95E62">
        <w:rPr>
          <w:rFonts w:ascii="Arial" w:eastAsia="Times New Roman" w:hAnsi="Arial" w:cs="Arial"/>
          <w:bCs/>
          <w:color w:val="auto"/>
          <w:sz w:val="28"/>
          <w:szCs w:val="28"/>
        </w:rPr>
        <w:t>Nancy Farias, Director, EDD</w:t>
      </w:r>
    </w:p>
    <w:p w14:paraId="17A3FA7F" w14:textId="77777777" w:rsidR="00D95E62" w:rsidRPr="00D95E62" w:rsidRDefault="00D95E62" w:rsidP="00D95E62">
      <w:pPr>
        <w:pStyle w:val="Default"/>
        <w:ind w:left="900"/>
        <w:rPr>
          <w:rFonts w:ascii="Arial" w:eastAsia="Times New Roman" w:hAnsi="Arial" w:cs="Arial"/>
          <w:b/>
          <w:color w:val="auto"/>
          <w:sz w:val="28"/>
          <w:szCs w:val="28"/>
        </w:rPr>
      </w:pPr>
    </w:p>
    <w:p w14:paraId="08CDA405" w14:textId="77777777" w:rsidR="00D95E62" w:rsidRPr="00D95E62" w:rsidRDefault="00D95E62" w:rsidP="00D95E62">
      <w:pPr>
        <w:pStyle w:val="ListParagraph"/>
        <w:numPr>
          <w:ilvl w:val="0"/>
          <w:numId w:val="1"/>
        </w:numPr>
        <w:ind w:left="900" w:hanging="540"/>
        <w:rPr>
          <w:rFonts w:eastAsia="Times New Roman" w:cs="Arial"/>
          <w:b/>
          <w:bCs/>
          <w:szCs w:val="28"/>
        </w:rPr>
      </w:pPr>
      <w:bookmarkStart w:id="4" w:name="_Hlk101334543"/>
      <w:r w:rsidRPr="00D95E62">
        <w:rPr>
          <w:rFonts w:eastAsia="Times New Roman" w:cs="Arial"/>
          <w:b/>
          <w:bCs/>
          <w:szCs w:val="28"/>
        </w:rPr>
        <w:t>Post-Pandemic Trends in Labor Market</w:t>
      </w:r>
      <w:bookmarkEnd w:id="4"/>
    </w:p>
    <w:p w14:paraId="541A0B0A" w14:textId="77777777" w:rsidR="00D95E62" w:rsidRPr="00D95E62" w:rsidRDefault="00D95E62" w:rsidP="00D95E62">
      <w:pPr>
        <w:pStyle w:val="ListParagraph"/>
        <w:ind w:left="900"/>
        <w:rPr>
          <w:rFonts w:eastAsia="Times New Roman" w:cs="Arial"/>
          <w:szCs w:val="28"/>
        </w:rPr>
      </w:pPr>
      <w:r w:rsidRPr="00D95E62">
        <w:rPr>
          <w:rFonts w:eastAsia="Times New Roman" w:cs="Arial"/>
          <w:szCs w:val="28"/>
        </w:rPr>
        <w:t>Brandon Hooker, Senior Research Data Specialist, Labor Market Information Division, Employment Development Department</w:t>
      </w:r>
    </w:p>
    <w:p w14:paraId="06265375" w14:textId="77777777" w:rsidR="00D95E62" w:rsidRPr="00D95E62" w:rsidRDefault="00D95E62" w:rsidP="00D95E62">
      <w:pPr>
        <w:pStyle w:val="ListParagraph"/>
        <w:ind w:left="900"/>
        <w:rPr>
          <w:rFonts w:eastAsia="Times New Roman" w:cs="Arial"/>
          <w:b/>
          <w:bCs/>
          <w:szCs w:val="28"/>
        </w:rPr>
      </w:pPr>
    </w:p>
    <w:p w14:paraId="075C544C" w14:textId="0FF796EC" w:rsidR="00D95E62" w:rsidRPr="00D95E62" w:rsidRDefault="00D95E62" w:rsidP="00D95E62">
      <w:pPr>
        <w:pStyle w:val="Default"/>
        <w:numPr>
          <w:ilvl w:val="0"/>
          <w:numId w:val="1"/>
        </w:numPr>
        <w:rPr>
          <w:rFonts w:ascii="Arial" w:eastAsia="Times New Roman" w:hAnsi="Arial" w:cs="Arial"/>
          <w:b/>
          <w:color w:val="auto"/>
          <w:sz w:val="28"/>
          <w:szCs w:val="28"/>
        </w:rPr>
      </w:pPr>
      <w:r w:rsidRPr="00D95E62">
        <w:rPr>
          <w:rFonts w:ascii="Arial" w:eastAsia="Times New Roman" w:hAnsi="Arial" w:cs="Arial"/>
          <w:b/>
          <w:color w:val="auto"/>
          <w:sz w:val="28"/>
          <w:szCs w:val="28"/>
        </w:rPr>
        <w:t xml:space="preserve"> Approval of February 2022 CCEPD Full Committee </w:t>
      </w:r>
      <w:r w:rsidR="00A96625" w:rsidRPr="00D95E62">
        <w:rPr>
          <w:rFonts w:ascii="Arial" w:eastAsia="Times New Roman" w:hAnsi="Arial" w:cs="Arial"/>
          <w:b/>
          <w:color w:val="auto"/>
          <w:sz w:val="28"/>
          <w:szCs w:val="28"/>
        </w:rPr>
        <w:t>Meeting Minutes</w:t>
      </w:r>
      <w:r w:rsidRPr="00D95E62">
        <w:rPr>
          <w:rFonts w:ascii="Arial" w:eastAsia="Times New Roman" w:hAnsi="Arial" w:cs="Arial"/>
          <w:b/>
          <w:color w:val="auto"/>
          <w:sz w:val="28"/>
          <w:szCs w:val="28"/>
        </w:rPr>
        <w:t xml:space="preserve"> </w:t>
      </w:r>
    </w:p>
    <w:p w14:paraId="7C1AA233" w14:textId="77777777" w:rsidR="00D95E62" w:rsidRPr="00D95E62" w:rsidRDefault="00D95E62" w:rsidP="00D95E62">
      <w:pPr>
        <w:pStyle w:val="Default"/>
        <w:ind w:left="900"/>
        <w:rPr>
          <w:rFonts w:ascii="Arial" w:eastAsia="Times New Roman" w:hAnsi="Arial" w:cs="Arial"/>
          <w:bCs/>
          <w:color w:val="auto"/>
          <w:sz w:val="28"/>
          <w:szCs w:val="28"/>
        </w:rPr>
      </w:pPr>
      <w:bookmarkStart w:id="5" w:name="_Hlk85447320"/>
      <w:r w:rsidRPr="00D95E62">
        <w:rPr>
          <w:rFonts w:ascii="Arial" w:eastAsia="Times New Roman" w:hAnsi="Arial" w:cs="Arial"/>
          <w:bCs/>
          <w:color w:val="auto"/>
          <w:sz w:val="28"/>
          <w:szCs w:val="28"/>
        </w:rPr>
        <w:t>Taylor Winchell, Vice-Chair, CCEPD</w:t>
      </w:r>
    </w:p>
    <w:p w14:paraId="24CD8061" w14:textId="77777777" w:rsidR="00D95E62" w:rsidRPr="00D95E62" w:rsidRDefault="00D95E62" w:rsidP="00D95E62">
      <w:pPr>
        <w:pStyle w:val="Default"/>
        <w:ind w:left="900"/>
        <w:rPr>
          <w:rFonts w:ascii="Arial" w:eastAsia="Times New Roman" w:hAnsi="Arial" w:cs="Arial"/>
          <w:bCs/>
          <w:color w:val="auto"/>
          <w:sz w:val="28"/>
          <w:szCs w:val="28"/>
        </w:rPr>
      </w:pPr>
    </w:p>
    <w:p w14:paraId="7AC2DAD5" w14:textId="77777777" w:rsidR="00D95E62" w:rsidRPr="00D95E62" w:rsidRDefault="00D95E62" w:rsidP="00D95E62">
      <w:pPr>
        <w:pStyle w:val="ListParagraph"/>
        <w:ind w:left="900"/>
        <w:rPr>
          <w:rFonts w:eastAsia="Times New Roman" w:cs="Arial"/>
          <w:szCs w:val="28"/>
        </w:rPr>
      </w:pPr>
      <w:r w:rsidRPr="00D95E62">
        <w:rPr>
          <w:rFonts w:eastAsia="Times New Roman" w:cs="Arial"/>
          <w:b/>
          <w:szCs w:val="28"/>
        </w:rPr>
        <w:t>Break</w:t>
      </w:r>
      <w:r w:rsidRPr="00D95E62">
        <w:rPr>
          <w:rFonts w:eastAsia="Times New Roman" w:cs="Arial"/>
          <w:bCs/>
          <w:szCs w:val="28"/>
        </w:rPr>
        <w:tab/>
      </w:r>
      <w:r w:rsidRPr="00D95E62">
        <w:rPr>
          <w:rFonts w:eastAsia="Times New Roman" w:cs="Arial"/>
          <w:bCs/>
          <w:szCs w:val="28"/>
        </w:rPr>
        <w:tab/>
      </w:r>
      <w:r w:rsidRPr="00D95E62">
        <w:rPr>
          <w:rFonts w:eastAsia="Times New Roman" w:cs="Arial"/>
          <w:bCs/>
          <w:szCs w:val="28"/>
        </w:rPr>
        <w:tab/>
      </w:r>
      <w:r w:rsidRPr="00D95E62">
        <w:rPr>
          <w:rFonts w:eastAsia="Times New Roman" w:cs="Arial"/>
          <w:bCs/>
          <w:szCs w:val="28"/>
        </w:rPr>
        <w:tab/>
        <w:t>10:35-10:50 a.m.</w:t>
      </w:r>
    </w:p>
    <w:bookmarkEnd w:id="5"/>
    <w:p w14:paraId="2052162A" w14:textId="77777777" w:rsidR="00D95E62" w:rsidRPr="00D95E62" w:rsidRDefault="00D95E62" w:rsidP="00D95E62">
      <w:pPr>
        <w:pStyle w:val="ListParagraph"/>
        <w:ind w:left="900"/>
        <w:rPr>
          <w:rFonts w:eastAsia="Times New Roman" w:cs="Arial"/>
          <w:b/>
          <w:bCs/>
          <w:color w:val="FF0000"/>
          <w:szCs w:val="28"/>
        </w:rPr>
      </w:pPr>
    </w:p>
    <w:p w14:paraId="08291B9C" w14:textId="77777777" w:rsidR="00D95E62" w:rsidRPr="00D95E62" w:rsidRDefault="00D95E62" w:rsidP="00D95E62">
      <w:pPr>
        <w:pStyle w:val="ListParagraph"/>
        <w:numPr>
          <w:ilvl w:val="0"/>
          <w:numId w:val="1"/>
        </w:numPr>
        <w:ind w:left="900" w:hanging="540"/>
        <w:rPr>
          <w:rFonts w:eastAsia="Times New Roman" w:cs="Arial"/>
          <w:szCs w:val="28"/>
        </w:rPr>
      </w:pPr>
      <w:r w:rsidRPr="00D95E62">
        <w:rPr>
          <w:rFonts w:eastAsia="Times New Roman" w:cs="Arial"/>
          <w:b/>
          <w:bCs/>
          <w:szCs w:val="28"/>
        </w:rPr>
        <w:t xml:space="preserve">Approval of Benefits Planning Recommendations </w:t>
      </w:r>
    </w:p>
    <w:p w14:paraId="2C14D4B0" w14:textId="77777777" w:rsidR="00D95E62" w:rsidRPr="00D95E62" w:rsidRDefault="00D95E62" w:rsidP="00D95E62">
      <w:pPr>
        <w:pStyle w:val="ListParagraph"/>
        <w:ind w:left="900"/>
        <w:rPr>
          <w:rFonts w:eastAsia="Times New Roman" w:cs="Arial"/>
          <w:szCs w:val="28"/>
        </w:rPr>
      </w:pPr>
      <w:r w:rsidRPr="00D95E62">
        <w:rPr>
          <w:rFonts w:eastAsia="Times New Roman" w:cs="Arial"/>
          <w:szCs w:val="28"/>
        </w:rPr>
        <w:t>Jennifer Fischer, Chair, State Coordination Subcommittee</w:t>
      </w:r>
    </w:p>
    <w:p w14:paraId="36303370" w14:textId="77777777" w:rsidR="00D95E62" w:rsidRPr="00D95E62" w:rsidRDefault="00D95E62" w:rsidP="00D95E62">
      <w:pPr>
        <w:pStyle w:val="ListParagraph"/>
        <w:ind w:left="900"/>
        <w:rPr>
          <w:rFonts w:eastAsia="Times New Roman" w:cs="Arial"/>
          <w:szCs w:val="28"/>
        </w:rPr>
      </w:pPr>
      <w:r w:rsidRPr="00D95E62">
        <w:rPr>
          <w:rFonts w:eastAsia="Times New Roman" w:cs="Arial"/>
          <w:szCs w:val="28"/>
        </w:rPr>
        <w:t>Maria Aliferis-Gjerde, Executive Officer, CCEPD</w:t>
      </w:r>
    </w:p>
    <w:p w14:paraId="72321ECF" w14:textId="77777777" w:rsidR="00D95E62" w:rsidRPr="00D95E62" w:rsidRDefault="00D95E62" w:rsidP="00D95E62">
      <w:pPr>
        <w:pStyle w:val="ListParagraph"/>
        <w:ind w:left="900"/>
        <w:rPr>
          <w:rFonts w:eastAsia="Times New Roman" w:cs="Arial"/>
          <w:szCs w:val="28"/>
        </w:rPr>
      </w:pPr>
    </w:p>
    <w:p w14:paraId="07D4E436" w14:textId="77777777" w:rsidR="00D95E62" w:rsidRPr="00D95E62" w:rsidRDefault="00D95E62" w:rsidP="00D95E62">
      <w:pPr>
        <w:pStyle w:val="ListParagraph"/>
        <w:numPr>
          <w:ilvl w:val="0"/>
          <w:numId w:val="1"/>
        </w:numPr>
        <w:ind w:left="900" w:hanging="540"/>
        <w:rPr>
          <w:rFonts w:eastAsia="Times New Roman" w:cs="Arial"/>
          <w:b/>
          <w:bCs/>
          <w:szCs w:val="28"/>
        </w:rPr>
      </w:pPr>
      <w:r w:rsidRPr="00D95E62">
        <w:rPr>
          <w:rFonts w:eastAsia="Times New Roman" w:cs="Arial"/>
          <w:b/>
          <w:bCs/>
          <w:szCs w:val="28"/>
        </w:rPr>
        <w:lastRenderedPageBreak/>
        <w:t xml:space="preserve">Project Updates from Strategic Priorities </w:t>
      </w:r>
    </w:p>
    <w:p w14:paraId="0D43AC95" w14:textId="77777777" w:rsidR="00D95E62" w:rsidRPr="00D95E62" w:rsidRDefault="00D95E62" w:rsidP="00D95E62">
      <w:pPr>
        <w:pStyle w:val="ListParagraph"/>
        <w:rPr>
          <w:rFonts w:eastAsia="Times New Roman" w:cs="Arial"/>
          <w:bCs/>
          <w:szCs w:val="28"/>
        </w:rPr>
      </w:pPr>
      <w:bookmarkStart w:id="6" w:name="_Hlk100752405"/>
      <w:r w:rsidRPr="00D95E62">
        <w:rPr>
          <w:rFonts w:eastAsia="Times New Roman" w:cs="Arial"/>
          <w:bCs/>
          <w:szCs w:val="28"/>
        </w:rPr>
        <w:t xml:space="preserve">  Maria Aliferis-Gjerde, Executive Officer, CCEPD</w:t>
      </w:r>
    </w:p>
    <w:bookmarkEnd w:id="6"/>
    <w:p w14:paraId="7840961C" w14:textId="77777777" w:rsidR="00D95E62" w:rsidRPr="00D95E62" w:rsidRDefault="00D95E62" w:rsidP="00D95E62">
      <w:pPr>
        <w:pStyle w:val="ListParagraph"/>
        <w:rPr>
          <w:rFonts w:eastAsia="Times New Roman" w:cs="Arial"/>
          <w:bCs/>
          <w:szCs w:val="28"/>
        </w:rPr>
      </w:pPr>
    </w:p>
    <w:p w14:paraId="60CBA309" w14:textId="77777777" w:rsidR="00D95E62" w:rsidRPr="00D95E62" w:rsidRDefault="00D95E62" w:rsidP="00D95E62">
      <w:pPr>
        <w:pStyle w:val="ListParagraph"/>
        <w:numPr>
          <w:ilvl w:val="0"/>
          <w:numId w:val="1"/>
        </w:numPr>
        <w:ind w:left="900" w:hanging="630"/>
        <w:rPr>
          <w:rFonts w:eastAsia="Times New Roman" w:cs="Arial"/>
          <w:b/>
          <w:bCs/>
          <w:szCs w:val="28"/>
        </w:rPr>
      </w:pPr>
      <w:r w:rsidRPr="00D95E62">
        <w:rPr>
          <w:rFonts w:eastAsia="Times New Roman" w:cs="Arial"/>
          <w:b/>
          <w:bCs/>
          <w:szCs w:val="28"/>
        </w:rPr>
        <w:t xml:space="preserve">2022 YLF Updates and Approval of Direction </w:t>
      </w:r>
    </w:p>
    <w:p w14:paraId="7F3A7BA3" w14:textId="77777777" w:rsidR="00D95E62" w:rsidRPr="00D95E62" w:rsidRDefault="00D95E62" w:rsidP="00D95E62">
      <w:pPr>
        <w:pStyle w:val="ListParagraph"/>
        <w:ind w:left="900"/>
        <w:rPr>
          <w:rFonts w:eastAsia="Times New Roman" w:cs="Arial"/>
          <w:szCs w:val="28"/>
        </w:rPr>
      </w:pPr>
      <w:r w:rsidRPr="00D95E62">
        <w:rPr>
          <w:rFonts w:eastAsia="Times New Roman" w:cs="Arial"/>
          <w:szCs w:val="28"/>
        </w:rPr>
        <w:t>Daniel Gounder, Project Manager, CCEPD</w:t>
      </w:r>
    </w:p>
    <w:p w14:paraId="01A62796" w14:textId="77777777" w:rsidR="00D95E62" w:rsidRPr="00D95E62" w:rsidRDefault="00D95E62" w:rsidP="00D95E62">
      <w:pPr>
        <w:pStyle w:val="ListParagraph"/>
        <w:ind w:left="900"/>
        <w:rPr>
          <w:rFonts w:eastAsia="Times New Roman" w:cs="Arial"/>
          <w:szCs w:val="28"/>
        </w:rPr>
      </w:pPr>
    </w:p>
    <w:p w14:paraId="5E495346" w14:textId="77777777" w:rsidR="00D95E62" w:rsidRPr="00D95E62" w:rsidRDefault="00D95E62" w:rsidP="00D95E62">
      <w:pPr>
        <w:pStyle w:val="ListParagraph"/>
        <w:numPr>
          <w:ilvl w:val="0"/>
          <w:numId w:val="1"/>
        </w:numPr>
        <w:ind w:left="900" w:hanging="630"/>
        <w:rPr>
          <w:rFonts w:eastAsia="Times New Roman" w:cs="Arial"/>
          <w:b/>
          <w:bCs/>
          <w:szCs w:val="28"/>
        </w:rPr>
      </w:pPr>
      <w:r w:rsidRPr="00D95E62">
        <w:rPr>
          <w:rFonts w:eastAsia="Times New Roman" w:cs="Arial"/>
          <w:b/>
          <w:bCs/>
          <w:szCs w:val="28"/>
        </w:rPr>
        <w:t xml:space="preserve">Agenda Items for Future Meetings </w:t>
      </w:r>
    </w:p>
    <w:p w14:paraId="3E0C7D99" w14:textId="77777777" w:rsidR="00D95E62" w:rsidRPr="00D95E62" w:rsidRDefault="00D95E62" w:rsidP="00D95E62">
      <w:pPr>
        <w:pStyle w:val="ListParagraph"/>
        <w:ind w:left="900"/>
        <w:rPr>
          <w:rFonts w:eastAsia="Times New Roman" w:cs="Arial"/>
          <w:szCs w:val="28"/>
        </w:rPr>
      </w:pPr>
    </w:p>
    <w:p w14:paraId="003B1B5F" w14:textId="77777777" w:rsidR="00D95E62" w:rsidRPr="00D95E62" w:rsidRDefault="00D95E62" w:rsidP="00D95E62">
      <w:pPr>
        <w:pStyle w:val="ListParagraph"/>
        <w:numPr>
          <w:ilvl w:val="0"/>
          <w:numId w:val="1"/>
        </w:numPr>
        <w:ind w:left="900" w:hanging="630"/>
        <w:rPr>
          <w:rFonts w:eastAsia="Times New Roman" w:cs="Arial"/>
          <w:szCs w:val="28"/>
        </w:rPr>
      </w:pPr>
      <w:r w:rsidRPr="00D95E62">
        <w:rPr>
          <w:rFonts w:eastAsia="Times New Roman" w:cs="Arial"/>
          <w:b/>
          <w:szCs w:val="28"/>
        </w:rPr>
        <w:t xml:space="preserve">Public Comment </w:t>
      </w:r>
    </w:p>
    <w:p w14:paraId="7695B53E" w14:textId="77777777" w:rsidR="00D95E62" w:rsidRPr="00D95E62" w:rsidRDefault="00D95E62" w:rsidP="00D95E62">
      <w:pPr>
        <w:pStyle w:val="ListParagraph"/>
        <w:rPr>
          <w:rFonts w:eastAsia="Times New Roman" w:cs="Arial"/>
          <w:bCs/>
          <w:szCs w:val="28"/>
        </w:rPr>
      </w:pPr>
    </w:p>
    <w:p w14:paraId="68571265" w14:textId="77777777" w:rsidR="00D95E62" w:rsidRPr="00D95E62" w:rsidRDefault="00D95E62" w:rsidP="00D95E62">
      <w:pPr>
        <w:pStyle w:val="ListParagraph"/>
        <w:numPr>
          <w:ilvl w:val="0"/>
          <w:numId w:val="1"/>
        </w:numPr>
        <w:tabs>
          <w:tab w:val="left" w:pos="7740"/>
        </w:tabs>
        <w:ind w:left="900" w:hanging="630"/>
        <w:rPr>
          <w:rFonts w:eastAsia="Times New Roman" w:cs="Arial"/>
          <w:b/>
          <w:szCs w:val="28"/>
        </w:rPr>
      </w:pPr>
      <w:r w:rsidRPr="00D95E62">
        <w:rPr>
          <w:rFonts w:eastAsia="Times New Roman" w:cs="Arial"/>
          <w:b/>
          <w:szCs w:val="28"/>
        </w:rPr>
        <w:t xml:space="preserve">Adjournment* </w:t>
      </w:r>
      <w:r w:rsidRPr="00D95E62">
        <w:rPr>
          <w:rFonts w:eastAsia="Times New Roman" w:cs="Arial"/>
          <w:b/>
          <w:szCs w:val="28"/>
        </w:rPr>
        <w:tab/>
        <w:t>12:00 p.m.</w:t>
      </w:r>
    </w:p>
    <w:p w14:paraId="6F69931E" w14:textId="77777777" w:rsidR="00D95E62" w:rsidRPr="00D95E62" w:rsidRDefault="00D95E62" w:rsidP="00D95E62">
      <w:pPr>
        <w:rPr>
          <w:rFonts w:ascii="Arial" w:eastAsia="Times New Roman" w:hAnsi="Arial" w:cs="Arial"/>
          <w:b/>
          <w:sz w:val="28"/>
          <w:szCs w:val="28"/>
        </w:rPr>
      </w:pPr>
    </w:p>
    <w:p w14:paraId="403DCB5A" w14:textId="77777777" w:rsidR="00D95E62" w:rsidRPr="00D95E62" w:rsidRDefault="00D95E62" w:rsidP="00D95E62">
      <w:pPr>
        <w:pStyle w:val="Default"/>
        <w:rPr>
          <w:rFonts w:ascii="Arial" w:hAnsi="Arial" w:cs="Arial"/>
          <w:color w:val="auto"/>
          <w:sz w:val="28"/>
          <w:szCs w:val="28"/>
        </w:rPr>
      </w:pPr>
      <w:r w:rsidRPr="00D95E62">
        <w:rPr>
          <w:rFonts w:ascii="Arial" w:hAnsi="Arial" w:cs="Arial"/>
          <w:color w:val="auto"/>
          <w:sz w:val="28"/>
          <w:szCs w:val="28"/>
        </w:rPr>
        <w:t>* The meeting will adjourn upon completion of agenda.</w:t>
      </w:r>
    </w:p>
    <w:p w14:paraId="1DAF1370" w14:textId="77777777" w:rsidR="00D95E62" w:rsidRPr="00D95E62" w:rsidRDefault="00D95E62" w:rsidP="00D95E62">
      <w:pPr>
        <w:pStyle w:val="Default"/>
        <w:rPr>
          <w:rFonts w:ascii="Arial" w:hAnsi="Arial" w:cs="Arial"/>
          <w:color w:val="auto"/>
          <w:sz w:val="28"/>
          <w:szCs w:val="28"/>
        </w:rPr>
      </w:pPr>
    </w:p>
    <w:p w14:paraId="60897E10" w14:textId="77777777" w:rsidR="00D95E62" w:rsidRPr="00D95E62" w:rsidRDefault="00D95E62" w:rsidP="00D95E62">
      <w:pPr>
        <w:pStyle w:val="Default"/>
        <w:rPr>
          <w:rFonts w:ascii="Arial" w:hAnsi="Arial" w:cs="Arial"/>
          <w:b/>
          <w:bCs/>
          <w:color w:val="auto"/>
          <w:sz w:val="28"/>
          <w:szCs w:val="28"/>
        </w:rPr>
      </w:pPr>
      <w:r w:rsidRPr="00D95E62">
        <w:rPr>
          <w:rFonts w:ascii="Arial" w:hAnsi="Arial" w:cs="Arial"/>
          <w:b/>
          <w:bCs/>
          <w:color w:val="auto"/>
          <w:sz w:val="28"/>
          <w:szCs w:val="28"/>
        </w:rPr>
        <w:t>Other remote locations include:</w:t>
      </w:r>
    </w:p>
    <w:p w14:paraId="15B60581" w14:textId="77777777" w:rsidR="00D95E62" w:rsidRPr="00D95E62" w:rsidRDefault="00D95E62" w:rsidP="00D95E62">
      <w:pPr>
        <w:pStyle w:val="ListParagraph"/>
        <w:numPr>
          <w:ilvl w:val="0"/>
          <w:numId w:val="2"/>
        </w:numPr>
        <w:rPr>
          <w:rFonts w:eastAsia="Times New Roman" w:cs="Arial"/>
          <w:color w:val="000000"/>
          <w:szCs w:val="28"/>
        </w:rPr>
      </w:pPr>
      <w:r w:rsidRPr="00D95E62">
        <w:rPr>
          <w:rFonts w:eastAsia="Times New Roman" w:cs="Arial"/>
          <w:color w:val="000000"/>
          <w:szCs w:val="28"/>
        </w:rPr>
        <w:t>1501 Capitol Ave, Sacramento, CA 95814</w:t>
      </w:r>
    </w:p>
    <w:p w14:paraId="02FDE99A" w14:textId="77777777" w:rsidR="00D95E62" w:rsidRPr="00D95E62" w:rsidRDefault="00D95E62" w:rsidP="00D95E62">
      <w:pPr>
        <w:rPr>
          <w:rFonts w:ascii="Arial" w:eastAsia="Times New Roman" w:hAnsi="Arial" w:cs="Arial"/>
          <w:color w:val="000000"/>
          <w:sz w:val="28"/>
          <w:szCs w:val="28"/>
        </w:rPr>
      </w:pPr>
    </w:p>
    <w:p w14:paraId="61F77436" w14:textId="77777777" w:rsidR="00D95E62" w:rsidRPr="00D95E62" w:rsidRDefault="00D95E62" w:rsidP="00D95E62">
      <w:pPr>
        <w:pStyle w:val="ListParagraph"/>
        <w:numPr>
          <w:ilvl w:val="0"/>
          <w:numId w:val="2"/>
        </w:numPr>
        <w:rPr>
          <w:rFonts w:eastAsia="Times New Roman" w:cs="Arial"/>
          <w:color w:val="000000"/>
          <w:szCs w:val="28"/>
        </w:rPr>
      </w:pPr>
      <w:r w:rsidRPr="00D95E62">
        <w:rPr>
          <w:rFonts w:eastAsia="Times New Roman" w:cs="Arial"/>
          <w:color w:val="000000"/>
          <w:szCs w:val="28"/>
        </w:rPr>
        <w:t>925 Del Paso Blvd, Sacramento, CA 95815</w:t>
      </w:r>
    </w:p>
    <w:p w14:paraId="6D322F75" w14:textId="77777777" w:rsidR="00D95E62" w:rsidRPr="00D95E62" w:rsidRDefault="00D95E62" w:rsidP="00D95E62">
      <w:pPr>
        <w:pStyle w:val="Default"/>
        <w:rPr>
          <w:rFonts w:ascii="Arial" w:hAnsi="Arial" w:cs="Arial"/>
          <w:color w:val="auto"/>
          <w:sz w:val="28"/>
          <w:szCs w:val="28"/>
        </w:rPr>
      </w:pPr>
    </w:p>
    <w:p w14:paraId="3953854E" w14:textId="77777777" w:rsidR="00D95E62" w:rsidRPr="00D95E62" w:rsidRDefault="00D95E62" w:rsidP="00D95E62">
      <w:pPr>
        <w:pStyle w:val="ListParagraph"/>
        <w:numPr>
          <w:ilvl w:val="0"/>
          <w:numId w:val="2"/>
        </w:numPr>
        <w:rPr>
          <w:rFonts w:eastAsia="Times New Roman" w:cs="Arial"/>
          <w:color w:val="000000"/>
          <w:szCs w:val="28"/>
        </w:rPr>
      </w:pPr>
      <w:r w:rsidRPr="00D95E62">
        <w:rPr>
          <w:rFonts w:eastAsia="Times New Roman" w:cs="Arial"/>
          <w:color w:val="000000"/>
          <w:szCs w:val="28"/>
        </w:rPr>
        <w:t>19 6th Street, West Sacramento, CA 95605</w:t>
      </w:r>
    </w:p>
    <w:p w14:paraId="542DC718" w14:textId="77777777" w:rsidR="00D95E62" w:rsidRPr="00D95E62" w:rsidRDefault="00D95E62" w:rsidP="00D95E62">
      <w:pPr>
        <w:rPr>
          <w:rFonts w:ascii="Arial" w:eastAsia="Times New Roman" w:hAnsi="Arial" w:cs="Arial"/>
          <w:color w:val="000000"/>
          <w:sz w:val="28"/>
          <w:szCs w:val="28"/>
        </w:rPr>
      </w:pPr>
    </w:p>
    <w:p w14:paraId="7B3BC1AD" w14:textId="77777777" w:rsidR="00D95E62" w:rsidRPr="00D95E62" w:rsidRDefault="00D95E62" w:rsidP="00D95E62">
      <w:pPr>
        <w:pStyle w:val="ListParagraph"/>
        <w:numPr>
          <w:ilvl w:val="0"/>
          <w:numId w:val="2"/>
        </w:numPr>
        <w:rPr>
          <w:rFonts w:eastAsia="Times New Roman" w:cs="Arial"/>
          <w:color w:val="000000"/>
          <w:szCs w:val="28"/>
        </w:rPr>
      </w:pPr>
      <w:r w:rsidRPr="00D95E62">
        <w:rPr>
          <w:rFonts w:eastAsia="Times New Roman" w:cs="Arial"/>
          <w:color w:val="000000"/>
          <w:szCs w:val="28"/>
        </w:rPr>
        <w:t>800 Menlo Avenue, Ste 122, Menlo Park, CA 94025</w:t>
      </w:r>
    </w:p>
    <w:p w14:paraId="3E820182" w14:textId="77777777" w:rsidR="00D95E62" w:rsidRPr="00D95E62" w:rsidRDefault="00D95E62" w:rsidP="00D95E62">
      <w:pPr>
        <w:pStyle w:val="ListParagraph"/>
        <w:rPr>
          <w:rFonts w:eastAsia="Times New Roman" w:cs="Arial"/>
          <w:color w:val="000000"/>
          <w:szCs w:val="28"/>
        </w:rPr>
      </w:pPr>
    </w:p>
    <w:p w14:paraId="1C80B537" w14:textId="77777777" w:rsidR="00D95E62" w:rsidRPr="00D95E62" w:rsidRDefault="00D95E62" w:rsidP="00D95E62">
      <w:pPr>
        <w:pStyle w:val="ListParagraph"/>
        <w:numPr>
          <w:ilvl w:val="0"/>
          <w:numId w:val="2"/>
        </w:numPr>
        <w:rPr>
          <w:rFonts w:eastAsia="Times New Roman" w:cs="Arial"/>
          <w:color w:val="000000"/>
          <w:szCs w:val="28"/>
        </w:rPr>
      </w:pPr>
      <w:r w:rsidRPr="00D95E62">
        <w:rPr>
          <w:rFonts w:eastAsia="Times New Roman" w:cs="Arial"/>
          <w:color w:val="000000"/>
          <w:szCs w:val="28"/>
        </w:rPr>
        <w:t>17624 Romar Street, Northridge, CA 91325</w:t>
      </w:r>
    </w:p>
    <w:p w14:paraId="10B4C26B" w14:textId="77777777" w:rsidR="00D95E62" w:rsidRPr="00D95E62" w:rsidRDefault="00D95E62" w:rsidP="00D95E62">
      <w:pPr>
        <w:pStyle w:val="ListParagraph"/>
        <w:rPr>
          <w:rFonts w:eastAsia="Times New Roman" w:cs="Arial"/>
          <w:color w:val="000000"/>
          <w:szCs w:val="28"/>
        </w:rPr>
      </w:pPr>
    </w:p>
    <w:p w14:paraId="019348A2" w14:textId="77777777" w:rsidR="00D95E62" w:rsidRPr="00D95E62" w:rsidRDefault="00D95E62" w:rsidP="00D95E62">
      <w:pPr>
        <w:pStyle w:val="ListParagraph"/>
        <w:numPr>
          <w:ilvl w:val="0"/>
          <w:numId w:val="2"/>
        </w:numPr>
        <w:shd w:val="clear" w:color="auto" w:fill="FFFFFF"/>
        <w:rPr>
          <w:rFonts w:cs="Arial"/>
          <w:color w:val="000000"/>
          <w:szCs w:val="28"/>
        </w:rPr>
      </w:pPr>
      <w:r w:rsidRPr="00D95E62">
        <w:rPr>
          <w:rFonts w:cs="Arial"/>
          <w:color w:val="000000"/>
          <w:szCs w:val="28"/>
        </w:rPr>
        <w:t>555 Technology Court, Riverside, CA 92508</w:t>
      </w:r>
    </w:p>
    <w:p w14:paraId="0A562674" w14:textId="77777777" w:rsidR="00D95E62" w:rsidRPr="00D95E62" w:rsidRDefault="00D95E62" w:rsidP="00D95E62">
      <w:pPr>
        <w:rPr>
          <w:rFonts w:ascii="Arial" w:eastAsia="Times New Roman" w:hAnsi="Arial" w:cs="Arial"/>
          <w:color w:val="000000"/>
          <w:sz w:val="28"/>
          <w:szCs w:val="28"/>
        </w:rPr>
      </w:pPr>
    </w:p>
    <w:p w14:paraId="260DDB14" w14:textId="77777777" w:rsidR="00D95E62" w:rsidRPr="00D95E62" w:rsidRDefault="00D95E62" w:rsidP="00D95E62">
      <w:pPr>
        <w:pStyle w:val="ListParagraph"/>
        <w:numPr>
          <w:ilvl w:val="0"/>
          <w:numId w:val="2"/>
        </w:numPr>
        <w:rPr>
          <w:rFonts w:cs="Arial"/>
          <w:szCs w:val="28"/>
        </w:rPr>
      </w:pPr>
      <w:r w:rsidRPr="00D95E62">
        <w:rPr>
          <w:rFonts w:cs="Arial"/>
          <w:szCs w:val="28"/>
        </w:rPr>
        <w:t>Rolling Start, Inc. 16519 Victor Street #406, Victorville, CA  92395</w:t>
      </w:r>
    </w:p>
    <w:p w14:paraId="7C9A5050" w14:textId="77777777" w:rsidR="00D95E62" w:rsidRPr="00D95E62" w:rsidRDefault="00D95E62" w:rsidP="00D95E62">
      <w:pPr>
        <w:pStyle w:val="Default"/>
        <w:tabs>
          <w:tab w:val="left" w:pos="720"/>
          <w:tab w:val="left" w:pos="7920"/>
        </w:tabs>
        <w:rPr>
          <w:rFonts w:ascii="Arial" w:eastAsia="Times New Roman" w:hAnsi="Arial" w:cs="Arial"/>
          <w:b/>
          <w:color w:val="auto"/>
          <w:sz w:val="28"/>
          <w:szCs w:val="28"/>
        </w:rPr>
      </w:pPr>
    </w:p>
    <w:p w14:paraId="4707FE8B" w14:textId="77777777" w:rsidR="00D95E62" w:rsidRPr="00D95E62" w:rsidRDefault="00D95E62" w:rsidP="00D95E62">
      <w:pPr>
        <w:rPr>
          <w:rFonts w:ascii="Arial" w:hAnsi="Arial" w:cs="Arial"/>
          <w:iCs/>
          <w:sz w:val="28"/>
          <w:szCs w:val="28"/>
        </w:rPr>
      </w:pPr>
      <w:r w:rsidRPr="00D95E62">
        <w:rPr>
          <w:rFonts w:ascii="Arial" w:hAnsi="Arial" w:cs="Arial"/>
          <w:b/>
          <w:sz w:val="28"/>
          <w:szCs w:val="28"/>
        </w:rPr>
        <w:t xml:space="preserve">MEETING MATERIALS: </w:t>
      </w:r>
      <w:r w:rsidRPr="00D95E62">
        <w:rPr>
          <w:rFonts w:ascii="Arial" w:hAnsi="Arial" w:cs="Arial"/>
          <w:iCs/>
          <w:sz w:val="28"/>
          <w:szCs w:val="28"/>
        </w:rPr>
        <w:t xml:space="preserve">This meeting notice and agenda and other supplemental materials may also be accessed on </w:t>
      </w:r>
      <w:hyperlink r:id="rId8" w:history="1">
        <w:r w:rsidRPr="00D95E62">
          <w:rPr>
            <w:rStyle w:val="Hyperlink"/>
            <w:rFonts w:ascii="Arial" w:hAnsi="Arial" w:cs="Arial"/>
            <w:iCs/>
            <w:sz w:val="28"/>
            <w:szCs w:val="28"/>
          </w:rPr>
          <w:t>the website,</w:t>
        </w:r>
      </w:hyperlink>
      <w:r w:rsidRPr="00D95E62">
        <w:rPr>
          <w:rFonts w:ascii="Arial" w:hAnsi="Arial" w:cs="Arial"/>
          <w:iCs/>
          <w:sz w:val="28"/>
          <w:szCs w:val="28"/>
        </w:rPr>
        <w:t xml:space="preserve"> located on the Advisory Committee Calendar view. All times indicated, and order of business are approximate and subject to change on the day of the noticed meeting. The meeting will adjourn upon completion of the agenda. </w:t>
      </w:r>
    </w:p>
    <w:p w14:paraId="18BCE4E7" w14:textId="77777777" w:rsidR="00D95E62" w:rsidRPr="00D95E62" w:rsidRDefault="00D95E62" w:rsidP="00D95E62">
      <w:pPr>
        <w:rPr>
          <w:rFonts w:ascii="Arial" w:hAnsi="Arial" w:cs="Arial"/>
          <w:iCs/>
          <w:sz w:val="28"/>
          <w:szCs w:val="28"/>
        </w:rPr>
      </w:pPr>
      <w:r w:rsidRPr="00D95E62">
        <w:rPr>
          <w:rFonts w:ascii="Arial" w:hAnsi="Arial" w:cs="Arial"/>
          <w:iCs/>
          <w:sz w:val="28"/>
          <w:szCs w:val="28"/>
        </w:rPr>
        <w:t xml:space="preserve"> </w:t>
      </w:r>
    </w:p>
    <w:p w14:paraId="21A6338F" w14:textId="77777777" w:rsidR="00D95E62" w:rsidRPr="00D95E62" w:rsidRDefault="00D95E62" w:rsidP="00D95E62">
      <w:pPr>
        <w:rPr>
          <w:rFonts w:ascii="Arial" w:hAnsi="Arial" w:cs="Arial"/>
          <w:iCs/>
          <w:sz w:val="28"/>
          <w:szCs w:val="28"/>
        </w:rPr>
      </w:pPr>
      <w:r w:rsidRPr="00D95E62">
        <w:rPr>
          <w:rFonts w:ascii="Arial" w:hAnsi="Arial" w:cs="Arial"/>
          <w:sz w:val="28"/>
          <w:szCs w:val="28"/>
        </w:rPr>
        <w:lastRenderedPageBreak/>
        <w:t>Interested members of the public may use the video conference or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343AA783" w14:textId="5E2ABA25" w:rsidR="00D95E62" w:rsidRPr="00D95E62" w:rsidRDefault="00D95E62" w:rsidP="00D95E62">
      <w:pPr>
        <w:rPr>
          <w:rFonts w:ascii="Arial" w:hAnsi="Arial" w:cs="Arial"/>
          <w:sz w:val="28"/>
          <w:szCs w:val="28"/>
        </w:rPr>
      </w:pPr>
      <w:r w:rsidRPr="00D95E62">
        <w:rPr>
          <w:rFonts w:ascii="Arial" w:hAnsi="Arial" w:cs="Arial"/>
          <w:b/>
          <w:sz w:val="28"/>
          <w:szCs w:val="28"/>
        </w:rPr>
        <w:t xml:space="preserve">PUBLIC COMMENT: </w:t>
      </w:r>
      <w:r w:rsidRPr="00D95E62">
        <w:rPr>
          <w:rFonts w:ascii="Arial" w:hAnsi="Arial" w:cs="Arial"/>
          <w:sz w:val="28"/>
          <w:szCs w:val="28"/>
        </w:rPr>
        <w:t xml:space="preserve">Public comment on matters not on the agenda is taken at the end of the meeting and members of the public can make comments on agenda items prior to any vote of the committee. Members of the public can also provide comments to </w:t>
      </w:r>
      <w:hyperlink r:id="rId9" w:history="1">
        <w:r w:rsidRPr="00D95E62">
          <w:rPr>
            <w:rStyle w:val="Hyperlink"/>
            <w:rFonts w:ascii="Arial" w:hAnsi="Arial" w:cs="Arial"/>
            <w:sz w:val="28"/>
            <w:szCs w:val="28"/>
          </w:rPr>
          <w:t>CCEPD@dor.ca.gov</w:t>
        </w:r>
      </w:hyperlink>
      <w:r w:rsidRPr="00D95E62">
        <w:rPr>
          <w:rFonts w:ascii="Arial" w:hAnsi="Arial" w:cs="Arial"/>
          <w:sz w:val="28"/>
          <w:szCs w:val="28"/>
        </w:rPr>
        <w:t xml:space="preserve">. </w:t>
      </w:r>
      <w:r w:rsidRPr="00D95E62">
        <w:rPr>
          <w:rFonts w:ascii="Arial" w:hAnsi="Arial" w:cs="Arial"/>
          <w:iCs/>
          <w:sz w:val="28"/>
          <w:szCs w:val="28"/>
        </w:rPr>
        <w:t xml:space="preserve">Depending on the number of individuals wishing to address the committee, public comment may be limited to </w:t>
      </w:r>
      <w:r w:rsidRPr="00D95E62">
        <w:rPr>
          <w:rFonts w:ascii="Arial" w:hAnsi="Arial" w:cs="Arial"/>
          <w:sz w:val="28"/>
          <w:szCs w:val="28"/>
        </w:rPr>
        <w:t xml:space="preserve">three minutes per person. Non-English speakers who utilize translators to make public comment will be allotted no more than six </w:t>
      </w:r>
      <w:r w:rsidR="00A96625" w:rsidRPr="00D95E62">
        <w:rPr>
          <w:rFonts w:ascii="Arial" w:hAnsi="Arial" w:cs="Arial"/>
          <w:sz w:val="28"/>
          <w:szCs w:val="28"/>
        </w:rPr>
        <w:t>minutes unless</w:t>
      </w:r>
      <w:r w:rsidRPr="00D95E62">
        <w:rPr>
          <w:rFonts w:ascii="Arial" w:hAnsi="Arial" w:cs="Arial"/>
          <w:sz w:val="28"/>
          <w:szCs w:val="28"/>
        </w:rPr>
        <w:t xml:space="preserve"> they utilize simultaneous translation equipment. The CCEPD is precluded from discussing matters not on the agenda; however, CCEPD members may ask questions for clarification purposes. </w:t>
      </w:r>
    </w:p>
    <w:p w14:paraId="2DE38789" w14:textId="77777777" w:rsidR="00D95E62" w:rsidRPr="00D95E62" w:rsidRDefault="00D95E62" w:rsidP="00D95E62">
      <w:pPr>
        <w:pStyle w:val="BodyText3"/>
        <w:spacing w:after="0" w:line="276" w:lineRule="auto"/>
        <w:contextualSpacing/>
        <w:rPr>
          <w:rFonts w:ascii="Arial" w:hAnsi="Arial" w:cs="Arial"/>
          <w:sz w:val="28"/>
          <w:szCs w:val="28"/>
        </w:rPr>
      </w:pPr>
      <w:r w:rsidRPr="00D95E62">
        <w:rPr>
          <w:rFonts w:ascii="Arial" w:hAnsi="Arial" w:cs="Arial"/>
          <w:b/>
          <w:sz w:val="28"/>
          <w:szCs w:val="28"/>
        </w:rPr>
        <w:t xml:space="preserve">REASONABLE ACCOMMODATIONS: </w:t>
      </w:r>
      <w:r w:rsidRPr="00D95E62">
        <w:rPr>
          <w:rFonts w:ascii="Arial" w:hAnsi="Arial" w:cs="Arial"/>
          <w:sz w:val="28"/>
          <w:szCs w:val="28"/>
        </w:rPr>
        <w:t xml:space="preserve">If you require a disability-related accommodation, materials in alternate format or auxiliary aids/services, please contact Maria Aliferis-Gjerde at (916) 558-5698 or </w:t>
      </w:r>
      <w:hyperlink r:id="rId10" w:history="1">
        <w:r w:rsidRPr="00D95E62">
          <w:rPr>
            <w:rStyle w:val="Hyperlink"/>
            <w:rFonts w:ascii="Arial" w:hAnsi="Arial" w:cs="Arial"/>
            <w:sz w:val="28"/>
            <w:szCs w:val="28"/>
          </w:rPr>
          <w:t>Maria.Aliferis-Gjerde@dor.ca.gov</w:t>
        </w:r>
      </w:hyperlink>
      <w:r w:rsidRPr="00D95E62">
        <w:rPr>
          <w:rFonts w:ascii="Arial" w:hAnsi="Arial" w:cs="Arial"/>
          <w:sz w:val="28"/>
          <w:szCs w:val="28"/>
        </w:rPr>
        <w:t xml:space="preserve"> by May 13, 2022. </w:t>
      </w:r>
      <w:r w:rsidRPr="00D95E62">
        <w:rPr>
          <w:rFonts w:ascii="Arial" w:hAnsi="Arial" w:cs="Arial"/>
          <w:bCs/>
          <w:sz w:val="28"/>
          <w:szCs w:val="28"/>
        </w:rPr>
        <w:t>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w:t>
      </w:r>
    </w:p>
    <w:p w14:paraId="7AA765B5" w14:textId="371AFF72" w:rsidR="00576154" w:rsidRDefault="00576154" w:rsidP="00F81632">
      <w:pPr>
        <w:jc w:val="center"/>
        <w:rPr>
          <w:rFonts w:ascii="Arial" w:hAnsi="Arial" w:cs="Arial"/>
          <w:sz w:val="28"/>
          <w:szCs w:val="28"/>
        </w:rPr>
      </w:pPr>
    </w:p>
    <w:p w14:paraId="21C68212" w14:textId="5778B538" w:rsidR="00052BB3" w:rsidRDefault="00052BB3" w:rsidP="00F81632">
      <w:pPr>
        <w:jc w:val="center"/>
        <w:rPr>
          <w:rFonts w:ascii="Arial" w:hAnsi="Arial" w:cs="Arial"/>
          <w:sz w:val="28"/>
          <w:szCs w:val="28"/>
        </w:rPr>
      </w:pPr>
    </w:p>
    <w:p w14:paraId="4CCD0686" w14:textId="70803312" w:rsidR="00052BB3" w:rsidRDefault="00052BB3" w:rsidP="00F81632">
      <w:pPr>
        <w:jc w:val="center"/>
        <w:rPr>
          <w:rFonts w:ascii="Arial" w:hAnsi="Arial" w:cs="Arial"/>
          <w:sz w:val="28"/>
          <w:szCs w:val="28"/>
        </w:rPr>
      </w:pPr>
    </w:p>
    <w:p w14:paraId="01342511" w14:textId="487EA377" w:rsidR="00052BB3" w:rsidRDefault="00052BB3" w:rsidP="00F81632">
      <w:pPr>
        <w:jc w:val="center"/>
        <w:rPr>
          <w:rFonts w:ascii="Arial" w:hAnsi="Arial" w:cs="Arial"/>
          <w:sz w:val="28"/>
          <w:szCs w:val="28"/>
        </w:rPr>
      </w:pPr>
    </w:p>
    <w:p w14:paraId="4B2BB259" w14:textId="77777777" w:rsidR="00E578C1" w:rsidRDefault="00E578C1" w:rsidP="001C7847">
      <w:pPr>
        <w:keepNext/>
        <w:keepLines/>
        <w:spacing w:after="0" w:line="240" w:lineRule="auto"/>
        <w:outlineLvl w:val="0"/>
        <w:rPr>
          <w:rFonts w:ascii="Arial" w:eastAsiaTheme="majorEastAsia" w:hAnsi="Arial" w:cs="Arial"/>
          <w:b/>
          <w:bCs/>
          <w:color w:val="000000" w:themeColor="text1"/>
          <w:sz w:val="28"/>
          <w:szCs w:val="28"/>
        </w:rPr>
      </w:pPr>
      <w:bookmarkStart w:id="7" w:name="_Toc81211213"/>
    </w:p>
    <w:p w14:paraId="5AC1E241" w14:textId="205C7761" w:rsidR="008D5884" w:rsidRPr="008D5884" w:rsidRDefault="00E578C1" w:rsidP="00B10088">
      <w:pPr>
        <w:jc w:val="center"/>
        <w:rPr>
          <w:rFonts w:ascii="Arial" w:eastAsiaTheme="majorEastAsia" w:hAnsi="Arial" w:cs="Arial"/>
          <w:b/>
          <w:bCs/>
          <w:color w:val="000000" w:themeColor="text1"/>
          <w:sz w:val="28"/>
          <w:szCs w:val="28"/>
        </w:rPr>
      </w:pPr>
      <w:r>
        <w:rPr>
          <w:rFonts w:ascii="Arial" w:eastAsiaTheme="majorEastAsia" w:hAnsi="Arial" w:cs="Arial"/>
          <w:b/>
          <w:bCs/>
          <w:color w:val="000000" w:themeColor="text1"/>
          <w:sz w:val="28"/>
          <w:szCs w:val="28"/>
        </w:rPr>
        <w:br w:type="page"/>
      </w:r>
      <w:bookmarkEnd w:id="7"/>
    </w:p>
    <w:p w14:paraId="5B11B31A" w14:textId="782A24C0" w:rsidR="008D5884" w:rsidRPr="00891828" w:rsidRDefault="00891828" w:rsidP="008D5884">
      <w:pPr>
        <w:keepNext/>
        <w:keepLines/>
        <w:spacing w:before="240" w:after="0" w:line="240" w:lineRule="auto"/>
        <w:jc w:val="center"/>
        <w:outlineLvl w:val="0"/>
        <w:rPr>
          <w:rFonts w:ascii="Arial" w:eastAsiaTheme="majorEastAsia" w:hAnsi="Arial" w:cs="Arial"/>
          <w:b/>
          <w:bCs/>
          <w:sz w:val="28"/>
          <w:szCs w:val="28"/>
        </w:rPr>
      </w:pPr>
      <w:bookmarkStart w:id="8" w:name="_Toc24096611"/>
      <w:bookmarkStart w:id="9" w:name="_Toc54789087"/>
      <w:bookmarkStart w:id="10" w:name="_Toc64463033"/>
      <w:bookmarkStart w:id="11" w:name="_Toc71792965"/>
      <w:bookmarkStart w:id="12" w:name="_Toc81211214"/>
      <w:bookmarkStart w:id="13" w:name="_Toc103161133"/>
      <w:bookmarkStart w:id="14" w:name="_Toc103236452"/>
      <w:r>
        <w:rPr>
          <w:rStyle w:val="Heading1Char"/>
          <w:sz w:val="28"/>
          <w:szCs w:val="28"/>
        </w:rPr>
        <w:lastRenderedPageBreak/>
        <w:t xml:space="preserve">CCEPD </w:t>
      </w:r>
      <w:r w:rsidR="008D5884" w:rsidRPr="00891828">
        <w:rPr>
          <w:rStyle w:val="Heading1Char"/>
          <w:sz w:val="28"/>
          <w:szCs w:val="28"/>
        </w:rPr>
        <w:t>FULL COMMITTEE MEETING MINUTES (DRAFT</w:t>
      </w:r>
      <w:r w:rsidR="008D5884" w:rsidRPr="00891828">
        <w:rPr>
          <w:rFonts w:ascii="Arial" w:eastAsiaTheme="majorEastAsia" w:hAnsi="Arial" w:cs="Arial"/>
          <w:b/>
          <w:bCs/>
          <w:sz w:val="28"/>
          <w:szCs w:val="28"/>
        </w:rPr>
        <w:t>)</w:t>
      </w:r>
      <w:bookmarkEnd w:id="8"/>
      <w:bookmarkEnd w:id="9"/>
      <w:bookmarkEnd w:id="10"/>
      <w:bookmarkEnd w:id="11"/>
      <w:bookmarkEnd w:id="12"/>
      <w:bookmarkEnd w:id="13"/>
      <w:bookmarkEnd w:id="14"/>
    </w:p>
    <w:p w14:paraId="5110D4F8" w14:textId="77777777" w:rsidR="008D5884" w:rsidRPr="008D5884" w:rsidRDefault="008D5884" w:rsidP="008D5884">
      <w:pPr>
        <w:spacing w:after="0" w:line="240" w:lineRule="auto"/>
        <w:jc w:val="center"/>
        <w:rPr>
          <w:rFonts w:ascii="Arial" w:eastAsia="Malgun Gothic" w:hAnsi="Arial" w:cs="Arial"/>
          <w:sz w:val="28"/>
          <w:szCs w:val="28"/>
        </w:rPr>
      </w:pPr>
      <w:r w:rsidRPr="008D5884">
        <w:rPr>
          <w:rFonts w:ascii="Arial" w:eastAsia="Malgun Gothic" w:hAnsi="Arial" w:cs="Arial"/>
          <w:sz w:val="28"/>
          <w:szCs w:val="28"/>
        </w:rPr>
        <w:t>Thursday, February 24, 2022</w:t>
      </w:r>
    </w:p>
    <w:p w14:paraId="0DC716D9" w14:textId="77777777" w:rsidR="008D5884" w:rsidRPr="008D5884" w:rsidRDefault="008D5884" w:rsidP="008D5884">
      <w:pPr>
        <w:spacing w:after="0" w:line="240" w:lineRule="auto"/>
        <w:jc w:val="center"/>
        <w:rPr>
          <w:rFonts w:ascii="Arial" w:eastAsia="Malgun Gothic" w:hAnsi="Arial" w:cs="Arial"/>
          <w:sz w:val="28"/>
          <w:szCs w:val="28"/>
        </w:rPr>
      </w:pPr>
      <w:r w:rsidRPr="008D5884">
        <w:rPr>
          <w:rFonts w:ascii="Arial" w:eastAsia="Malgun Gothic" w:hAnsi="Arial" w:cs="Arial"/>
          <w:sz w:val="28"/>
          <w:szCs w:val="28"/>
        </w:rPr>
        <w:t xml:space="preserve"> </w:t>
      </w:r>
    </w:p>
    <w:p w14:paraId="29C433C3" w14:textId="77777777" w:rsidR="008D5884" w:rsidRPr="008D5884" w:rsidRDefault="008D5884" w:rsidP="008D5884">
      <w:pPr>
        <w:autoSpaceDE w:val="0"/>
        <w:autoSpaceDN w:val="0"/>
        <w:adjustRightInd w:val="0"/>
        <w:spacing w:before="240" w:after="0" w:line="240" w:lineRule="auto"/>
        <w:rPr>
          <w:rFonts w:ascii="Arial" w:eastAsia="Malgun Gothic" w:hAnsi="Arial" w:cs="Arial"/>
          <w:sz w:val="28"/>
          <w:szCs w:val="28"/>
          <w:shd w:val="clear" w:color="auto" w:fill="FFFFFF"/>
        </w:rPr>
      </w:pPr>
      <w:r w:rsidRPr="008D5884">
        <w:rPr>
          <w:rFonts w:ascii="Arial" w:eastAsia="Times New Roman" w:hAnsi="Arial" w:cs="Arial"/>
          <w:b/>
          <w:color w:val="000000"/>
          <w:sz w:val="28"/>
          <w:szCs w:val="28"/>
        </w:rPr>
        <w:t>CCEPD Members:</w:t>
      </w:r>
      <w:r w:rsidRPr="008D5884">
        <w:rPr>
          <w:rFonts w:ascii="Arial" w:eastAsia="Times New Roman" w:hAnsi="Arial" w:cs="Arial"/>
          <w:sz w:val="28"/>
          <w:szCs w:val="28"/>
        </w:rPr>
        <w:t xml:space="preserve"> Ana Acton, Carlos Beltran, April Dawson</w:t>
      </w:r>
      <w:r w:rsidRPr="008D5884">
        <w:rPr>
          <w:rFonts w:ascii="Arial" w:eastAsia="Times New Roman" w:hAnsi="Arial" w:cs="Arial"/>
          <w:color w:val="000000"/>
          <w:sz w:val="28"/>
          <w:szCs w:val="28"/>
        </w:rPr>
        <w:t xml:space="preserve">, </w:t>
      </w:r>
      <w:r w:rsidRPr="008D5884">
        <w:rPr>
          <w:rFonts w:ascii="Arial" w:eastAsia="Times New Roman" w:hAnsi="Arial" w:cs="Arial"/>
          <w:sz w:val="28"/>
          <w:szCs w:val="28"/>
        </w:rPr>
        <w:t xml:space="preserve">Robert Fried, Eric Glunt, Lisa Hayes, Roy Kim, Damien Ladd, Michael Luna, Kimberlee Meyer, Robert Sifuentes, and Taylor Winchell </w:t>
      </w:r>
    </w:p>
    <w:p w14:paraId="67028AC4" w14:textId="77777777" w:rsidR="008D5884" w:rsidRPr="008D5884" w:rsidRDefault="008D5884" w:rsidP="008D5884">
      <w:pPr>
        <w:tabs>
          <w:tab w:val="left" w:pos="2630"/>
        </w:tabs>
        <w:autoSpaceDE w:val="0"/>
        <w:autoSpaceDN w:val="0"/>
        <w:adjustRightInd w:val="0"/>
        <w:spacing w:after="0" w:line="240" w:lineRule="auto"/>
        <w:rPr>
          <w:rFonts w:ascii="Arial" w:eastAsia="Times New Roman" w:hAnsi="Arial" w:cs="Arial"/>
          <w:b/>
          <w:color w:val="000000"/>
          <w:sz w:val="28"/>
          <w:szCs w:val="28"/>
        </w:rPr>
      </w:pPr>
    </w:p>
    <w:p w14:paraId="6792739E" w14:textId="77777777" w:rsidR="008D5884" w:rsidRPr="008D5884" w:rsidRDefault="008D5884" w:rsidP="008D5884">
      <w:pPr>
        <w:tabs>
          <w:tab w:val="left" w:pos="2630"/>
        </w:tabs>
        <w:autoSpaceDE w:val="0"/>
        <w:autoSpaceDN w:val="0"/>
        <w:adjustRightInd w:val="0"/>
        <w:spacing w:after="0" w:line="240" w:lineRule="auto"/>
        <w:rPr>
          <w:rFonts w:ascii="Arial" w:eastAsia="Times New Roman" w:hAnsi="Arial" w:cs="Arial"/>
          <w:color w:val="000000"/>
          <w:sz w:val="28"/>
          <w:szCs w:val="28"/>
        </w:rPr>
      </w:pPr>
      <w:r w:rsidRPr="008D5884">
        <w:rPr>
          <w:rFonts w:ascii="Arial" w:eastAsia="Times New Roman" w:hAnsi="Arial" w:cs="Arial"/>
          <w:b/>
          <w:color w:val="000000"/>
          <w:sz w:val="28"/>
          <w:szCs w:val="28"/>
        </w:rPr>
        <w:t>CCEPD Staff:</w:t>
      </w:r>
      <w:r w:rsidRPr="008D5884">
        <w:rPr>
          <w:rFonts w:ascii="Arial" w:eastAsia="Times New Roman" w:hAnsi="Arial" w:cs="Arial"/>
          <w:color w:val="000000"/>
          <w:sz w:val="28"/>
          <w:szCs w:val="28"/>
        </w:rPr>
        <w:t xml:space="preserve"> Maria Aliferis-Gjerde, Margaret Balistreri, and Zachariah Ford </w:t>
      </w:r>
    </w:p>
    <w:p w14:paraId="786A5C3F" w14:textId="77777777" w:rsidR="008D5884" w:rsidRPr="008D5884" w:rsidRDefault="008D5884" w:rsidP="008D5884">
      <w:pPr>
        <w:tabs>
          <w:tab w:val="left" w:pos="2630"/>
        </w:tabs>
        <w:autoSpaceDE w:val="0"/>
        <w:autoSpaceDN w:val="0"/>
        <w:adjustRightInd w:val="0"/>
        <w:spacing w:after="0" w:line="240" w:lineRule="auto"/>
        <w:rPr>
          <w:rFonts w:ascii="Arial" w:eastAsia="Times New Roman" w:hAnsi="Arial" w:cs="Arial"/>
          <w:color w:val="000000"/>
          <w:sz w:val="28"/>
          <w:szCs w:val="28"/>
        </w:rPr>
      </w:pPr>
    </w:p>
    <w:p w14:paraId="2361D3A6" w14:textId="77777777" w:rsidR="008D5884" w:rsidRPr="008D5884" w:rsidRDefault="008D5884" w:rsidP="008D5884">
      <w:pPr>
        <w:tabs>
          <w:tab w:val="left" w:pos="2630"/>
        </w:tabs>
        <w:autoSpaceDE w:val="0"/>
        <w:autoSpaceDN w:val="0"/>
        <w:adjustRightInd w:val="0"/>
        <w:spacing w:after="0" w:line="240" w:lineRule="auto"/>
        <w:rPr>
          <w:rFonts w:ascii="Arial" w:eastAsia="Times New Roman" w:hAnsi="Arial" w:cs="Arial"/>
          <w:b/>
          <w:bCs/>
          <w:color w:val="000000"/>
          <w:sz w:val="28"/>
          <w:szCs w:val="28"/>
        </w:rPr>
      </w:pPr>
      <w:r w:rsidRPr="008D5884">
        <w:rPr>
          <w:rFonts w:ascii="Arial" w:eastAsia="Times New Roman" w:hAnsi="Arial" w:cs="Arial"/>
          <w:b/>
          <w:bCs/>
          <w:color w:val="000000"/>
          <w:sz w:val="28"/>
          <w:szCs w:val="28"/>
        </w:rPr>
        <w:t>Members of the Public:</w:t>
      </w:r>
      <w:r w:rsidRPr="008D5884">
        <w:rPr>
          <w:rFonts w:ascii="Arial" w:eastAsia="Times New Roman" w:hAnsi="Arial" w:cs="Arial"/>
          <w:color w:val="000000"/>
          <w:sz w:val="28"/>
          <w:szCs w:val="28"/>
        </w:rPr>
        <w:t xml:space="preserve">  Ashley Burrell, Kecia Coker, Jennifer Fischer, David Mayer, Tania Morawiec, Sherry Mung, Ashneek Nanua, Michelle O’Camb, Todd Teixeira, Paula Tobler, and Megan Sampson</w:t>
      </w:r>
    </w:p>
    <w:p w14:paraId="7B015D65" w14:textId="77777777" w:rsidR="008D5884" w:rsidRPr="008D5884" w:rsidRDefault="008D5884" w:rsidP="008D5884">
      <w:pPr>
        <w:tabs>
          <w:tab w:val="left" w:pos="2630"/>
        </w:tabs>
        <w:autoSpaceDE w:val="0"/>
        <w:autoSpaceDN w:val="0"/>
        <w:adjustRightInd w:val="0"/>
        <w:spacing w:after="0" w:line="240" w:lineRule="auto"/>
        <w:rPr>
          <w:rFonts w:ascii="Arial" w:eastAsia="Times New Roman" w:hAnsi="Arial" w:cs="Arial"/>
          <w:color w:val="000000"/>
          <w:sz w:val="28"/>
          <w:szCs w:val="28"/>
        </w:rPr>
      </w:pPr>
      <w:r w:rsidRPr="008D5884">
        <w:rPr>
          <w:rFonts w:ascii="Arial" w:eastAsia="Times New Roman" w:hAnsi="Arial" w:cs="Arial"/>
          <w:color w:val="000000"/>
          <w:sz w:val="28"/>
          <w:szCs w:val="28"/>
        </w:rPr>
        <w:t xml:space="preserve"> </w:t>
      </w:r>
    </w:p>
    <w:p w14:paraId="7E68E093" w14:textId="77777777" w:rsidR="008D5884" w:rsidRPr="008D5884" w:rsidRDefault="008D5884" w:rsidP="008D5884">
      <w:pPr>
        <w:tabs>
          <w:tab w:val="left" w:pos="270"/>
          <w:tab w:val="left" w:pos="7920"/>
        </w:tabs>
        <w:autoSpaceDE w:val="0"/>
        <w:autoSpaceDN w:val="0"/>
        <w:adjustRightInd w:val="0"/>
        <w:spacing w:after="0" w:line="240" w:lineRule="auto"/>
        <w:rPr>
          <w:rFonts w:ascii="Arial" w:eastAsia="Times New Roman" w:hAnsi="Arial" w:cs="Arial"/>
          <w:b/>
          <w:sz w:val="28"/>
          <w:szCs w:val="28"/>
        </w:rPr>
      </w:pPr>
      <w:bookmarkStart w:id="15" w:name="_Toc24094336"/>
      <w:r w:rsidRPr="008D5884">
        <w:rPr>
          <w:rFonts w:ascii="Arial" w:eastAsia="Times New Roman" w:hAnsi="Arial" w:cs="Arial"/>
          <w:b/>
          <w:sz w:val="28"/>
          <w:szCs w:val="28"/>
        </w:rPr>
        <w:t xml:space="preserve">1. Welcome and Introductions                           </w:t>
      </w:r>
      <w:bookmarkEnd w:id="15"/>
    </w:p>
    <w:p w14:paraId="187C7565" w14:textId="77777777" w:rsidR="008D5884" w:rsidRPr="008D5884" w:rsidRDefault="008D5884" w:rsidP="008D5884">
      <w:pPr>
        <w:autoSpaceDE w:val="0"/>
        <w:autoSpaceDN w:val="0"/>
        <w:adjustRightInd w:val="0"/>
        <w:spacing w:after="0" w:line="240" w:lineRule="auto"/>
        <w:rPr>
          <w:rFonts w:ascii="Arial" w:eastAsia="Times New Roman" w:hAnsi="Arial" w:cs="Arial"/>
          <w:sz w:val="28"/>
          <w:szCs w:val="28"/>
        </w:rPr>
      </w:pPr>
      <w:r w:rsidRPr="008D5884">
        <w:rPr>
          <w:rFonts w:ascii="Arial" w:eastAsia="Times New Roman" w:hAnsi="Arial" w:cs="Arial"/>
          <w:sz w:val="28"/>
          <w:szCs w:val="28"/>
        </w:rPr>
        <w:t>Meeting began at 9:03 a.m. and a quorum was met.</w:t>
      </w:r>
    </w:p>
    <w:p w14:paraId="79B05F42" w14:textId="77777777" w:rsidR="008D5884" w:rsidRPr="008D5884" w:rsidRDefault="008D5884" w:rsidP="008D5884">
      <w:pPr>
        <w:autoSpaceDE w:val="0"/>
        <w:autoSpaceDN w:val="0"/>
        <w:adjustRightInd w:val="0"/>
        <w:spacing w:after="0" w:line="240" w:lineRule="auto"/>
        <w:rPr>
          <w:rFonts w:ascii="Arial" w:eastAsia="Times New Roman" w:hAnsi="Arial" w:cs="Arial"/>
          <w:sz w:val="28"/>
          <w:szCs w:val="28"/>
        </w:rPr>
      </w:pPr>
    </w:p>
    <w:p w14:paraId="7E435053" w14:textId="77777777" w:rsidR="008D5884" w:rsidRPr="008D5884" w:rsidRDefault="008D5884" w:rsidP="008D5884">
      <w:pPr>
        <w:autoSpaceDE w:val="0"/>
        <w:autoSpaceDN w:val="0"/>
        <w:adjustRightInd w:val="0"/>
        <w:spacing w:after="0" w:line="240" w:lineRule="auto"/>
        <w:rPr>
          <w:rFonts w:ascii="Arial" w:eastAsia="Times New Roman" w:hAnsi="Arial" w:cs="Arial"/>
          <w:b/>
          <w:bCs/>
          <w:sz w:val="28"/>
          <w:szCs w:val="28"/>
        </w:rPr>
      </w:pPr>
      <w:r w:rsidRPr="008D5884">
        <w:rPr>
          <w:rFonts w:ascii="Arial" w:eastAsia="Times New Roman" w:hAnsi="Arial" w:cs="Arial"/>
          <w:b/>
          <w:bCs/>
          <w:sz w:val="28"/>
          <w:szCs w:val="28"/>
        </w:rPr>
        <w:t>2. Department of Rehabilitation (DOR) Directorate Discussion</w:t>
      </w:r>
    </w:p>
    <w:p w14:paraId="776D68F9" w14:textId="77777777" w:rsidR="008D5884" w:rsidRPr="008D5884" w:rsidRDefault="008D5884" w:rsidP="008D5884">
      <w:pPr>
        <w:autoSpaceDE w:val="0"/>
        <w:autoSpaceDN w:val="0"/>
        <w:adjustRightInd w:val="0"/>
        <w:spacing w:after="0" w:line="240" w:lineRule="auto"/>
        <w:rPr>
          <w:rFonts w:ascii="Arial" w:eastAsia="Times New Roman" w:hAnsi="Arial" w:cs="Arial"/>
          <w:sz w:val="28"/>
          <w:szCs w:val="28"/>
        </w:rPr>
      </w:pPr>
      <w:r w:rsidRPr="008D5884">
        <w:rPr>
          <w:rFonts w:ascii="Arial" w:eastAsia="Times New Roman" w:hAnsi="Arial" w:cs="Arial"/>
          <w:sz w:val="28"/>
          <w:szCs w:val="28"/>
        </w:rPr>
        <w:t>The DOR Directorate discussed some of the opportunities in 2022, such as the shifting workforce, system changes in behavioral health, shifting the paradox for businesses – hiring people with disabilities is a marketing imperative not just a noble deed and state employment initiatives. Some of the 2021 highlights were investments for the disability communities, employment as part of social determinant of health and wellness, person-centered care and design is at the forefront for policy. Other discussions also included additional reallotment funding to DOR and funding for the business projects.</w:t>
      </w:r>
    </w:p>
    <w:p w14:paraId="3B611D28" w14:textId="77777777" w:rsidR="008D5884" w:rsidRPr="008D5884" w:rsidRDefault="008D5884" w:rsidP="008D5884">
      <w:pPr>
        <w:autoSpaceDE w:val="0"/>
        <w:autoSpaceDN w:val="0"/>
        <w:adjustRightInd w:val="0"/>
        <w:spacing w:after="0" w:line="240" w:lineRule="auto"/>
        <w:rPr>
          <w:rFonts w:ascii="Arial" w:eastAsia="Times New Roman" w:hAnsi="Arial" w:cs="Arial"/>
          <w:sz w:val="28"/>
          <w:szCs w:val="28"/>
        </w:rPr>
      </w:pPr>
    </w:p>
    <w:p w14:paraId="17A85562" w14:textId="77777777" w:rsidR="008D5884" w:rsidRPr="008D5884" w:rsidRDefault="008D5884" w:rsidP="008D5884">
      <w:pPr>
        <w:autoSpaceDE w:val="0"/>
        <w:autoSpaceDN w:val="0"/>
        <w:adjustRightInd w:val="0"/>
        <w:spacing w:after="0" w:line="240" w:lineRule="auto"/>
        <w:rPr>
          <w:rFonts w:ascii="Arial" w:eastAsia="Times New Roman" w:hAnsi="Arial" w:cs="Arial"/>
          <w:sz w:val="28"/>
          <w:szCs w:val="28"/>
        </w:rPr>
      </w:pPr>
      <w:r w:rsidRPr="008D5884">
        <w:rPr>
          <w:rFonts w:ascii="Arial" w:eastAsia="Times New Roman" w:hAnsi="Arial" w:cs="Arial"/>
          <w:sz w:val="28"/>
          <w:szCs w:val="28"/>
        </w:rPr>
        <w:t>Questions and discussions included the following:</w:t>
      </w:r>
    </w:p>
    <w:p w14:paraId="2FE05FE1" w14:textId="77777777" w:rsidR="008D5884" w:rsidRPr="008D5884" w:rsidRDefault="008D5884" w:rsidP="008D5884">
      <w:pPr>
        <w:numPr>
          <w:ilvl w:val="0"/>
          <w:numId w:val="3"/>
        </w:numPr>
        <w:autoSpaceDE w:val="0"/>
        <w:autoSpaceDN w:val="0"/>
        <w:adjustRightInd w:val="0"/>
        <w:spacing w:after="0" w:line="240" w:lineRule="auto"/>
        <w:contextualSpacing/>
        <w:rPr>
          <w:rFonts w:ascii="Arial" w:eastAsia="Times New Roman" w:hAnsi="Arial" w:cs="Arial"/>
          <w:sz w:val="28"/>
          <w:szCs w:val="28"/>
        </w:rPr>
      </w:pPr>
      <w:r w:rsidRPr="008D5884">
        <w:rPr>
          <w:rFonts w:ascii="Arial" w:eastAsia="Times New Roman" w:hAnsi="Arial" w:cs="Arial"/>
          <w:sz w:val="28"/>
          <w:szCs w:val="28"/>
        </w:rPr>
        <w:t>Need for self-employment and how continued support is needed for people with disabilities for self-employment and entrepreneurship. DOR also supports consumers in self-employment efforts.</w:t>
      </w:r>
    </w:p>
    <w:p w14:paraId="4DCAF4F5" w14:textId="77777777" w:rsidR="008D5884" w:rsidRPr="008D5884" w:rsidRDefault="008D5884" w:rsidP="008D5884">
      <w:pPr>
        <w:numPr>
          <w:ilvl w:val="0"/>
          <w:numId w:val="3"/>
        </w:numPr>
        <w:autoSpaceDE w:val="0"/>
        <w:autoSpaceDN w:val="0"/>
        <w:adjustRightInd w:val="0"/>
        <w:spacing w:after="0" w:line="240" w:lineRule="auto"/>
        <w:contextualSpacing/>
        <w:rPr>
          <w:rFonts w:ascii="Arial" w:eastAsia="Times New Roman" w:hAnsi="Arial" w:cs="Arial"/>
          <w:sz w:val="28"/>
          <w:szCs w:val="28"/>
        </w:rPr>
      </w:pPr>
      <w:r w:rsidRPr="008D5884">
        <w:rPr>
          <w:rFonts w:ascii="Arial" w:eastAsia="Times New Roman" w:hAnsi="Arial" w:cs="Arial"/>
          <w:sz w:val="28"/>
          <w:szCs w:val="28"/>
        </w:rPr>
        <w:t>Discussion on the LEAP program and some of the changes from Assembly Bill 313 (Chapter 515, Statutes of 2021).</w:t>
      </w:r>
    </w:p>
    <w:p w14:paraId="7E243A02" w14:textId="77777777" w:rsidR="008D5884" w:rsidRPr="008D5884" w:rsidRDefault="008D5884" w:rsidP="008D5884">
      <w:pPr>
        <w:numPr>
          <w:ilvl w:val="0"/>
          <w:numId w:val="3"/>
        </w:numPr>
        <w:autoSpaceDE w:val="0"/>
        <w:autoSpaceDN w:val="0"/>
        <w:adjustRightInd w:val="0"/>
        <w:spacing w:after="0" w:line="240" w:lineRule="auto"/>
        <w:contextualSpacing/>
        <w:rPr>
          <w:rFonts w:ascii="Arial" w:eastAsia="Times New Roman" w:hAnsi="Arial" w:cs="Arial"/>
          <w:sz w:val="28"/>
          <w:szCs w:val="28"/>
        </w:rPr>
      </w:pPr>
      <w:r w:rsidRPr="008D5884">
        <w:rPr>
          <w:rFonts w:ascii="Arial" w:eastAsia="Times New Roman" w:hAnsi="Arial" w:cs="Arial"/>
          <w:sz w:val="28"/>
          <w:szCs w:val="28"/>
        </w:rPr>
        <w:t>Discussion on how DOR can be a resource to other Departments to assist with hiring of people with disabilities.</w:t>
      </w:r>
    </w:p>
    <w:p w14:paraId="4ED26B37" w14:textId="77777777" w:rsidR="008D5884" w:rsidRPr="008D5884" w:rsidRDefault="008D5884" w:rsidP="008D5884">
      <w:pPr>
        <w:numPr>
          <w:ilvl w:val="0"/>
          <w:numId w:val="3"/>
        </w:numPr>
        <w:autoSpaceDE w:val="0"/>
        <w:autoSpaceDN w:val="0"/>
        <w:adjustRightInd w:val="0"/>
        <w:spacing w:after="0" w:line="240" w:lineRule="auto"/>
        <w:contextualSpacing/>
        <w:rPr>
          <w:rFonts w:ascii="Arial" w:eastAsia="Times New Roman" w:hAnsi="Arial" w:cs="Arial"/>
          <w:sz w:val="28"/>
          <w:szCs w:val="28"/>
        </w:rPr>
      </w:pPr>
      <w:r w:rsidRPr="008D5884">
        <w:rPr>
          <w:rFonts w:ascii="Arial" w:eastAsia="Times New Roman" w:hAnsi="Arial" w:cs="Arial"/>
          <w:sz w:val="28"/>
          <w:szCs w:val="28"/>
        </w:rPr>
        <w:t xml:space="preserve">There was a virtual service discussion and whether services were hindered. DOR and Independent Living Centers remained open </w:t>
      </w:r>
      <w:r w:rsidRPr="008D5884">
        <w:rPr>
          <w:rFonts w:ascii="Arial" w:eastAsia="Times New Roman" w:hAnsi="Arial" w:cs="Arial"/>
          <w:sz w:val="28"/>
          <w:szCs w:val="28"/>
        </w:rPr>
        <w:lastRenderedPageBreak/>
        <w:t>throughout the pandemic. Did see some challenges with technology and accessibility to technology.</w:t>
      </w:r>
    </w:p>
    <w:p w14:paraId="79680CFF" w14:textId="77777777" w:rsidR="008D5884" w:rsidRPr="008D5884" w:rsidRDefault="008D5884" w:rsidP="008D5884">
      <w:pPr>
        <w:autoSpaceDE w:val="0"/>
        <w:autoSpaceDN w:val="0"/>
        <w:adjustRightInd w:val="0"/>
        <w:spacing w:after="0" w:line="240" w:lineRule="auto"/>
        <w:rPr>
          <w:rFonts w:ascii="Arial" w:eastAsia="Times New Roman" w:hAnsi="Arial" w:cs="Arial"/>
          <w:sz w:val="28"/>
          <w:szCs w:val="28"/>
        </w:rPr>
      </w:pPr>
    </w:p>
    <w:p w14:paraId="27C781AF" w14:textId="77777777" w:rsidR="008D5884" w:rsidRPr="008D5884" w:rsidRDefault="008D5884" w:rsidP="008D5884">
      <w:pPr>
        <w:autoSpaceDE w:val="0"/>
        <w:autoSpaceDN w:val="0"/>
        <w:adjustRightInd w:val="0"/>
        <w:spacing w:after="0" w:line="240" w:lineRule="auto"/>
        <w:rPr>
          <w:rFonts w:ascii="Arial" w:eastAsia="Times New Roman" w:hAnsi="Arial" w:cs="Arial"/>
          <w:b/>
          <w:sz w:val="28"/>
          <w:szCs w:val="28"/>
        </w:rPr>
      </w:pPr>
      <w:r w:rsidRPr="008D5884">
        <w:rPr>
          <w:rFonts w:ascii="Arial" w:eastAsia="Times New Roman" w:hAnsi="Arial" w:cs="Arial"/>
          <w:b/>
          <w:color w:val="000000"/>
          <w:sz w:val="28"/>
          <w:szCs w:val="28"/>
        </w:rPr>
        <w:t xml:space="preserve">3. </w:t>
      </w:r>
      <w:r w:rsidRPr="008D5884">
        <w:rPr>
          <w:rFonts w:ascii="Arial" w:eastAsia="Times New Roman" w:hAnsi="Arial" w:cs="Arial"/>
          <w:b/>
          <w:sz w:val="28"/>
          <w:szCs w:val="28"/>
        </w:rPr>
        <w:t xml:space="preserve">Approval of November 2021 CCEPD Full Committee Meeting </w:t>
      </w:r>
    </w:p>
    <w:p w14:paraId="2BC6D18B" w14:textId="77777777" w:rsidR="008D5884" w:rsidRPr="008D5884" w:rsidRDefault="008D5884" w:rsidP="008D5884">
      <w:pPr>
        <w:tabs>
          <w:tab w:val="left" w:pos="0"/>
        </w:tabs>
        <w:autoSpaceDE w:val="0"/>
        <w:autoSpaceDN w:val="0"/>
        <w:adjustRightInd w:val="0"/>
        <w:spacing w:after="0" w:line="240" w:lineRule="auto"/>
        <w:rPr>
          <w:rFonts w:ascii="Arial" w:eastAsia="Times New Roman" w:hAnsi="Arial" w:cs="Arial"/>
          <w:bCs/>
          <w:sz w:val="28"/>
          <w:szCs w:val="28"/>
        </w:rPr>
      </w:pPr>
      <w:bookmarkStart w:id="16" w:name="_Hlk28690664"/>
      <w:r w:rsidRPr="008D5884">
        <w:rPr>
          <w:rFonts w:ascii="Arial" w:eastAsia="Times New Roman" w:hAnsi="Arial" w:cs="Arial"/>
          <w:bCs/>
          <w:sz w:val="28"/>
          <w:szCs w:val="28"/>
        </w:rPr>
        <w:t>Motion: It was moved/seconded (Dawson/Glunt) to approve the November meeting minutes</w:t>
      </w:r>
      <w:bookmarkEnd w:id="16"/>
      <w:r w:rsidRPr="008D5884">
        <w:rPr>
          <w:rFonts w:ascii="Arial" w:eastAsia="Times New Roman" w:hAnsi="Arial" w:cs="Arial"/>
          <w:bCs/>
          <w:sz w:val="28"/>
          <w:szCs w:val="28"/>
        </w:rPr>
        <w:t xml:space="preserve">. (Yes –Acton, Beltran, Dawson, Fried, Glunt, Hayes, Kim, Ladd, Luna, Meyer, Sifuentes, and Winchell); </w:t>
      </w:r>
      <w:bookmarkStart w:id="17" w:name="_Hlk75858021"/>
      <w:r w:rsidRPr="008D5884">
        <w:rPr>
          <w:rFonts w:ascii="Arial" w:eastAsia="Times New Roman" w:hAnsi="Arial" w:cs="Arial"/>
          <w:bCs/>
          <w:sz w:val="28"/>
          <w:szCs w:val="28"/>
        </w:rPr>
        <w:t xml:space="preserve">(No – none); (Abstain – Meyer).  Motion passed on 10-0-2 vote. </w:t>
      </w:r>
    </w:p>
    <w:p w14:paraId="05619977" w14:textId="77777777" w:rsidR="008D5884" w:rsidRPr="008D5884" w:rsidRDefault="008D5884" w:rsidP="008D5884">
      <w:pPr>
        <w:tabs>
          <w:tab w:val="left" w:pos="0"/>
        </w:tabs>
        <w:autoSpaceDE w:val="0"/>
        <w:autoSpaceDN w:val="0"/>
        <w:adjustRightInd w:val="0"/>
        <w:spacing w:after="0" w:line="240" w:lineRule="auto"/>
        <w:rPr>
          <w:rFonts w:ascii="Arial" w:eastAsia="Times New Roman" w:hAnsi="Arial" w:cs="Arial"/>
          <w:bCs/>
          <w:sz w:val="28"/>
          <w:szCs w:val="28"/>
        </w:rPr>
      </w:pPr>
    </w:p>
    <w:bookmarkEnd w:id="17"/>
    <w:p w14:paraId="0C492727" w14:textId="77777777" w:rsidR="008D5884" w:rsidRPr="008D5884" w:rsidRDefault="008D5884" w:rsidP="008D5884">
      <w:pPr>
        <w:tabs>
          <w:tab w:val="left" w:pos="6210"/>
        </w:tabs>
        <w:autoSpaceDE w:val="0"/>
        <w:autoSpaceDN w:val="0"/>
        <w:adjustRightInd w:val="0"/>
        <w:spacing w:after="0" w:line="240" w:lineRule="auto"/>
        <w:rPr>
          <w:rFonts w:ascii="Arial" w:eastAsia="Times New Roman" w:hAnsi="Arial" w:cs="Arial"/>
          <w:b/>
          <w:sz w:val="28"/>
          <w:szCs w:val="28"/>
        </w:rPr>
      </w:pPr>
      <w:r w:rsidRPr="008D5884">
        <w:rPr>
          <w:rFonts w:ascii="Arial" w:eastAsia="Times New Roman" w:hAnsi="Arial" w:cs="Arial"/>
          <w:b/>
          <w:color w:val="000000"/>
          <w:sz w:val="28"/>
          <w:szCs w:val="28"/>
        </w:rPr>
        <w:t xml:space="preserve">4.  </w:t>
      </w:r>
      <w:r w:rsidRPr="008D5884">
        <w:rPr>
          <w:rFonts w:ascii="Arial" w:eastAsia="Times New Roman" w:hAnsi="Arial" w:cs="Arial"/>
          <w:b/>
          <w:sz w:val="28"/>
          <w:szCs w:val="28"/>
        </w:rPr>
        <w:t>Election of Vice-Chair</w:t>
      </w:r>
    </w:p>
    <w:p w14:paraId="6D6FAA21" w14:textId="77777777" w:rsidR="008D5884" w:rsidRPr="008D5884" w:rsidRDefault="008D5884" w:rsidP="008D5884">
      <w:pPr>
        <w:tabs>
          <w:tab w:val="left" w:pos="6210"/>
        </w:tabs>
        <w:autoSpaceDE w:val="0"/>
        <w:autoSpaceDN w:val="0"/>
        <w:adjustRightInd w:val="0"/>
        <w:spacing w:after="0" w:line="240" w:lineRule="auto"/>
        <w:rPr>
          <w:rFonts w:ascii="Arial" w:eastAsia="Times New Roman" w:hAnsi="Arial" w:cs="Arial"/>
          <w:bCs/>
          <w:sz w:val="28"/>
          <w:szCs w:val="28"/>
        </w:rPr>
      </w:pPr>
      <w:r w:rsidRPr="008D5884">
        <w:rPr>
          <w:rFonts w:ascii="Arial" w:eastAsia="Times New Roman" w:hAnsi="Arial" w:cs="Arial"/>
          <w:bCs/>
          <w:sz w:val="28"/>
          <w:szCs w:val="28"/>
        </w:rPr>
        <w:t>Chair Dawson announced the nominee for Vice Chair, Taylor Winchell, and she accepted. Motion: It was moved/seconded (Sifuentes/Hayes) to move the nomination forward. (Yes –Acton, Beltran, Dawson, Fried, Glunt, Hayes, Ladd, Luna, Meyer, Sifuentes, and Winchell); (No – 0); (Abstain – 0). Motion passed on 11-0-0 vote.</w:t>
      </w:r>
    </w:p>
    <w:p w14:paraId="6FDE9F35" w14:textId="77777777" w:rsidR="008D5884" w:rsidRPr="008D5884" w:rsidRDefault="008D5884" w:rsidP="008D5884">
      <w:pPr>
        <w:tabs>
          <w:tab w:val="left" w:pos="6210"/>
        </w:tabs>
        <w:autoSpaceDE w:val="0"/>
        <w:autoSpaceDN w:val="0"/>
        <w:adjustRightInd w:val="0"/>
        <w:spacing w:after="0" w:line="240" w:lineRule="auto"/>
        <w:rPr>
          <w:rFonts w:ascii="Arial" w:eastAsia="Times New Roman" w:hAnsi="Arial" w:cs="Arial"/>
          <w:b/>
          <w:sz w:val="28"/>
          <w:szCs w:val="28"/>
        </w:rPr>
      </w:pPr>
    </w:p>
    <w:p w14:paraId="4A8EB1C2" w14:textId="77777777" w:rsidR="008D5884" w:rsidRPr="008D5884" w:rsidRDefault="008D5884" w:rsidP="008D5884">
      <w:pPr>
        <w:spacing w:after="0" w:line="240" w:lineRule="auto"/>
        <w:contextualSpacing/>
        <w:rPr>
          <w:rFonts w:ascii="Arial" w:eastAsia="Times New Roman" w:hAnsi="Arial" w:cs="Arial"/>
          <w:b/>
          <w:sz w:val="28"/>
          <w:szCs w:val="28"/>
        </w:rPr>
      </w:pPr>
      <w:r w:rsidRPr="008D5884">
        <w:rPr>
          <w:rFonts w:ascii="Arial" w:eastAsia="Times New Roman" w:hAnsi="Arial" w:cs="Arial"/>
          <w:b/>
          <w:sz w:val="28"/>
          <w:szCs w:val="28"/>
        </w:rPr>
        <w:t xml:space="preserve">5. </w:t>
      </w:r>
      <w:bookmarkStart w:id="18" w:name="_Hlk48811037"/>
      <w:r w:rsidRPr="008D5884">
        <w:rPr>
          <w:rFonts w:ascii="Arial" w:eastAsia="Times New Roman" w:hAnsi="Arial" w:cs="Arial"/>
          <w:b/>
          <w:sz w:val="28"/>
          <w:szCs w:val="28"/>
        </w:rPr>
        <w:t>Approval of Proposed Operating Guidelines</w:t>
      </w:r>
    </w:p>
    <w:p w14:paraId="5F4642E8" w14:textId="77777777" w:rsidR="008D5884" w:rsidRPr="008D5884" w:rsidRDefault="008D5884" w:rsidP="008D5884">
      <w:pPr>
        <w:spacing w:after="0" w:line="240" w:lineRule="auto"/>
        <w:contextualSpacing/>
        <w:rPr>
          <w:rFonts w:ascii="Arial" w:eastAsia="Times New Roman" w:hAnsi="Arial" w:cs="Arial"/>
          <w:bCs/>
          <w:sz w:val="28"/>
          <w:szCs w:val="28"/>
        </w:rPr>
      </w:pPr>
      <w:r w:rsidRPr="008D5884">
        <w:rPr>
          <w:rFonts w:ascii="Arial" w:eastAsia="Times New Roman" w:hAnsi="Arial" w:cs="Arial"/>
          <w:bCs/>
          <w:sz w:val="28"/>
          <w:szCs w:val="28"/>
        </w:rPr>
        <w:t xml:space="preserve">Executive Aliferis-Gjerde presented changes which include that a member of the public can serve as a chair or co-chair on Subcommittee but not on the Full Committee.  Further changes may be made later this year based on any Bagley-Keane updates. </w:t>
      </w:r>
    </w:p>
    <w:p w14:paraId="2581998C" w14:textId="77777777" w:rsidR="008D5884" w:rsidRPr="008D5884" w:rsidRDefault="008D5884" w:rsidP="008D5884">
      <w:pPr>
        <w:spacing w:after="0" w:line="240" w:lineRule="auto"/>
        <w:contextualSpacing/>
        <w:rPr>
          <w:rFonts w:ascii="Arial" w:eastAsia="Times New Roman" w:hAnsi="Arial" w:cs="Arial"/>
          <w:bCs/>
          <w:sz w:val="28"/>
          <w:szCs w:val="28"/>
        </w:rPr>
      </w:pPr>
    </w:p>
    <w:p w14:paraId="77EC4C79" w14:textId="77777777" w:rsidR="008D5884" w:rsidRPr="008D5884" w:rsidRDefault="008D5884" w:rsidP="008D5884">
      <w:pPr>
        <w:spacing w:after="0" w:line="240" w:lineRule="auto"/>
        <w:contextualSpacing/>
        <w:rPr>
          <w:rFonts w:ascii="Arial" w:eastAsia="Times New Roman" w:hAnsi="Arial" w:cs="Arial"/>
          <w:bCs/>
          <w:sz w:val="28"/>
          <w:szCs w:val="28"/>
        </w:rPr>
      </w:pPr>
      <w:r w:rsidRPr="008D5884">
        <w:rPr>
          <w:rFonts w:ascii="Arial" w:eastAsia="Times New Roman" w:hAnsi="Arial" w:cs="Arial"/>
          <w:bCs/>
          <w:sz w:val="28"/>
          <w:szCs w:val="28"/>
        </w:rPr>
        <w:t>Motion: It moved/second (Hayes/Glunt) to adopt the proposed operating guidelines. (Yes- Acton, Beltran, Dawson, Fried, Glunt, Hayes, Ladd, Luna, Meyer, Sifuentes, and Winchell); (No – 0); (Abstain– 0). Motion passed on 11-0-0 vote.</w:t>
      </w:r>
    </w:p>
    <w:p w14:paraId="3F3EBC23" w14:textId="77777777" w:rsidR="008D5884" w:rsidRPr="008D5884" w:rsidRDefault="008D5884" w:rsidP="008D5884">
      <w:pPr>
        <w:autoSpaceDE w:val="0"/>
        <w:autoSpaceDN w:val="0"/>
        <w:adjustRightInd w:val="0"/>
        <w:spacing w:after="0" w:line="240" w:lineRule="auto"/>
        <w:ind w:left="720"/>
        <w:contextualSpacing/>
        <w:rPr>
          <w:rFonts w:ascii="Arial" w:eastAsia="Times New Roman" w:hAnsi="Arial" w:cs="Arial"/>
          <w:bCs/>
          <w:sz w:val="28"/>
          <w:szCs w:val="28"/>
        </w:rPr>
      </w:pPr>
    </w:p>
    <w:p w14:paraId="64C4600E" w14:textId="77777777" w:rsidR="008D5884" w:rsidRPr="008D5884" w:rsidRDefault="008D5884" w:rsidP="008D5884">
      <w:pPr>
        <w:tabs>
          <w:tab w:val="left" w:pos="0"/>
          <w:tab w:val="left" w:pos="720"/>
          <w:tab w:val="left" w:pos="6210"/>
        </w:tabs>
        <w:autoSpaceDE w:val="0"/>
        <w:autoSpaceDN w:val="0"/>
        <w:adjustRightInd w:val="0"/>
        <w:spacing w:after="0" w:line="240" w:lineRule="auto"/>
        <w:rPr>
          <w:rFonts w:ascii="Arial" w:eastAsia="Times New Roman" w:hAnsi="Arial" w:cs="Arial"/>
          <w:b/>
          <w:sz w:val="28"/>
          <w:szCs w:val="28"/>
        </w:rPr>
      </w:pPr>
      <w:r w:rsidRPr="008D5884">
        <w:rPr>
          <w:rFonts w:ascii="Arial" w:eastAsia="Times New Roman" w:hAnsi="Arial" w:cs="Arial"/>
          <w:b/>
          <w:sz w:val="28"/>
          <w:szCs w:val="28"/>
        </w:rPr>
        <w:t xml:space="preserve">6. </w:t>
      </w:r>
      <w:bookmarkStart w:id="19" w:name="_Hlk40948363"/>
      <w:bookmarkEnd w:id="18"/>
      <w:r w:rsidRPr="008D5884">
        <w:rPr>
          <w:rFonts w:ascii="Arial" w:eastAsia="Times New Roman" w:hAnsi="Arial" w:cs="Arial"/>
          <w:b/>
          <w:sz w:val="28"/>
          <w:szCs w:val="28"/>
        </w:rPr>
        <w:t>Approval of Youth Leadership Forum (YLF) 2.1 Concepts</w:t>
      </w:r>
    </w:p>
    <w:p w14:paraId="5CA5F504" w14:textId="77777777" w:rsidR="008D5884" w:rsidRPr="008D5884" w:rsidRDefault="008D5884" w:rsidP="008D5884">
      <w:pPr>
        <w:tabs>
          <w:tab w:val="left" w:pos="0"/>
          <w:tab w:val="left" w:pos="720"/>
          <w:tab w:val="left" w:pos="6210"/>
        </w:tabs>
        <w:autoSpaceDE w:val="0"/>
        <w:autoSpaceDN w:val="0"/>
        <w:adjustRightInd w:val="0"/>
        <w:spacing w:after="0" w:line="240" w:lineRule="auto"/>
        <w:rPr>
          <w:rFonts w:ascii="Arial" w:eastAsia="Times New Roman" w:hAnsi="Arial" w:cs="Arial"/>
          <w:bCs/>
          <w:sz w:val="28"/>
          <w:szCs w:val="28"/>
        </w:rPr>
      </w:pPr>
      <w:r w:rsidRPr="008D5884">
        <w:rPr>
          <w:rFonts w:ascii="Arial" w:eastAsia="Times New Roman" w:hAnsi="Arial" w:cs="Arial"/>
          <w:bCs/>
          <w:sz w:val="28"/>
          <w:szCs w:val="28"/>
        </w:rPr>
        <w:t xml:space="preserve">Subcommittee Chair Glunt provided an overview of the YLF 2.1 concept and discussed previous efforts for the Committee. The concept adds work experience and parent curriculum. Discussed how the concept can increase the number of students served. Emphasized regional events will be a feeder to the statewide event with the statewide event having a more intensive leadership and civic engagement focus. Regional events will closely align with DOR Student Services. </w:t>
      </w:r>
    </w:p>
    <w:p w14:paraId="65B584ED" w14:textId="77777777" w:rsidR="008D5884" w:rsidRPr="008D5884" w:rsidRDefault="008D5884" w:rsidP="008D5884">
      <w:pPr>
        <w:tabs>
          <w:tab w:val="left" w:pos="0"/>
          <w:tab w:val="left" w:pos="720"/>
          <w:tab w:val="left" w:pos="6210"/>
        </w:tabs>
        <w:autoSpaceDE w:val="0"/>
        <w:autoSpaceDN w:val="0"/>
        <w:adjustRightInd w:val="0"/>
        <w:spacing w:after="0" w:line="240" w:lineRule="auto"/>
        <w:rPr>
          <w:rFonts w:ascii="Arial" w:eastAsia="Times New Roman" w:hAnsi="Arial" w:cs="Arial"/>
          <w:bCs/>
          <w:sz w:val="28"/>
          <w:szCs w:val="28"/>
        </w:rPr>
      </w:pPr>
    </w:p>
    <w:p w14:paraId="7FB95634" w14:textId="77777777" w:rsidR="008D5884" w:rsidRPr="008D5884" w:rsidRDefault="008D5884" w:rsidP="008D5884">
      <w:pPr>
        <w:tabs>
          <w:tab w:val="left" w:pos="0"/>
          <w:tab w:val="left" w:pos="720"/>
          <w:tab w:val="left" w:pos="6210"/>
        </w:tabs>
        <w:autoSpaceDE w:val="0"/>
        <w:autoSpaceDN w:val="0"/>
        <w:adjustRightInd w:val="0"/>
        <w:spacing w:after="0" w:line="240" w:lineRule="auto"/>
        <w:rPr>
          <w:rFonts w:ascii="Arial" w:eastAsia="Times New Roman" w:hAnsi="Arial" w:cs="Arial"/>
          <w:bCs/>
          <w:sz w:val="28"/>
          <w:szCs w:val="28"/>
        </w:rPr>
      </w:pPr>
      <w:r w:rsidRPr="008D5884">
        <w:rPr>
          <w:rFonts w:ascii="Arial" w:eastAsia="Times New Roman" w:hAnsi="Arial" w:cs="Arial"/>
          <w:bCs/>
          <w:sz w:val="28"/>
          <w:szCs w:val="28"/>
        </w:rPr>
        <w:t>Members had some questions and discussion:</w:t>
      </w:r>
    </w:p>
    <w:p w14:paraId="042D0E7E" w14:textId="77777777" w:rsidR="008D5884" w:rsidRPr="008D5884" w:rsidRDefault="008D5884" w:rsidP="008D5884">
      <w:pPr>
        <w:numPr>
          <w:ilvl w:val="0"/>
          <w:numId w:val="4"/>
        </w:numPr>
        <w:tabs>
          <w:tab w:val="left" w:pos="0"/>
          <w:tab w:val="left" w:pos="720"/>
          <w:tab w:val="left" w:pos="6210"/>
        </w:tabs>
        <w:autoSpaceDE w:val="0"/>
        <w:autoSpaceDN w:val="0"/>
        <w:adjustRightInd w:val="0"/>
        <w:spacing w:after="0" w:line="240" w:lineRule="auto"/>
        <w:contextualSpacing/>
        <w:rPr>
          <w:rFonts w:ascii="Arial" w:eastAsia="Times New Roman" w:hAnsi="Arial" w:cs="Arial"/>
          <w:bCs/>
          <w:sz w:val="28"/>
          <w:szCs w:val="28"/>
        </w:rPr>
      </w:pPr>
      <w:r w:rsidRPr="008D5884">
        <w:rPr>
          <w:rFonts w:ascii="Arial" w:eastAsia="Times New Roman" w:hAnsi="Arial" w:cs="Arial"/>
          <w:bCs/>
          <w:sz w:val="28"/>
          <w:szCs w:val="28"/>
        </w:rPr>
        <w:t>Type of work experience offered. Discussed how partnerships at the local level will be key and could provide for more targeted efforts in specific careers.</w:t>
      </w:r>
    </w:p>
    <w:p w14:paraId="4F91A627" w14:textId="77777777" w:rsidR="008D5884" w:rsidRPr="008D5884" w:rsidRDefault="008D5884" w:rsidP="008D5884">
      <w:pPr>
        <w:numPr>
          <w:ilvl w:val="0"/>
          <w:numId w:val="4"/>
        </w:numPr>
        <w:tabs>
          <w:tab w:val="left" w:pos="0"/>
          <w:tab w:val="left" w:pos="720"/>
          <w:tab w:val="left" w:pos="6210"/>
        </w:tabs>
        <w:autoSpaceDE w:val="0"/>
        <w:autoSpaceDN w:val="0"/>
        <w:adjustRightInd w:val="0"/>
        <w:spacing w:after="0" w:line="240" w:lineRule="auto"/>
        <w:contextualSpacing/>
        <w:rPr>
          <w:rFonts w:ascii="Arial" w:eastAsia="Times New Roman" w:hAnsi="Arial" w:cs="Arial"/>
          <w:bCs/>
          <w:sz w:val="28"/>
          <w:szCs w:val="28"/>
        </w:rPr>
      </w:pPr>
      <w:r w:rsidRPr="008D5884">
        <w:rPr>
          <w:rFonts w:ascii="Arial" w:eastAsia="Times New Roman" w:hAnsi="Arial" w:cs="Arial"/>
          <w:bCs/>
          <w:sz w:val="28"/>
          <w:szCs w:val="28"/>
        </w:rPr>
        <w:lastRenderedPageBreak/>
        <w:t>Discussion if a student has lined up a summer internship and whether it would be included. Yes, it would be.</w:t>
      </w:r>
    </w:p>
    <w:p w14:paraId="21A010B8" w14:textId="77777777" w:rsidR="008D5884" w:rsidRPr="008D5884" w:rsidRDefault="008D5884" w:rsidP="008D5884">
      <w:pPr>
        <w:numPr>
          <w:ilvl w:val="0"/>
          <w:numId w:val="4"/>
        </w:numPr>
        <w:tabs>
          <w:tab w:val="left" w:pos="0"/>
          <w:tab w:val="left" w:pos="720"/>
          <w:tab w:val="left" w:pos="6210"/>
        </w:tabs>
        <w:autoSpaceDE w:val="0"/>
        <w:autoSpaceDN w:val="0"/>
        <w:adjustRightInd w:val="0"/>
        <w:spacing w:after="0" w:line="240" w:lineRule="auto"/>
        <w:contextualSpacing/>
        <w:rPr>
          <w:rFonts w:ascii="Arial" w:eastAsia="Times New Roman" w:hAnsi="Arial" w:cs="Arial"/>
          <w:bCs/>
          <w:sz w:val="28"/>
          <w:szCs w:val="28"/>
        </w:rPr>
      </w:pPr>
      <w:r w:rsidRPr="008D5884">
        <w:rPr>
          <w:rFonts w:ascii="Arial" w:eastAsia="Times New Roman" w:hAnsi="Arial" w:cs="Arial"/>
          <w:bCs/>
          <w:sz w:val="28"/>
          <w:szCs w:val="28"/>
        </w:rPr>
        <w:t>Question about the ages for participating students, which students are juniors and seniors, and the peer mentors. The peer mentors would be around same age as participating students.</w:t>
      </w:r>
    </w:p>
    <w:p w14:paraId="14AE2190" w14:textId="77777777" w:rsidR="008D5884" w:rsidRPr="008D5884" w:rsidRDefault="008D5884" w:rsidP="008D5884">
      <w:pPr>
        <w:numPr>
          <w:ilvl w:val="0"/>
          <w:numId w:val="4"/>
        </w:numPr>
        <w:tabs>
          <w:tab w:val="left" w:pos="0"/>
          <w:tab w:val="left" w:pos="720"/>
          <w:tab w:val="left" w:pos="6210"/>
        </w:tabs>
        <w:autoSpaceDE w:val="0"/>
        <w:autoSpaceDN w:val="0"/>
        <w:adjustRightInd w:val="0"/>
        <w:spacing w:after="0" w:line="240" w:lineRule="auto"/>
        <w:contextualSpacing/>
        <w:rPr>
          <w:rFonts w:ascii="Arial" w:eastAsia="Times New Roman" w:hAnsi="Arial" w:cs="Arial"/>
          <w:bCs/>
          <w:sz w:val="28"/>
          <w:szCs w:val="28"/>
        </w:rPr>
      </w:pPr>
      <w:r w:rsidRPr="008D5884">
        <w:rPr>
          <w:rFonts w:ascii="Arial" w:eastAsia="Times New Roman" w:hAnsi="Arial" w:cs="Arial"/>
          <w:bCs/>
          <w:sz w:val="28"/>
          <w:szCs w:val="28"/>
        </w:rPr>
        <w:t>Discussion on funding streams depending on whether the youth is in-school or out-of-school matters greatly for funding.</w:t>
      </w:r>
    </w:p>
    <w:p w14:paraId="774A460F" w14:textId="77777777" w:rsidR="008D5884" w:rsidRPr="008D5884" w:rsidRDefault="008D5884" w:rsidP="008D5884">
      <w:pPr>
        <w:numPr>
          <w:ilvl w:val="0"/>
          <w:numId w:val="4"/>
        </w:numPr>
        <w:tabs>
          <w:tab w:val="left" w:pos="0"/>
          <w:tab w:val="left" w:pos="720"/>
          <w:tab w:val="left" w:pos="6210"/>
        </w:tabs>
        <w:autoSpaceDE w:val="0"/>
        <w:autoSpaceDN w:val="0"/>
        <w:adjustRightInd w:val="0"/>
        <w:spacing w:after="0" w:line="240" w:lineRule="auto"/>
        <w:contextualSpacing/>
        <w:rPr>
          <w:rFonts w:ascii="Arial" w:eastAsia="Times New Roman" w:hAnsi="Arial" w:cs="Arial"/>
          <w:bCs/>
          <w:sz w:val="28"/>
          <w:szCs w:val="28"/>
        </w:rPr>
      </w:pPr>
      <w:r w:rsidRPr="008D5884">
        <w:rPr>
          <w:rFonts w:ascii="Arial" w:eastAsia="Times New Roman" w:hAnsi="Arial" w:cs="Arial"/>
          <w:bCs/>
          <w:sz w:val="28"/>
          <w:szCs w:val="28"/>
        </w:rPr>
        <w:t>Question on how it works if students are going to 4-year institution. It would be tailored to the student.</w:t>
      </w:r>
    </w:p>
    <w:p w14:paraId="776EA8DA" w14:textId="77777777" w:rsidR="008D5884" w:rsidRPr="008D5884" w:rsidRDefault="008D5884" w:rsidP="008D5884">
      <w:pPr>
        <w:numPr>
          <w:ilvl w:val="0"/>
          <w:numId w:val="4"/>
        </w:numPr>
        <w:tabs>
          <w:tab w:val="left" w:pos="0"/>
          <w:tab w:val="left" w:pos="720"/>
          <w:tab w:val="left" w:pos="6210"/>
        </w:tabs>
        <w:autoSpaceDE w:val="0"/>
        <w:autoSpaceDN w:val="0"/>
        <w:adjustRightInd w:val="0"/>
        <w:spacing w:after="0" w:line="240" w:lineRule="auto"/>
        <w:contextualSpacing/>
        <w:rPr>
          <w:rFonts w:ascii="Arial" w:eastAsia="Times New Roman" w:hAnsi="Arial" w:cs="Arial"/>
          <w:bCs/>
          <w:sz w:val="28"/>
          <w:szCs w:val="28"/>
        </w:rPr>
      </w:pPr>
      <w:r w:rsidRPr="008D5884">
        <w:rPr>
          <w:rFonts w:ascii="Arial" w:eastAsia="Times New Roman" w:hAnsi="Arial" w:cs="Arial"/>
          <w:bCs/>
          <w:sz w:val="28"/>
          <w:szCs w:val="28"/>
        </w:rPr>
        <w:t>Students with intellectual disabilities are included in the work experience.</w:t>
      </w:r>
    </w:p>
    <w:p w14:paraId="6B50B9B0" w14:textId="77777777" w:rsidR="008D5884" w:rsidRPr="008D5884" w:rsidRDefault="008D5884" w:rsidP="008D5884">
      <w:pPr>
        <w:tabs>
          <w:tab w:val="left" w:pos="0"/>
          <w:tab w:val="left" w:pos="720"/>
          <w:tab w:val="left" w:pos="6210"/>
        </w:tabs>
        <w:autoSpaceDE w:val="0"/>
        <w:autoSpaceDN w:val="0"/>
        <w:adjustRightInd w:val="0"/>
        <w:spacing w:after="0" w:line="240" w:lineRule="auto"/>
        <w:rPr>
          <w:rFonts w:ascii="Arial" w:eastAsia="Times New Roman" w:hAnsi="Arial" w:cs="Arial"/>
          <w:bCs/>
          <w:sz w:val="28"/>
          <w:szCs w:val="28"/>
        </w:rPr>
      </w:pPr>
    </w:p>
    <w:p w14:paraId="12F096F1" w14:textId="77777777" w:rsidR="008D5884" w:rsidRPr="008D5884" w:rsidRDefault="008D5884" w:rsidP="008D5884">
      <w:pPr>
        <w:tabs>
          <w:tab w:val="left" w:pos="0"/>
          <w:tab w:val="left" w:pos="720"/>
          <w:tab w:val="left" w:pos="6210"/>
        </w:tabs>
        <w:autoSpaceDE w:val="0"/>
        <w:autoSpaceDN w:val="0"/>
        <w:adjustRightInd w:val="0"/>
        <w:spacing w:after="0" w:line="240" w:lineRule="auto"/>
        <w:rPr>
          <w:rFonts w:ascii="Arial" w:eastAsia="Times New Roman" w:hAnsi="Arial" w:cs="Arial"/>
          <w:bCs/>
          <w:sz w:val="28"/>
          <w:szCs w:val="28"/>
        </w:rPr>
      </w:pPr>
      <w:r w:rsidRPr="008D5884">
        <w:rPr>
          <w:rFonts w:ascii="Arial" w:eastAsia="Times New Roman" w:hAnsi="Arial" w:cs="Arial"/>
          <w:bCs/>
          <w:sz w:val="28"/>
          <w:szCs w:val="28"/>
        </w:rPr>
        <w:t>Motion: It was moved/seconded (Sifuentes/Hayes) to approve the YLF 2.1 concepts and submit to the lead departments. (Yes - Acton, Beltran, Dawson, Fried, Glunt, Hayes, O’Camb, Ladd, Luna, Meyer, and Sifuentes); (No – 0); (Abstain - 0). Motion passed on 11-0-0 vote.</w:t>
      </w:r>
    </w:p>
    <w:p w14:paraId="32DB54B9" w14:textId="77777777" w:rsidR="008D5884" w:rsidRPr="008D5884" w:rsidRDefault="008D5884" w:rsidP="008D5884">
      <w:pPr>
        <w:tabs>
          <w:tab w:val="left" w:pos="0"/>
          <w:tab w:val="left" w:pos="720"/>
          <w:tab w:val="left" w:pos="6210"/>
        </w:tabs>
        <w:autoSpaceDE w:val="0"/>
        <w:autoSpaceDN w:val="0"/>
        <w:adjustRightInd w:val="0"/>
        <w:spacing w:after="0" w:line="240" w:lineRule="auto"/>
        <w:rPr>
          <w:rFonts w:ascii="Arial" w:eastAsia="Times New Roman" w:hAnsi="Arial" w:cs="Arial"/>
          <w:b/>
          <w:sz w:val="28"/>
          <w:szCs w:val="28"/>
        </w:rPr>
      </w:pPr>
    </w:p>
    <w:p w14:paraId="234E0763" w14:textId="77777777" w:rsidR="008D5884" w:rsidRPr="008D5884" w:rsidRDefault="008D5884" w:rsidP="008D5884">
      <w:pPr>
        <w:tabs>
          <w:tab w:val="left" w:pos="0"/>
          <w:tab w:val="left" w:pos="720"/>
          <w:tab w:val="left" w:pos="6210"/>
        </w:tabs>
        <w:autoSpaceDE w:val="0"/>
        <w:autoSpaceDN w:val="0"/>
        <w:adjustRightInd w:val="0"/>
        <w:spacing w:after="0" w:line="240" w:lineRule="auto"/>
        <w:rPr>
          <w:rFonts w:ascii="Arial" w:eastAsia="Times New Roman" w:hAnsi="Arial" w:cs="Arial"/>
          <w:b/>
          <w:sz w:val="28"/>
          <w:szCs w:val="28"/>
        </w:rPr>
      </w:pPr>
      <w:r w:rsidRPr="008D5884">
        <w:rPr>
          <w:rFonts w:ascii="Arial" w:eastAsia="Times New Roman" w:hAnsi="Arial" w:cs="Arial"/>
          <w:b/>
          <w:sz w:val="28"/>
          <w:szCs w:val="28"/>
        </w:rPr>
        <w:t>7. Overview of Workforce Initiatives in California State Budget</w:t>
      </w:r>
    </w:p>
    <w:p w14:paraId="037E3410" w14:textId="77777777" w:rsidR="008D5884" w:rsidRPr="008D5884" w:rsidRDefault="008D5884" w:rsidP="008D5884">
      <w:pPr>
        <w:tabs>
          <w:tab w:val="left" w:pos="0"/>
          <w:tab w:val="left" w:pos="720"/>
          <w:tab w:val="left" w:pos="6210"/>
        </w:tabs>
        <w:autoSpaceDE w:val="0"/>
        <w:autoSpaceDN w:val="0"/>
        <w:adjustRightInd w:val="0"/>
        <w:spacing w:after="0" w:line="240" w:lineRule="auto"/>
        <w:rPr>
          <w:rFonts w:ascii="Arial" w:eastAsia="Times New Roman" w:hAnsi="Arial" w:cs="Arial"/>
          <w:bCs/>
          <w:sz w:val="28"/>
          <w:szCs w:val="28"/>
        </w:rPr>
      </w:pPr>
      <w:r w:rsidRPr="008D5884">
        <w:rPr>
          <w:rFonts w:ascii="Arial" w:eastAsia="Times New Roman" w:hAnsi="Arial" w:cs="Arial"/>
          <w:bCs/>
          <w:sz w:val="28"/>
          <w:szCs w:val="28"/>
        </w:rPr>
        <w:t>Member Beltran provided an overview of workforce initiatives, an overview of the California Workforce Development Board and initiatives.</w:t>
      </w:r>
    </w:p>
    <w:p w14:paraId="1BA00E26" w14:textId="77777777" w:rsidR="008D5884" w:rsidRPr="008D5884" w:rsidRDefault="008D5884" w:rsidP="008D5884">
      <w:pPr>
        <w:spacing w:after="0" w:line="240" w:lineRule="auto"/>
        <w:rPr>
          <w:rFonts w:ascii="Arial" w:eastAsia="Times New Roman" w:hAnsi="Arial" w:cs="Arial"/>
          <w:sz w:val="28"/>
          <w:szCs w:val="28"/>
        </w:rPr>
      </w:pPr>
    </w:p>
    <w:p w14:paraId="664B9474" w14:textId="77777777" w:rsidR="008D5884" w:rsidRPr="008D5884" w:rsidRDefault="008D5884" w:rsidP="008D5884">
      <w:pPr>
        <w:spacing w:after="0" w:line="240" w:lineRule="auto"/>
        <w:contextualSpacing/>
        <w:rPr>
          <w:rFonts w:ascii="Arial" w:eastAsia="Times New Roman" w:hAnsi="Arial" w:cs="Arial"/>
          <w:b/>
          <w:bCs/>
          <w:sz w:val="28"/>
          <w:szCs w:val="28"/>
        </w:rPr>
      </w:pPr>
      <w:r w:rsidRPr="008D5884">
        <w:rPr>
          <w:rFonts w:ascii="Arial" w:eastAsia="Times New Roman" w:hAnsi="Arial" w:cs="Arial"/>
          <w:b/>
          <w:bCs/>
          <w:sz w:val="28"/>
          <w:szCs w:val="28"/>
        </w:rPr>
        <w:t>8. Overview of Implementation Efforts for Senate</w:t>
      </w:r>
    </w:p>
    <w:p w14:paraId="7C8B1F5F" w14:textId="77777777" w:rsidR="008D5884" w:rsidRPr="008D5884" w:rsidRDefault="008D5884" w:rsidP="008D5884">
      <w:pPr>
        <w:spacing w:after="0" w:line="240" w:lineRule="auto"/>
        <w:contextualSpacing/>
        <w:rPr>
          <w:rFonts w:ascii="Arial" w:eastAsia="Times New Roman" w:hAnsi="Arial" w:cs="Arial"/>
          <w:sz w:val="28"/>
          <w:szCs w:val="28"/>
        </w:rPr>
      </w:pPr>
      <w:r w:rsidRPr="008D5884">
        <w:rPr>
          <w:rFonts w:ascii="Arial" w:eastAsia="Times New Roman" w:hAnsi="Arial" w:cs="Arial"/>
          <w:sz w:val="28"/>
          <w:szCs w:val="28"/>
        </w:rPr>
        <w:t>Tania Morawiec provided an overview of Senate Bill (SB) 639 and its implementation efforts. She discussed the stakeholder process and the report required to be submitted to the Legislature. The report will include information on funding, resources, and outcome data. Letters will also be included as an appendix to the report.</w:t>
      </w:r>
    </w:p>
    <w:p w14:paraId="003F7BAC" w14:textId="77777777" w:rsidR="008D5884" w:rsidRPr="008D5884" w:rsidRDefault="008D5884" w:rsidP="008D5884">
      <w:pPr>
        <w:spacing w:after="0" w:line="240" w:lineRule="auto"/>
        <w:contextualSpacing/>
        <w:rPr>
          <w:rFonts w:ascii="Arial" w:eastAsia="Times New Roman" w:hAnsi="Arial" w:cs="Arial"/>
          <w:sz w:val="28"/>
          <w:szCs w:val="28"/>
        </w:rPr>
      </w:pPr>
    </w:p>
    <w:p w14:paraId="1E782837" w14:textId="77777777" w:rsidR="008D5884" w:rsidRPr="008D5884" w:rsidRDefault="008D5884" w:rsidP="008D5884">
      <w:pPr>
        <w:spacing w:after="0" w:line="240" w:lineRule="auto"/>
        <w:contextualSpacing/>
        <w:rPr>
          <w:rFonts w:ascii="Arial" w:eastAsia="Times New Roman" w:hAnsi="Arial" w:cs="Arial"/>
          <w:b/>
          <w:bCs/>
          <w:sz w:val="28"/>
          <w:szCs w:val="28"/>
        </w:rPr>
      </w:pPr>
      <w:r w:rsidRPr="008D5884">
        <w:rPr>
          <w:rFonts w:ascii="Arial" w:eastAsia="Times New Roman" w:hAnsi="Arial" w:cs="Arial"/>
          <w:b/>
          <w:bCs/>
          <w:sz w:val="28"/>
          <w:szCs w:val="28"/>
        </w:rPr>
        <w:t xml:space="preserve">9. Strategic Priorities Updates </w:t>
      </w:r>
    </w:p>
    <w:p w14:paraId="02AB7856" w14:textId="77777777" w:rsidR="008D5884" w:rsidRPr="008D5884" w:rsidRDefault="008D5884" w:rsidP="008D5884">
      <w:pPr>
        <w:spacing w:after="0" w:line="240" w:lineRule="auto"/>
        <w:contextualSpacing/>
        <w:rPr>
          <w:rFonts w:ascii="Arial" w:eastAsia="Times New Roman" w:hAnsi="Arial" w:cs="Arial"/>
          <w:sz w:val="28"/>
          <w:szCs w:val="28"/>
        </w:rPr>
      </w:pPr>
      <w:r w:rsidRPr="008D5884">
        <w:rPr>
          <w:rFonts w:ascii="Arial" w:eastAsia="Times New Roman" w:hAnsi="Arial" w:cs="Arial"/>
          <w:sz w:val="28"/>
          <w:szCs w:val="28"/>
        </w:rPr>
        <w:t>Executive Aliferis-Gjerde provided an overview Strategic Priorities document and how it will be a living document. Feedback included to incorporate workforce initiatives and follow them for implementation efforts.</w:t>
      </w:r>
    </w:p>
    <w:p w14:paraId="07343F81" w14:textId="77777777" w:rsidR="008D5884" w:rsidRPr="008D5884" w:rsidRDefault="008D5884" w:rsidP="008D5884">
      <w:pPr>
        <w:spacing w:after="0" w:line="240" w:lineRule="auto"/>
        <w:contextualSpacing/>
        <w:rPr>
          <w:rFonts w:ascii="Arial" w:eastAsia="Times New Roman" w:hAnsi="Arial" w:cs="Arial"/>
          <w:b/>
          <w:bCs/>
          <w:sz w:val="28"/>
          <w:szCs w:val="28"/>
        </w:rPr>
      </w:pPr>
    </w:p>
    <w:p w14:paraId="7A74FD8C" w14:textId="77777777" w:rsidR="008D5884" w:rsidRPr="008D5884" w:rsidRDefault="008D5884" w:rsidP="008D5884">
      <w:pPr>
        <w:spacing w:after="0" w:line="240" w:lineRule="auto"/>
        <w:contextualSpacing/>
        <w:rPr>
          <w:rFonts w:ascii="Arial" w:eastAsia="Times New Roman" w:hAnsi="Arial" w:cs="Arial"/>
          <w:b/>
          <w:bCs/>
          <w:sz w:val="28"/>
          <w:szCs w:val="28"/>
        </w:rPr>
      </w:pPr>
      <w:r w:rsidRPr="008D5884">
        <w:rPr>
          <w:rFonts w:ascii="Arial" w:eastAsia="Times New Roman" w:hAnsi="Arial" w:cs="Arial"/>
          <w:b/>
          <w:bCs/>
          <w:sz w:val="28"/>
          <w:szCs w:val="28"/>
        </w:rPr>
        <w:t>10. 2022 YLF Updates and Approval of Direction</w:t>
      </w:r>
    </w:p>
    <w:p w14:paraId="752FD1D8" w14:textId="77777777" w:rsidR="008D5884" w:rsidRPr="008D5884" w:rsidRDefault="008D5884" w:rsidP="008D5884">
      <w:pPr>
        <w:spacing w:after="0" w:line="240" w:lineRule="auto"/>
        <w:contextualSpacing/>
        <w:rPr>
          <w:rFonts w:ascii="Arial" w:eastAsia="Times New Roman" w:hAnsi="Arial" w:cs="Arial"/>
          <w:sz w:val="28"/>
          <w:szCs w:val="28"/>
        </w:rPr>
      </w:pPr>
      <w:r w:rsidRPr="008D5884">
        <w:rPr>
          <w:rFonts w:ascii="Arial" w:eastAsia="Times New Roman" w:hAnsi="Arial" w:cs="Arial"/>
          <w:sz w:val="28"/>
          <w:szCs w:val="28"/>
        </w:rPr>
        <w:t>This item was covered in the YLF 2.1 discussion.</w:t>
      </w:r>
    </w:p>
    <w:p w14:paraId="46922F0C" w14:textId="77777777" w:rsidR="008D5884" w:rsidRPr="008D5884" w:rsidRDefault="008D5884" w:rsidP="008D5884">
      <w:pPr>
        <w:tabs>
          <w:tab w:val="left" w:pos="0"/>
          <w:tab w:val="left" w:pos="720"/>
          <w:tab w:val="left" w:pos="6210"/>
        </w:tabs>
        <w:autoSpaceDE w:val="0"/>
        <w:autoSpaceDN w:val="0"/>
        <w:adjustRightInd w:val="0"/>
        <w:spacing w:after="0" w:line="240" w:lineRule="auto"/>
        <w:rPr>
          <w:rFonts w:ascii="Arial" w:eastAsia="Times New Roman" w:hAnsi="Arial" w:cs="Arial"/>
          <w:bCs/>
          <w:sz w:val="28"/>
          <w:szCs w:val="28"/>
        </w:rPr>
      </w:pPr>
    </w:p>
    <w:p w14:paraId="7123C8A2" w14:textId="77777777" w:rsidR="008D5884" w:rsidRPr="008D5884" w:rsidRDefault="008D5884" w:rsidP="008D5884">
      <w:pPr>
        <w:tabs>
          <w:tab w:val="left" w:pos="0"/>
          <w:tab w:val="left" w:pos="720"/>
          <w:tab w:val="left" w:pos="6210"/>
        </w:tabs>
        <w:autoSpaceDE w:val="0"/>
        <w:autoSpaceDN w:val="0"/>
        <w:adjustRightInd w:val="0"/>
        <w:spacing w:after="0" w:line="240" w:lineRule="auto"/>
        <w:rPr>
          <w:rFonts w:ascii="Arial" w:eastAsia="Times New Roman" w:hAnsi="Arial" w:cs="Arial"/>
          <w:b/>
          <w:sz w:val="28"/>
          <w:szCs w:val="28"/>
        </w:rPr>
      </w:pPr>
      <w:r w:rsidRPr="008D5884">
        <w:rPr>
          <w:rFonts w:ascii="Arial" w:eastAsia="Times New Roman" w:hAnsi="Arial" w:cs="Arial"/>
          <w:b/>
          <w:sz w:val="28"/>
          <w:szCs w:val="28"/>
        </w:rPr>
        <w:t>11. Agenda Items for Future Meetings</w:t>
      </w:r>
    </w:p>
    <w:p w14:paraId="04D4D090" w14:textId="77777777" w:rsidR="008D5884" w:rsidRPr="008D5884" w:rsidRDefault="008D5884" w:rsidP="008D5884">
      <w:pPr>
        <w:tabs>
          <w:tab w:val="left" w:pos="0"/>
          <w:tab w:val="left" w:pos="720"/>
          <w:tab w:val="left" w:pos="6210"/>
        </w:tabs>
        <w:autoSpaceDE w:val="0"/>
        <w:autoSpaceDN w:val="0"/>
        <w:adjustRightInd w:val="0"/>
        <w:spacing w:after="0" w:line="240" w:lineRule="auto"/>
        <w:rPr>
          <w:rFonts w:ascii="Arial" w:eastAsia="Times New Roman" w:hAnsi="Arial" w:cs="Arial"/>
          <w:bCs/>
          <w:sz w:val="28"/>
          <w:szCs w:val="28"/>
        </w:rPr>
      </w:pPr>
      <w:r w:rsidRPr="008D5884">
        <w:rPr>
          <w:rFonts w:ascii="Arial" w:eastAsia="Times New Roman" w:hAnsi="Arial" w:cs="Arial"/>
          <w:bCs/>
          <w:sz w:val="28"/>
          <w:szCs w:val="28"/>
        </w:rPr>
        <w:t>Potential agenda items include a presentation from Office of Disability Employment Program and discussions about populations being left behind.</w:t>
      </w:r>
    </w:p>
    <w:p w14:paraId="7351D264" w14:textId="77777777" w:rsidR="008D5884" w:rsidRPr="008D5884" w:rsidRDefault="008D5884" w:rsidP="008D5884">
      <w:pPr>
        <w:tabs>
          <w:tab w:val="left" w:pos="0"/>
          <w:tab w:val="left" w:pos="720"/>
          <w:tab w:val="left" w:pos="6210"/>
        </w:tabs>
        <w:autoSpaceDE w:val="0"/>
        <w:autoSpaceDN w:val="0"/>
        <w:adjustRightInd w:val="0"/>
        <w:spacing w:after="0" w:line="240" w:lineRule="auto"/>
        <w:rPr>
          <w:rFonts w:ascii="Arial" w:eastAsia="Times New Roman" w:hAnsi="Arial" w:cs="Arial"/>
          <w:bCs/>
          <w:sz w:val="28"/>
          <w:szCs w:val="28"/>
        </w:rPr>
      </w:pPr>
    </w:p>
    <w:bookmarkEnd w:id="19"/>
    <w:p w14:paraId="25013B5E" w14:textId="77777777" w:rsidR="008D5884" w:rsidRPr="008D5884" w:rsidRDefault="008D5884" w:rsidP="008D5884">
      <w:pPr>
        <w:tabs>
          <w:tab w:val="left" w:pos="0"/>
          <w:tab w:val="left" w:pos="720"/>
          <w:tab w:val="left" w:pos="7920"/>
        </w:tabs>
        <w:autoSpaceDE w:val="0"/>
        <w:autoSpaceDN w:val="0"/>
        <w:adjustRightInd w:val="0"/>
        <w:spacing w:after="0" w:line="240" w:lineRule="auto"/>
        <w:rPr>
          <w:rFonts w:ascii="Arial" w:eastAsia="Times New Roman" w:hAnsi="Arial" w:cs="Arial"/>
          <w:b/>
          <w:sz w:val="28"/>
          <w:szCs w:val="28"/>
        </w:rPr>
      </w:pPr>
      <w:r w:rsidRPr="008D5884">
        <w:rPr>
          <w:rFonts w:ascii="Arial" w:eastAsia="Times New Roman" w:hAnsi="Arial" w:cs="Arial"/>
          <w:b/>
          <w:sz w:val="28"/>
          <w:szCs w:val="28"/>
        </w:rPr>
        <w:t>12. Public Comment</w:t>
      </w:r>
    </w:p>
    <w:p w14:paraId="3B4F5480" w14:textId="77777777" w:rsidR="008D5884" w:rsidRPr="008D5884" w:rsidRDefault="008D5884" w:rsidP="008D5884">
      <w:pPr>
        <w:tabs>
          <w:tab w:val="left" w:pos="0"/>
          <w:tab w:val="left" w:pos="720"/>
          <w:tab w:val="left" w:pos="7920"/>
        </w:tabs>
        <w:autoSpaceDE w:val="0"/>
        <w:autoSpaceDN w:val="0"/>
        <w:adjustRightInd w:val="0"/>
        <w:spacing w:after="0" w:line="240" w:lineRule="auto"/>
        <w:rPr>
          <w:rFonts w:ascii="Arial" w:eastAsia="Times New Roman" w:hAnsi="Arial" w:cs="Arial"/>
          <w:bCs/>
          <w:sz w:val="28"/>
          <w:szCs w:val="28"/>
        </w:rPr>
      </w:pPr>
      <w:r w:rsidRPr="008D5884">
        <w:rPr>
          <w:rFonts w:ascii="Arial" w:eastAsia="Times New Roman" w:hAnsi="Arial" w:cs="Arial"/>
          <w:bCs/>
          <w:sz w:val="28"/>
          <w:szCs w:val="28"/>
        </w:rPr>
        <w:t>There was no public comment.</w:t>
      </w:r>
      <w:r w:rsidRPr="008D5884">
        <w:rPr>
          <w:rFonts w:ascii="Arial" w:eastAsia="Times New Roman" w:hAnsi="Arial" w:cs="Arial"/>
          <w:bCs/>
          <w:sz w:val="28"/>
          <w:szCs w:val="28"/>
        </w:rPr>
        <w:tab/>
      </w:r>
    </w:p>
    <w:p w14:paraId="6D6973AF" w14:textId="77777777" w:rsidR="008D5884" w:rsidRPr="008D5884" w:rsidRDefault="008D5884" w:rsidP="008D5884">
      <w:pPr>
        <w:tabs>
          <w:tab w:val="left" w:pos="0"/>
          <w:tab w:val="left" w:pos="720"/>
          <w:tab w:val="left" w:pos="7920"/>
        </w:tabs>
        <w:autoSpaceDE w:val="0"/>
        <w:autoSpaceDN w:val="0"/>
        <w:adjustRightInd w:val="0"/>
        <w:spacing w:after="0" w:line="240" w:lineRule="auto"/>
        <w:rPr>
          <w:rFonts w:ascii="Arial" w:eastAsia="Times New Roman" w:hAnsi="Arial" w:cs="Arial"/>
          <w:bCs/>
          <w:sz w:val="28"/>
          <w:szCs w:val="28"/>
        </w:rPr>
      </w:pPr>
    </w:p>
    <w:p w14:paraId="018801D4" w14:textId="77777777" w:rsidR="008D5884" w:rsidRPr="008D5884" w:rsidRDefault="008D5884" w:rsidP="008D5884">
      <w:pPr>
        <w:tabs>
          <w:tab w:val="left" w:pos="0"/>
          <w:tab w:val="left" w:pos="720"/>
          <w:tab w:val="left" w:pos="7920"/>
        </w:tabs>
        <w:autoSpaceDE w:val="0"/>
        <w:autoSpaceDN w:val="0"/>
        <w:adjustRightInd w:val="0"/>
        <w:spacing w:after="0" w:line="240" w:lineRule="auto"/>
        <w:rPr>
          <w:rFonts w:ascii="Arial" w:eastAsia="Times New Roman" w:hAnsi="Arial" w:cs="Arial"/>
          <w:b/>
          <w:sz w:val="28"/>
          <w:szCs w:val="28"/>
        </w:rPr>
      </w:pPr>
      <w:r w:rsidRPr="008D5884">
        <w:rPr>
          <w:rFonts w:ascii="Arial" w:eastAsia="Times New Roman" w:hAnsi="Arial" w:cs="Arial"/>
          <w:b/>
          <w:sz w:val="28"/>
          <w:szCs w:val="28"/>
        </w:rPr>
        <w:t>13. Adjournment</w:t>
      </w:r>
    </w:p>
    <w:p w14:paraId="59BAE23A" w14:textId="77777777" w:rsidR="008D5884" w:rsidRPr="008D5884" w:rsidRDefault="008D5884" w:rsidP="008D5884">
      <w:pPr>
        <w:tabs>
          <w:tab w:val="left" w:pos="0"/>
          <w:tab w:val="left" w:pos="720"/>
          <w:tab w:val="left" w:pos="7920"/>
        </w:tabs>
        <w:autoSpaceDE w:val="0"/>
        <w:autoSpaceDN w:val="0"/>
        <w:adjustRightInd w:val="0"/>
        <w:spacing w:after="0" w:line="240" w:lineRule="auto"/>
        <w:rPr>
          <w:rFonts w:ascii="Arial" w:eastAsia="Times New Roman" w:hAnsi="Arial" w:cs="Arial"/>
          <w:bCs/>
          <w:sz w:val="28"/>
          <w:szCs w:val="28"/>
        </w:rPr>
      </w:pPr>
      <w:r w:rsidRPr="008D5884">
        <w:rPr>
          <w:rFonts w:ascii="Arial" w:eastAsia="Times New Roman" w:hAnsi="Arial" w:cs="Arial"/>
          <w:bCs/>
          <w:sz w:val="28"/>
          <w:szCs w:val="28"/>
        </w:rPr>
        <w:t>Motion to adjourn was approved at 12:25 a.m.</w:t>
      </w:r>
    </w:p>
    <w:p w14:paraId="7185BE75" w14:textId="77777777" w:rsidR="008D5884" w:rsidRPr="008D5884" w:rsidRDefault="008D5884" w:rsidP="008D5884">
      <w:pPr>
        <w:tabs>
          <w:tab w:val="left" w:pos="0"/>
          <w:tab w:val="left" w:pos="720"/>
          <w:tab w:val="left" w:pos="7920"/>
        </w:tabs>
        <w:autoSpaceDE w:val="0"/>
        <w:autoSpaceDN w:val="0"/>
        <w:adjustRightInd w:val="0"/>
        <w:spacing w:after="0" w:line="240" w:lineRule="auto"/>
        <w:rPr>
          <w:rFonts w:ascii="Arial" w:eastAsia="Malgun Gothic" w:hAnsi="Arial" w:cs="Times New Roman"/>
          <w:b/>
          <w:sz w:val="28"/>
          <w:szCs w:val="20"/>
        </w:rPr>
      </w:pPr>
    </w:p>
    <w:p w14:paraId="2F30131A" w14:textId="03D0D024" w:rsidR="00052BB3" w:rsidRDefault="00052BB3" w:rsidP="00F81632">
      <w:pPr>
        <w:jc w:val="center"/>
        <w:rPr>
          <w:rFonts w:ascii="Arial" w:hAnsi="Arial" w:cs="Arial"/>
          <w:sz w:val="28"/>
          <w:szCs w:val="28"/>
        </w:rPr>
      </w:pPr>
    </w:p>
    <w:p w14:paraId="7CCDA840" w14:textId="78BCA1C6" w:rsidR="00891828" w:rsidRDefault="00891828" w:rsidP="00F81632">
      <w:pPr>
        <w:jc w:val="center"/>
        <w:rPr>
          <w:rFonts w:ascii="Arial" w:hAnsi="Arial" w:cs="Arial"/>
          <w:sz w:val="28"/>
          <w:szCs w:val="28"/>
        </w:rPr>
      </w:pPr>
    </w:p>
    <w:p w14:paraId="779712F3" w14:textId="77777777" w:rsidR="00891828" w:rsidRDefault="00891828" w:rsidP="00F81632">
      <w:pPr>
        <w:jc w:val="center"/>
        <w:rPr>
          <w:rFonts w:ascii="Arial" w:hAnsi="Arial" w:cs="Arial"/>
          <w:sz w:val="28"/>
          <w:szCs w:val="28"/>
        </w:rPr>
      </w:pPr>
    </w:p>
    <w:p w14:paraId="72598540" w14:textId="198F273B" w:rsidR="00E668AB" w:rsidRDefault="00E668AB" w:rsidP="00F81632">
      <w:pPr>
        <w:jc w:val="center"/>
        <w:rPr>
          <w:rFonts w:ascii="Arial" w:hAnsi="Arial" w:cs="Arial"/>
          <w:sz w:val="28"/>
          <w:szCs w:val="28"/>
        </w:rPr>
      </w:pPr>
    </w:p>
    <w:p w14:paraId="23E0D382" w14:textId="031EEA3D" w:rsidR="00E668AB" w:rsidRDefault="00E668AB" w:rsidP="00F81632">
      <w:pPr>
        <w:jc w:val="center"/>
        <w:rPr>
          <w:rFonts w:ascii="Arial" w:hAnsi="Arial" w:cs="Arial"/>
          <w:sz w:val="28"/>
          <w:szCs w:val="28"/>
        </w:rPr>
      </w:pPr>
    </w:p>
    <w:p w14:paraId="540CC8A0" w14:textId="09799140" w:rsidR="00E668AB" w:rsidRDefault="00E668AB" w:rsidP="00F81632">
      <w:pPr>
        <w:jc w:val="center"/>
        <w:rPr>
          <w:rFonts w:ascii="Arial" w:hAnsi="Arial" w:cs="Arial"/>
          <w:sz w:val="28"/>
          <w:szCs w:val="28"/>
        </w:rPr>
      </w:pPr>
    </w:p>
    <w:p w14:paraId="17C5F6AE" w14:textId="20952E0E" w:rsidR="00E668AB" w:rsidRDefault="00E668AB" w:rsidP="00F81632">
      <w:pPr>
        <w:jc w:val="center"/>
        <w:rPr>
          <w:rFonts w:ascii="Arial" w:hAnsi="Arial" w:cs="Arial"/>
          <w:sz w:val="28"/>
          <w:szCs w:val="28"/>
        </w:rPr>
      </w:pPr>
    </w:p>
    <w:p w14:paraId="16149572" w14:textId="2EB5FF65" w:rsidR="00E668AB" w:rsidRDefault="00E668AB" w:rsidP="00F81632">
      <w:pPr>
        <w:jc w:val="center"/>
        <w:rPr>
          <w:rFonts w:ascii="Arial" w:hAnsi="Arial" w:cs="Arial"/>
          <w:sz w:val="28"/>
          <w:szCs w:val="28"/>
        </w:rPr>
      </w:pPr>
    </w:p>
    <w:p w14:paraId="17139C63" w14:textId="66633B82" w:rsidR="00E668AB" w:rsidRDefault="00E668AB" w:rsidP="00F81632">
      <w:pPr>
        <w:jc w:val="center"/>
        <w:rPr>
          <w:rFonts w:ascii="Arial" w:hAnsi="Arial" w:cs="Arial"/>
          <w:sz w:val="28"/>
          <w:szCs w:val="28"/>
        </w:rPr>
      </w:pPr>
    </w:p>
    <w:p w14:paraId="07EED740" w14:textId="70C470BD" w:rsidR="00E668AB" w:rsidRDefault="00E668AB" w:rsidP="00F81632">
      <w:pPr>
        <w:jc w:val="center"/>
        <w:rPr>
          <w:rFonts w:ascii="Arial" w:hAnsi="Arial" w:cs="Arial"/>
          <w:sz w:val="28"/>
          <w:szCs w:val="28"/>
        </w:rPr>
      </w:pPr>
    </w:p>
    <w:p w14:paraId="3B25EF3B" w14:textId="39578BEB" w:rsidR="00E668AB" w:rsidRDefault="00E668AB" w:rsidP="00F81632">
      <w:pPr>
        <w:jc w:val="center"/>
        <w:rPr>
          <w:rFonts w:ascii="Arial" w:hAnsi="Arial" w:cs="Arial"/>
          <w:sz w:val="28"/>
          <w:szCs w:val="28"/>
        </w:rPr>
      </w:pPr>
    </w:p>
    <w:p w14:paraId="6E9F75E8" w14:textId="767B46AE" w:rsidR="00E668AB" w:rsidRDefault="00E668AB" w:rsidP="00F81632">
      <w:pPr>
        <w:jc w:val="center"/>
        <w:rPr>
          <w:rFonts w:ascii="Arial" w:hAnsi="Arial" w:cs="Arial"/>
          <w:sz w:val="28"/>
          <w:szCs w:val="28"/>
        </w:rPr>
      </w:pPr>
    </w:p>
    <w:p w14:paraId="725375B9" w14:textId="06D8256F" w:rsidR="00E668AB" w:rsidRDefault="00E668AB" w:rsidP="00F81632">
      <w:pPr>
        <w:jc w:val="center"/>
        <w:rPr>
          <w:rFonts w:ascii="Arial" w:hAnsi="Arial" w:cs="Arial"/>
          <w:sz w:val="28"/>
          <w:szCs w:val="28"/>
        </w:rPr>
      </w:pPr>
    </w:p>
    <w:p w14:paraId="2D20C41B" w14:textId="5D0FFCCC" w:rsidR="00E668AB" w:rsidRDefault="00E668AB" w:rsidP="00F81632">
      <w:pPr>
        <w:jc w:val="center"/>
        <w:rPr>
          <w:rFonts w:ascii="Arial" w:hAnsi="Arial" w:cs="Arial"/>
          <w:sz w:val="28"/>
          <w:szCs w:val="28"/>
        </w:rPr>
      </w:pPr>
    </w:p>
    <w:p w14:paraId="496218C4" w14:textId="535CFE4E" w:rsidR="00E668AB" w:rsidRDefault="00E668AB" w:rsidP="00F81632">
      <w:pPr>
        <w:jc w:val="center"/>
        <w:rPr>
          <w:rFonts w:ascii="Arial" w:hAnsi="Arial" w:cs="Arial"/>
          <w:sz w:val="28"/>
          <w:szCs w:val="28"/>
        </w:rPr>
      </w:pPr>
    </w:p>
    <w:p w14:paraId="3194CDC7" w14:textId="34A72429" w:rsidR="00E668AB" w:rsidRDefault="00E668AB" w:rsidP="00F81632">
      <w:pPr>
        <w:jc w:val="center"/>
        <w:rPr>
          <w:rFonts w:ascii="Arial" w:hAnsi="Arial" w:cs="Arial"/>
          <w:sz w:val="28"/>
          <w:szCs w:val="28"/>
        </w:rPr>
      </w:pPr>
    </w:p>
    <w:p w14:paraId="0B22FCB5" w14:textId="58456DFD" w:rsidR="00E668AB" w:rsidRDefault="00E668AB" w:rsidP="00F81632">
      <w:pPr>
        <w:jc w:val="center"/>
        <w:rPr>
          <w:rFonts w:ascii="Arial" w:hAnsi="Arial" w:cs="Arial"/>
          <w:sz w:val="28"/>
          <w:szCs w:val="28"/>
        </w:rPr>
      </w:pPr>
    </w:p>
    <w:p w14:paraId="64224309" w14:textId="4FB575EC" w:rsidR="00E668AB" w:rsidRDefault="00E668AB" w:rsidP="001C7847">
      <w:pPr>
        <w:rPr>
          <w:rFonts w:ascii="Arial" w:hAnsi="Arial" w:cs="Arial"/>
          <w:sz w:val="28"/>
          <w:szCs w:val="28"/>
        </w:rPr>
      </w:pPr>
    </w:p>
    <w:p w14:paraId="7F79B845" w14:textId="7B9F3197" w:rsidR="00145DC3" w:rsidRDefault="00145DC3" w:rsidP="001C7847">
      <w:pPr>
        <w:rPr>
          <w:rFonts w:ascii="Arial" w:hAnsi="Arial" w:cs="Arial"/>
          <w:sz w:val="28"/>
          <w:szCs w:val="28"/>
        </w:rPr>
      </w:pPr>
    </w:p>
    <w:p w14:paraId="253E57E2" w14:textId="77777777" w:rsidR="00145DC3" w:rsidRDefault="00145DC3" w:rsidP="001C7847">
      <w:pPr>
        <w:rPr>
          <w:rFonts w:ascii="Arial" w:hAnsi="Arial" w:cs="Arial"/>
          <w:sz w:val="28"/>
          <w:szCs w:val="28"/>
        </w:rPr>
      </w:pPr>
    </w:p>
    <w:p w14:paraId="485A3572" w14:textId="77777777" w:rsidR="003C1F31" w:rsidRPr="00891828" w:rsidRDefault="003C1F31" w:rsidP="0008785F">
      <w:pPr>
        <w:pStyle w:val="Heading1"/>
        <w:rPr>
          <w:sz w:val="28"/>
          <w:szCs w:val="28"/>
        </w:rPr>
      </w:pPr>
      <w:bookmarkStart w:id="20" w:name="_Toc103161134"/>
      <w:bookmarkStart w:id="21" w:name="_Toc103236453"/>
      <w:r w:rsidRPr="00891828">
        <w:rPr>
          <w:sz w:val="28"/>
          <w:szCs w:val="28"/>
        </w:rPr>
        <w:lastRenderedPageBreak/>
        <w:t>Integrated Benefits Planning Policy Recommendations</w:t>
      </w:r>
      <w:bookmarkEnd w:id="20"/>
      <w:bookmarkEnd w:id="21"/>
    </w:p>
    <w:p w14:paraId="47C1386C" w14:textId="77777777" w:rsidR="003C1F31" w:rsidRPr="003C1F31" w:rsidRDefault="003C1F31" w:rsidP="003C1F31">
      <w:pPr>
        <w:jc w:val="center"/>
        <w:rPr>
          <w:rFonts w:ascii="Arial" w:hAnsi="Arial" w:cs="Arial"/>
          <w:sz w:val="28"/>
          <w:szCs w:val="28"/>
        </w:rPr>
      </w:pPr>
    </w:p>
    <w:p w14:paraId="5A9E5130" w14:textId="77777777" w:rsidR="003C1F31" w:rsidRPr="003C1F31" w:rsidRDefault="003C1F31" w:rsidP="003C1F31">
      <w:pPr>
        <w:rPr>
          <w:rFonts w:ascii="Arial" w:hAnsi="Arial" w:cs="Arial"/>
          <w:b/>
          <w:bCs/>
          <w:sz w:val="28"/>
          <w:szCs w:val="28"/>
        </w:rPr>
      </w:pPr>
      <w:r w:rsidRPr="003C1F31">
        <w:rPr>
          <w:rFonts w:ascii="Arial" w:hAnsi="Arial" w:cs="Arial"/>
          <w:b/>
          <w:bCs/>
          <w:sz w:val="28"/>
          <w:szCs w:val="28"/>
        </w:rPr>
        <w:t>Background</w:t>
      </w:r>
    </w:p>
    <w:p w14:paraId="069D82FF" w14:textId="77777777" w:rsidR="003C1F31" w:rsidRPr="003C1F31" w:rsidRDefault="003C1F31" w:rsidP="003C1F31">
      <w:pPr>
        <w:rPr>
          <w:rFonts w:ascii="Arial" w:hAnsi="Arial" w:cs="Arial"/>
          <w:sz w:val="28"/>
          <w:szCs w:val="28"/>
        </w:rPr>
      </w:pPr>
      <w:r w:rsidRPr="003C1F31">
        <w:rPr>
          <w:rFonts w:ascii="Arial" w:hAnsi="Arial" w:cs="Arial"/>
          <w:sz w:val="28"/>
          <w:szCs w:val="28"/>
        </w:rPr>
        <w:t>State Coordination Subcommittee Members agreed that a set of policy recommendations on benefits planning should be developed and submitted to the Agency Secretaries. Taken together, the recommendations are providing a more systemic approach to benefits planning within programs and services serving people with disabilities. Members will approve the policy recommendations to begin the informal feedback process with the lead departments, the Department of Rehabilitation and Employment Development Department. Then, the recommendations will be submitted to the Secretaries of Health and Human Services and Labor and Workforce Development Agencies.</w:t>
      </w:r>
    </w:p>
    <w:p w14:paraId="02928DFD" w14:textId="77777777" w:rsidR="003C1F31" w:rsidRPr="003C1F31" w:rsidRDefault="003C1F31" w:rsidP="003C1F31">
      <w:pPr>
        <w:rPr>
          <w:rFonts w:ascii="Arial" w:hAnsi="Arial" w:cs="Arial"/>
          <w:b/>
          <w:bCs/>
          <w:sz w:val="28"/>
          <w:szCs w:val="28"/>
        </w:rPr>
      </w:pPr>
      <w:r w:rsidRPr="003C1F31">
        <w:rPr>
          <w:rFonts w:ascii="Arial" w:hAnsi="Arial" w:cs="Arial"/>
          <w:b/>
          <w:bCs/>
          <w:sz w:val="28"/>
          <w:szCs w:val="28"/>
        </w:rPr>
        <w:t>Introduction to Policy Recommendation</w:t>
      </w:r>
    </w:p>
    <w:p w14:paraId="4B5DD9FB" w14:textId="77777777" w:rsidR="003C1F31" w:rsidRPr="003C1F31" w:rsidRDefault="003C1F31" w:rsidP="003C1F31">
      <w:pPr>
        <w:rPr>
          <w:rFonts w:ascii="Arial" w:hAnsi="Arial" w:cs="Arial"/>
          <w:sz w:val="28"/>
          <w:szCs w:val="28"/>
        </w:rPr>
      </w:pPr>
      <w:r w:rsidRPr="003C1F31">
        <w:rPr>
          <w:rFonts w:ascii="Arial" w:hAnsi="Arial" w:cs="Arial"/>
          <w:sz w:val="28"/>
          <w:szCs w:val="28"/>
        </w:rPr>
        <w:t xml:space="preserve">The California Committee on Employment of People with Disabilities (CCEPD) is proposing a set of policy recommendations to create strategies for effective integrated benefits planning approaches among the various programs serving people with disabilities. The CCEPD submitted a similar policy recommendation in late 2019, which a few months later the global pandemic struck, and further discussions were deferred. Although previously submitted, the CCEPD believes that additional strategies are needed to fully integrate DB101 and develop sustaining cross-system approaches to benefits planning. </w:t>
      </w:r>
    </w:p>
    <w:p w14:paraId="59D9E95C" w14:textId="77777777" w:rsidR="003C1F31" w:rsidRPr="003C1F31" w:rsidRDefault="003C1F31" w:rsidP="003C1F31">
      <w:pPr>
        <w:rPr>
          <w:rFonts w:ascii="Arial" w:hAnsi="Arial" w:cs="Arial"/>
          <w:sz w:val="28"/>
          <w:szCs w:val="28"/>
        </w:rPr>
      </w:pPr>
      <w:r w:rsidRPr="003C1F31">
        <w:rPr>
          <w:rFonts w:ascii="Arial" w:hAnsi="Arial" w:cs="Arial"/>
          <w:sz w:val="28"/>
          <w:szCs w:val="28"/>
        </w:rPr>
        <w:t>Considering the continued high unemployment rates and low labor market participation rates for people with disabilities, an effective, state-level strategies to coordinate benefits planning strategy is needed to assist with dispelling myths and incorporate the message that people with disabilities can manage benefits and work. If people with disabilities do not manage their benefits, they can lose health care or long-term services and supports or lead to paying back of benefits to the Social Security Administration. Although California is the first in the nation to develop this toolkit, an integrated benefits planning approach must be implemented to increase the rate of employment and make use the tool in multiple systems that serve people with disabilities.</w:t>
      </w:r>
    </w:p>
    <w:p w14:paraId="2BAB88AB" w14:textId="77777777" w:rsidR="003C1F31" w:rsidRPr="003C1F31" w:rsidRDefault="003C1F31" w:rsidP="003C1F31">
      <w:pPr>
        <w:rPr>
          <w:rFonts w:ascii="Arial" w:hAnsi="Arial" w:cs="Arial"/>
          <w:sz w:val="28"/>
          <w:szCs w:val="28"/>
        </w:rPr>
      </w:pPr>
      <w:r w:rsidRPr="003C1F31">
        <w:rPr>
          <w:rFonts w:ascii="Arial" w:hAnsi="Arial" w:cs="Arial"/>
          <w:sz w:val="28"/>
          <w:szCs w:val="28"/>
        </w:rPr>
        <w:lastRenderedPageBreak/>
        <w:t>The CCEPD recommends the following:</w:t>
      </w:r>
    </w:p>
    <w:p w14:paraId="6EA6DC6A" w14:textId="77777777" w:rsidR="003C1F31" w:rsidRPr="003C1F31" w:rsidRDefault="003C1F31" w:rsidP="003C1F31">
      <w:pPr>
        <w:pStyle w:val="ListParagraph"/>
        <w:numPr>
          <w:ilvl w:val="0"/>
          <w:numId w:val="5"/>
        </w:numPr>
        <w:rPr>
          <w:rFonts w:cs="Arial"/>
          <w:szCs w:val="28"/>
        </w:rPr>
      </w:pPr>
      <w:r w:rsidRPr="003C1F31">
        <w:rPr>
          <w:rFonts w:cs="Arial"/>
          <w:szCs w:val="28"/>
        </w:rPr>
        <w:t xml:space="preserve">Collaboration to fund the web-based tool Disability Benefits (DB)101 among the two agencies. Multiple providers and frontline staff in the following systems: workforce areas, vocational rehabilitation, independent living centers, behavioral health, social services, and regional centers may use the web-based tool. At the state level, six state departments are impacted using DB101, either by having information of their programs for clients or frontline staff or providers using the DB101 to help people with disabilities become employed. Each Department can use DB101 as part of other services and integrated service delivery. </w:t>
      </w:r>
    </w:p>
    <w:p w14:paraId="1262B59D" w14:textId="77777777" w:rsidR="003C1F31" w:rsidRPr="003C1F31" w:rsidRDefault="003C1F31" w:rsidP="003C1F31">
      <w:pPr>
        <w:pStyle w:val="ListParagraph"/>
        <w:numPr>
          <w:ilvl w:val="0"/>
          <w:numId w:val="5"/>
        </w:numPr>
        <w:rPr>
          <w:rFonts w:cs="Arial"/>
          <w:szCs w:val="28"/>
        </w:rPr>
      </w:pPr>
      <w:r w:rsidRPr="003C1F31">
        <w:rPr>
          <w:rFonts w:cs="Arial"/>
          <w:szCs w:val="28"/>
        </w:rPr>
        <w:t>Recommend having a lead Department that coordinates an integrated approach to benefits planning among multiple systems. The Department can have existing staff provide technical assistance or specific staff that coordinate strategies at state level.</w:t>
      </w:r>
    </w:p>
    <w:p w14:paraId="6FDDF91C" w14:textId="77777777" w:rsidR="003C1F31" w:rsidRPr="003C1F31" w:rsidRDefault="003C1F31" w:rsidP="003C1F31">
      <w:pPr>
        <w:pStyle w:val="ListParagraph"/>
        <w:numPr>
          <w:ilvl w:val="0"/>
          <w:numId w:val="5"/>
        </w:numPr>
        <w:rPr>
          <w:rFonts w:cs="Arial"/>
          <w:szCs w:val="28"/>
        </w:rPr>
      </w:pPr>
      <w:r w:rsidRPr="003C1F31">
        <w:rPr>
          <w:rFonts w:cs="Arial"/>
          <w:szCs w:val="28"/>
        </w:rPr>
        <w:t>Provide DB101 information to all clients, regardless of whether they are brand-new into the labor market, reentering or switching careers. This information will benefit all people with disabilities in various points of their employment efforts.</w:t>
      </w:r>
    </w:p>
    <w:p w14:paraId="31AAA667" w14:textId="77777777" w:rsidR="003C1F31" w:rsidRPr="003C1F31" w:rsidRDefault="003C1F31" w:rsidP="003C1F31">
      <w:pPr>
        <w:pStyle w:val="ListParagraph"/>
        <w:numPr>
          <w:ilvl w:val="0"/>
          <w:numId w:val="5"/>
        </w:numPr>
        <w:rPr>
          <w:rFonts w:cs="Arial"/>
          <w:szCs w:val="28"/>
        </w:rPr>
      </w:pPr>
      <w:r w:rsidRPr="003C1F31">
        <w:rPr>
          <w:rFonts w:cs="Arial"/>
          <w:szCs w:val="28"/>
        </w:rPr>
        <w:t xml:space="preserve">Recommend Departments coordinate ongoing training efforts for frontline staff and providers on use of DB101 and general benefits planning understanding. Several training models can be used such as a “train the trainer” model, use of a learning management system or ongoing virtual training. </w:t>
      </w:r>
    </w:p>
    <w:p w14:paraId="7ABE8160" w14:textId="77777777" w:rsidR="003C1F31" w:rsidRPr="003C1F31" w:rsidRDefault="003C1F31" w:rsidP="003C1F31">
      <w:pPr>
        <w:pStyle w:val="ListParagraph"/>
        <w:numPr>
          <w:ilvl w:val="0"/>
          <w:numId w:val="5"/>
        </w:numPr>
        <w:rPr>
          <w:rFonts w:cs="Arial"/>
          <w:szCs w:val="28"/>
        </w:rPr>
      </w:pPr>
      <w:r w:rsidRPr="003C1F31">
        <w:rPr>
          <w:rFonts w:cs="Arial"/>
          <w:szCs w:val="28"/>
        </w:rPr>
        <w:t>Recommend that benefits counseling questions are included in documents to inform people with disabilities of how to manage benefits and employment when requesting employment services or create an informational session as part of the intake process.</w:t>
      </w:r>
    </w:p>
    <w:p w14:paraId="79763669" w14:textId="77777777" w:rsidR="003C1F31" w:rsidRPr="003C1F31" w:rsidRDefault="003C1F31" w:rsidP="003C1F31">
      <w:pPr>
        <w:pStyle w:val="ListParagraph"/>
        <w:numPr>
          <w:ilvl w:val="0"/>
          <w:numId w:val="5"/>
        </w:numPr>
        <w:rPr>
          <w:rFonts w:cs="Arial"/>
          <w:szCs w:val="28"/>
        </w:rPr>
      </w:pPr>
      <w:r w:rsidRPr="003C1F31">
        <w:rPr>
          <w:rFonts w:cs="Arial"/>
          <w:szCs w:val="28"/>
        </w:rPr>
        <w:t xml:space="preserve">Recommend Departments that have transition-age youth or youth programs incorporate usage of DB101 to educate families and youth about community resources and managing benefits. Departments should work with Parent Training Information Centers to provide benefits counseling information to parents and DB101 information. </w:t>
      </w:r>
    </w:p>
    <w:p w14:paraId="471241C5" w14:textId="77777777" w:rsidR="003C1F31" w:rsidRPr="003C1F31" w:rsidRDefault="003C1F31" w:rsidP="003C1F31">
      <w:pPr>
        <w:pStyle w:val="ListParagraph"/>
        <w:numPr>
          <w:ilvl w:val="0"/>
          <w:numId w:val="5"/>
        </w:numPr>
        <w:rPr>
          <w:rFonts w:cs="Arial"/>
          <w:szCs w:val="28"/>
        </w:rPr>
      </w:pPr>
      <w:r w:rsidRPr="003C1F31">
        <w:rPr>
          <w:rFonts w:cs="Arial"/>
          <w:szCs w:val="28"/>
        </w:rPr>
        <w:t>Request Employment Development Department and California Workforce Development Board work with the America’s Job Centers of California to relay DB101 information to clients receiving services as they are enrolling into employment services and training programs.</w:t>
      </w:r>
    </w:p>
    <w:p w14:paraId="22720480" w14:textId="77777777" w:rsidR="003C1F31" w:rsidRPr="003C1F31" w:rsidRDefault="003C1F31" w:rsidP="003C1F31">
      <w:pPr>
        <w:pStyle w:val="ListParagraph"/>
        <w:numPr>
          <w:ilvl w:val="0"/>
          <w:numId w:val="5"/>
        </w:numPr>
        <w:rPr>
          <w:rFonts w:cs="Arial"/>
          <w:szCs w:val="28"/>
        </w:rPr>
      </w:pPr>
      <w:r w:rsidRPr="003C1F31">
        <w:rPr>
          <w:rFonts w:cs="Arial"/>
          <w:szCs w:val="28"/>
        </w:rPr>
        <w:t xml:space="preserve">Require DB101 usage for employment efforts within the Department of Developmental Services, as part of the elimination of sub-minimum </w:t>
      </w:r>
      <w:r w:rsidRPr="003C1F31">
        <w:rPr>
          <w:rFonts w:cs="Arial"/>
          <w:szCs w:val="28"/>
        </w:rPr>
        <w:lastRenderedPageBreak/>
        <w:t>wage discussions and other employment discussions. Regional Centers should incorporate DB101 knowledge among staff and incorporate benefits planning strategies as part of the elimination of subminimum wage.</w:t>
      </w:r>
    </w:p>
    <w:p w14:paraId="0B23657D" w14:textId="77777777" w:rsidR="003C1F31" w:rsidRPr="003C1F31" w:rsidRDefault="003C1F31" w:rsidP="003C1F31">
      <w:pPr>
        <w:pStyle w:val="ListParagraph"/>
        <w:numPr>
          <w:ilvl w:val="0"/>
          <w:numId w:val="5"/>
        </w:numPr>
        <w:rPr>
          <w:rFonts w:cs="Arial"/>
          <w:szCs w:val="28"/>
        </w:rPr>
      </w:pPr>
      <w:r w:rsidRPr="003C1F31">
        <w:rPr>
          <w:rFonts w:cs="Arial"/>
          <w:szCs w:val="28"/>
        </w:rPr>
        <w:t>Request Department of Rehabilitation relay DB101 information to clients receiving services as they are enrolling into the vocational rehabilitation program and developing an Individualized Plan for Employment.</w:t>
      </w:r>
    </w:p>
    <w:p w14:paraId="67F92EB8" w14:textId="77777777" w:rsidR="003C1F31" w:rsidRPr="003C1F31" w:rsidRDefault="003C1F31" w:rsidP="003C1F31">
      <w:pPr>
        <w:pStyle w:val="ListParagraph"/>
        <w:numPr>
          <w:ilvl w:val="0"/>
          <w:numId w:val="5"/>
        </w:numPr>
        <w:rPr>
          <w:rFonts w:cs="Arial"/>
          <w:szCs w:val="28"/>
        </w:rPr>
      </w:pPr>
      <w:r w:rsidRPr="003C1F31">
        <w:rPr>
          <w:rFonts w:cs="Arial"/>
          <w:szCs w:val="28"/>
        </w:rPr>
        <w:t>Request Department of Health Care Services incorporate DB101 into behavioral health efforts.</w:t>
      </w:r>
    </w:p>
    <w:p w14:paraId="5D823F87" w14:textId="77777777" w:rsidR="003C1F31" w:rsidRPr="003C1F31" w:rsidRDefault="003C1F31" w:rsidP="003C1F31">
      <w:pPr>
        <w:pStyle w:val="ListParagraph"/>
        <w:numPr>
          <w:ilvl w:val="0"/>
          <w:numId w:val="5"/>
        </w:numPr>
        <w:rPr>
          <w:rFonts w:cs="Arial"/>
          <w:szCs w:val="28"/>
        </w:rPr>
      </w:pPr>
      <w:r w:rsidRPr="003C1F31">
        <w:rPr>
          <w:rFonts w:cs="Arial"/>
          <w:szCs w:val="28"/>
        </w:rPr>
        <w:t xml:space="preserve">Request Department of Social Services (DSS) coordinate with DSS employment program administrators, service providers, and additional stakeholder communities to share DB101 resource information. Utilization of DB101 can be pivotal in achieving employment goals for people with disabilities. This resource provides access to information that can encourage engagement by demonstrating the impact potential on an individual’s disability benefit levels, which has historically been a source of apprehension for potential participants. </w:t>
      </w:r>
    </w:p>
    <w:p w14:paraId="68CC1374" w14:textId="77777777" w:rsidR="003C1F31" w:rsidRPr="003C1F31" w:rsidRDefault="003C1F31" w:rsidP="003C1F31">
      <w:pPr>
        <w:pStyle w:val="ListParagraph"/>
        <w:numPr>
          <w:ilvl w:val="0"/>
          <w:numId w:val="5"/>
        </w:numPr>
        <w:rPr>
          <w:rFonts w:cs="Arial"/>
          <w:szCs w:val="28"/>
        </w:rPr>
      </w:pPr>
      <w:r w:rsidRPr="003C1F31">
        <w:rPr>
          <w:rFonts w:cs="Arial"/>
          <w:szCs w:val="28"/>
        </w:rPr>
        <w:t>Information on benefits planning and access to DB101 should be placed on state websites. Access to services on benefits planning and dispelling myths for people with disabilities should not be a secret, and yet, many Californians still are the under the assumption that they can lose benefits if they work.</w:t>
      </w:r>
    </w:p>
    <w:p w14:paraId="78133B2E" w14:textId="77777777" w:rsidR="003C1F31" w:rsidRPr="003C1F31" w:rsidRDefault="003C1F31" w:rsidP="003C1F31">
      <w:pPr>
        <w:pStyle w:val="ListParagraph"/>
        <w:rPr>
          <w:rFonts w:cs="Arial"/>
          <w:szCs w:val="28"/>
        </w:rPr>
      </w:pPr>
    </w:p>
    <w:p w14:paraId="14D23F16" w14:textId="77777777" w:rsidR="003C1F31" w:rsidRPr="003C1F31" w:rsidRDefault="003C1F31" w:rsidP="003C1F31">
      <w:pPr>
        <w:rPr>
          <w:rFonts w:ascii="Arial" w:hAnsi="Arial" w:cs="Arial"/>
          <w:b/>
          <w:bCs/>
          <w:sz w:val="28"/>
          <w:szCs w:val="28"/>
        </w:rPr>
      </w:pPr>
      <w:r w:rsidRPr="003C1F31">
        <w:rPr>
          <w:rFonts w:ascii="Arial" w:hAnsi="Arial" w:cs="Arial"/>
          <w:b/>
          <w:bCs/>
          <w:sz w:val="28"/>
          <w:szCs w:val="28"/>
        </w:rPr>
        <w:t>Need for Benefits Planning</w:t>
      </w:r>
    </w:p>
    <w:p w14:paraId="60CAEDB5" w14:textId="77777777" w:rsidR="003C1F31" w:rsidRPr="003C1F31" w:rsidRDefault="003C1F31" w:rsidP="003C1F31">
      <w:pPr>
        <w:rPr>
          <w:rFonts w:ascii="Arial" w:hAnsi="Arial" w:cs="Arial"/>
          <w:sz w:val="28"/>
          <w:szCs w:val="28"/>
        </w:rPr>
      </w:pPr>
      <w:r w:rsidRPr="003C1F31">
        <w:rPr>
          <w:rFonts w:ascii="Arial" w:hAnsi="Arial" w:cs="Arial"/>
          <w:sz w:val="28"/>
          <w:szCs w:val="28"/>
        </w:rPr>
        <w:t>Benefits planning helps individuals determine how their cash benefits (including SSI and SSDI) and healthcare benefits (such as Medi-Cal, Medicare, and In-Home Supportive Services) or housing benefits may be impacted by earnings from employment. Clear, timely, and accurate benefits planning supports people with disabilities to choose employment over benefits, and plan for their future. The CCEPD believes that benefits planning is just as critical as inclusive employment strategies and educational opportunities. In step with the Workforce Innovation and Opportunity Act (WIOA), CCEPD believes that an integrated approach to benefits planning is needed to increase the employment rate of people, leverage resources to expand expertise in multiple systems and assist with dispelling myths about employment and disability.</w:t>
      </w:r>
    </w:p>
    <w:p w14:paraId="0B1D00B2" w14:textId="77777777" w:rsidR="003C1F31" w:rsidRPr="003C1F31" w:rsidRDefault="003C1F31" w:rsidP="003C1F31">
      <w:pPr>
        <w:rPr>
          <w:rFonts w:ascii="Arial" w:hAnsi="Arial" w:cs="Arial"/>
          <w:sz w:val="28"/>
          <w:szCs w:val="28"/>
        </w:rPr>
      </w:pPr>
      <w:r w:rsidRPr="003C1F31">
        <w:rPr>
          <w:rFonts w:ascii="Arial" w:hAnsi="Arial" w:cs="Arial"/>
          <w:sz w:val="28"/>
          <w:szCs w:val="28"/>
        </w:rPr>
        <w:lastRenderedPageBreak/>
        <w:t xml:space="preserve">According to the Social Security Administration (SSA), as of 2020 there are 1.9 million Californians receiving SSI </w:t>
      </w:r>
      <w:hyperlink r:id="rId11" w:history="1"/>
      <w:r w:rsidRPr="003C1F31">
        <w:rPr>
          <w:rFonts w:ascii="Arial" w:hAnsi="Arial" w:cs="Arial"/>
          <w:sz w:val="28"/>
          <w:szCs w:val="28"/>
        </w:rPr>
        <w:t>and SSDI benefits. Of those, 1,192,888 Californians receive SSI based on disability, blindness, and age, and 709,336 Californians receive SSDI, based on disability. Although SSI and SSDI provide a safety net, income derived solely from benefits assures a life of poverty.</w:t>
      </w:r>
    </w:p>
    <w:p w14:paraId="7453AC03" w14:textId="77777777" w:rsidR="003C1F31" w:rsidRPr="003C1F31" w:rsidRDefault="003C1F31" w:rsidP="003C1F31">
      <w:pPr>
        <w:rPr>
          <w:rFonts w:ascii="Arial" w:hAnsi="Arial" w:cs="Arial"/>
          <w:sz w:val="28"/>
          <w:szCs w:val="28"/>
        </w:rPr>
      </w:pPr>
      <w:r w:rsidRPr="003C1F31">
        <w:rPr>
          <w:rFonts w:ascii="Arial" w:hAnsi="Arial" w:cs="Arial"/>
          <w:sz w:val="28"/>
          <w:szCs w:val="28"/>
        </w:rPr>
        <w:t xml:space="preserve">As noted in the WIOA Modified State Plan, the labor force participation rate, an indicator of people not institutionalized who are employed or looking for work, is 18.1% for people with disabilities and continues to remain low when comparing other populations. This rate has remained relatively flat for people with disabilities despite a recovered economy. Labor force participation is one metric that demonstrates the continued, low employment of people with disabilities. Although benefits planning is mentioned as support services in WIOA Modified State Plan, there is not coordinated state-level strategies to assist with ongoing efforts to integrate the knowledge of benefits planning among frontline staff in multiple systems. </w:t>
      </w:r>
    </w:p>
    <w:p w14:paraId="5E281D14" w14:textId="77777777" w:rsidR="003C1F31" w:rsidRPr="003C1F31" w:rsidRDefault="003C1F31" w:rsidP="003C1F31">
      <w:pPr>
        <w:rPr>
          <w:rFonts w:ascii="Arial" w:hAnsi="Arial" w:cs="Arial"/>
          <w:b/>
          <w:bCs/>
          <w:sz w:val="28"/>
          <w:szCs w:val="28"/>
        </w:rPr>
      </w:pPr>
      <w:r w:rsidRPr="003C1F31">
        <w:rPr>
          <w:rFonts w:ascii="Arial" w:hAnsi="Arial" w:cs="Arial"/>
          <w:b/>
          <w:bCs/>
          <w:sz w:val="28"/>
          <w:szCs w:val="28"/>
        </w:rPr>
        <w:t>Use of Benefits Counseling</w:t>
      </w:r>
    </w:p>
    <w:p w14:paraId="43F0657A" w14:textId="77777777" w:rsidR="003C1F31" w:rsidRPr="003C1F31" w:rsidRDefault="003C1F31" w:rsidP="003C1F31">
      <w:pPr>
        <w:rPr>
          <w:rFonts w:ascii="Arial" w:hAnsi="Arial" w:cs="Arial"/>
          <w:sz w:val="28"/>
          <w:szCs w:val="28"/>
        </w:rPr>
      </w:pPr>
      <w:r w:rsidRPr="003C1F31">
        <w:rPr>
          <w:rFonts w:ascii="Arial" w:hAnsi="Arial" w:cs="Arial"/>
          <w:sz w:val="28"/>
          <w:szCs w:val="28"/>
        </w:rPr>
        <w:t xml:space="preserve">Currently, only three systems (independent living, vocational rehabilitation, and workforce) have expertise in providing people with disabilities benefits planning to assist both in employment efforts and with a social safety net. Other systems, such as mental health or developmental services, do not offer benefits counseling in a consistent manner. Each system uses the expertise differently for the populations it serves. At the local level, there may be systems overlap. However, at the state-level, there is no interaction of state policy across all three systems that can be determined by the CCEPD. The CCEPD believes that more cross-system collaboration can occur to further the training for all professionals working with people with disabilities to educate them on benefits planning and employment. Educating professionals about managing benefits is a needed strategy to help dispel the myths about employment for people with disabilities. </w:t>
      </w:r>
    </w:p>
    <w:p w14:paraId="41852027" w14:textId="77777777" w:rsidR="003C1F31" w:rsidRPr="003C1F31" w:rsidRDefault="003C1F31" w:rsidP="003C1F31">
      <w:pPr>
        <w:rPr>
          <w:rFonts w:ascii="Arial" w:hAnsi="Arial" w:cs="Arial"/>
          <w:sz w:val="28"/>
          <w:szCs w:val="28"/>
        </w:rPr>
      </w:pPr>
      <w:r w:rsidRPr="003C1F31">
        <w:rPr>
          <w:rFonts w:ascii="Arial" w:hAnsi="Arial" w:cs="Arial"/>
          <w:sz w:val="28"/>
          <w:szCs w:val="28"/>
        </w:rPr>
        <w:t xml:space="preserve">Independent Living Centers (ILCs) are community-driven and offer a variety of services to people with disabilities of any age based on the community needs of the local area. Although the supportive services that ILCs offer can be different, most offer benefits planning. ILCs provide expertise to </w:t>
      </w:r>
      <w:r w:rsidRPr="003C1F31">
        <w:rPr>
          <w:rFonts w:ascii="Arial" w:hAnsi="Arial" w:cs="Arial"/>
          <w:sz w:val="28"/>
          <w:szCs w:val="28"/>
        </w:rPr>
        <w:lastRenderedPageBreak/>
        <w:t>wrap services around people with disabilities, stabilizing a social safety net with benefits. This creates access to employment when people with disabilities understand their benefits and their interaction with paid work.</w:t>
      </w:r>
    </w:p>
    <w:p w14:paraId="5238DF16" w14:textId="77777777" w:rsidR="003C1F31" w:rsidRPr="003C1F31" w:rsidRDefault="003C1F31" w:rsidP="003C1F31">
      <w:pPr>
        <w:rPr>
          <w:rFonts w:ascii="Arial" w:hAnsi="Arial" w:cs="Arial"/>
          <w:sz w:val="28"/>
          <w:szCs w:val="28"/>
        </w:rPr>
      </w:pPr>
      <w:r w:rsidRPr="003C1F31">
        <w:rPr>
          <w:rFonts w:ascii="Arial" w:hAnsi="Arial" w:cs="Arial"/>
          <w:sz w:val="28"/>
          <w:szCs w:val="28"/>
        </w:rPr>
        <w:t xml:space="preserve">The Department of Rehabilitation (DOR), California’s vocational rehabilitation program, provides Work Incentives Planning Services, including information and counseling on benefits planning for SSI/SSDI participants who are in the job-ready and employed statuses of their Individualized Plan for Employment and for students with disabilities, ages 16 years old until 21 years old. The DOR also receives funds from the Social Security Administration’s Cost Reimbursement program for SSI/SSDI consumers who have gained employment. As a result of the WIOA, DOR has Work Incentives Planning for students in potentially eligible cases, offering benefits planning for students participating in paid work experience who receive SSI or Title II disability benefits (SSDI or Childhood Disability Benefits). Potentially eligible cases are students who are in school between 16 years old until 21 years old. This includes educating families about benefits planning and financial literacy, explanation of the individual’s benefits, review of a benefits summary, calculation, and information through the DB101 website, and an overview of how to report earnings.             </w:t>
      </w:r>
    </w:p>
    <w:p w14:paraId="4347F43D" w14:textId="77777777" w:rsidR="003C1F31" w:rsidRPr="003C1F31" w:rsidRDefault="003C1F31" w:rsidP="003C1F31">
      <w:pPr>
        <w:rPr>
          <w:rFonts w:ascii="Arial" w:hAnsi="Arial" w:cs="Arial"/>
          <w:sz w:val="28"/>
          <w:szCs w:val="28"/>
        </w:rPr>
      </w:pPr>
      <w:r w:rsidRPr="003C1F31">
        <w:rPr>
          <w:rFonts w:ascii="Arial" w:hAnsi="Arial" w:cs="Arial"/>
          <w:sz w:val="28"/>
          <w:szCs w:val="28"/>
        </w:rPr>
        <w:t>In California, 8 Local Workforce Development Areas (LWDAs) are Employment Networks, offering Ticket to Work Programs that include connections to benefits planners. Employment Networks are recognized by the Social Security Administration as providers who can assist people with disabilities pursue, enter, and maintain employment. LWDA Ticket to Work Programs are funded on a milestone/outcome basis, only receiving funds for clients who gain and keep employment. These LWDAs have access to benefits planning either through staffing benefits planners or by navigating services within their partnership and referral networks.  They have built capacity to assist people with disabilities with employment services, including benefits planning and supportive services through grant programs such as the Disability Employment Initiative (DEI) and Disability Employment Accelerator (DEA). Unlike ILCs and DOR, LWDAs serve the public who are seeking job services, and do not have additional eligibility criteria based on the severity of a disability.</w:t>
      </w:r>
    </w:p>
    <w:p w14:paraId="26F3B590" w14:textId="6F9436A2" w:rsidR="003C1F31" w:rsidRPr="003C1F31" w:rsidRDefault="003C1F31" w:rsidP="003C1F31">
      <w:pPr>
        <w:rPr>
          <w:rFonts w:ascii="Arial" w:hAnsi="Arial" w:cs="Arial"/>
          <w:sz w:val="28"/>
          <w:szCs w:val="28"/>
        </w:rPr>
      </w:pPr>
      <w:r w:rsidRPr="003C1F31">
        <w:rPr>
          <w:rFonts w:ascii="Arial" w:hAnsi="Arial" w:cs="Arial"/>
          <w:sz w:val="28"/>
          <w:szCs w:val="28"/>
        </w:rPr>
        <w:lastRenderedPageBreak/>
        <w:t xml:space="preserve">There are 21 Regional Centers state-wide offering employment services. Although some of the Regional Centers may offer benefits counseling, it is unknown how consistent the counseling is throughout the system. If Regional Center clients are involved in employment efforts and works with DOR, then that individual will receive benefits planning counseling in the job-ready status.                                    </w:t>
      </w:r>
      <w:bookmarkStart w:id="22" w:name="_Hlk97187158"/>
    </w:p>
    <w:bookmarkEnd w:id="22"/>
    <w:p w14:paraId="6E892808" w14:textId="77777777" w:rsidR="003C1F31" w:rsidRPr="003C1F31" w:rsidRDefault="003C1F31" w:rsidP="003C1F31">
      <w:pPr>
        <w:rPr>
          <w:rFonts w:ascii="Arial" w:hAnsi="Arial" w:cs="Arial"/>
          <w:sz w:val="28"/>
          <w:szCs w:val="28"/>
        </w:rPr>
      </w:pPr>
      <w:r w:rsidRPr="003C1F31">
        <w:rPr>
          <w:rFonts w:ascii="Arial" w:hAnsi="Arial" w:cs="Arial"/>
          <w:sz w:val="28"/>
          <w:szCs w:val="28"/>
        </w:rPr>
        <w:t xml:space="preserve">Since the1990s, federal law has instituted Work Incentives Planning that assists people with disabilities to gain employment while managing their benefits. The Work Incentives Planning and Assistance (WIPA) program, created by the Social Security Administration, was developed to promote employment for people with disabilities. According to the federal government, the goal of the program is to allow people with disabilities to have financial stability and have gainful employment. There are currently seven WIPA projects in California. These federal law changes have allowed states to have benefits planning for people with disabilities and receive funding when people with disabilities receive employment. If people with disabilities gain employment, the entities (i.e., DOR, ILCs and LWDAs) receive funds from Social Security Administration. Accompanying funding enabled states to expand their work incentives planning programs and allowed nonprofit organizations to receive funds to develop benefits planning programs. </w:t>
      </w:r>
    </w:p>
    <w:p w14:paraId="6C5211F4" w14:textId="77777777" w:rsidR="003C1F31" w:rsidRPr="003C1F31" w:rsidRDefault="003C1F31" w:rsidP="003C1F31">
      <w:pPr>
        <w:rPr>
          <w:rFonts w:ascii="Arial" w:hAnsi="Arial" w:cs="Arial"/>
          <w:b/>
          <w:bCs/>
          <w:sz w:val="28"/>
          <w:szCs w:val="28"/>
        </w:rPr>
      </w:pPr>
      <w:r w:rsidRPr="003C1F31">
        <w:rPr>
          <w:rFonts w:ascii="Arial" w:hAnsi="Arial" w:cs="Arial"/>
          <w:b/>
          <w:bCs/>
          <w:sz w:val="28"/>
          <w:szCs w:val="28"/>
        </w:rPr>
        <w:t>DB101 Website Background</w:t>
      </w:r>
    </w:p>
    <w:p w14:paraId="2387BBF9" w14:textId="77777777" w:rsidR="003C1F31" w:rsidRPr="003C1F31" w:rsidRDefault="003C1F31" w:rsidP="003C1F31">
      <w:pPr>
        <w:rPr>
          <w:rFonts w:ascii="Arial" w:hAnsi="Arial" w:cs="Arial"/>
          <w:sz w:val="28"/>
          <w:szCs w:val="28"/>
        </w:rPr>
      </w:pPr>
      <w:r w:rsidRPr="003C1F31">
        <w:rPr>
          <w:rFonts w:ascii="Arial" w:hAnsi="Arial" w:cs="Arial"/>
          <w:sz w:val="28"/>
          <w:szCs w:val="28"/>
        </w:rPr>
        <w:t>The DB101 website is operated and maintained by the World Institute of Disability (WID). The website offers information on SSI and SSDI, Medi-Cal, In Home Supportive Services, Medicare, work preparation and education, asset building information, and benefits planning/work incentive planning calculators.</w:t>
      </w:r>
    </w:p>
    <w:p w14:paraId="09DE7BF2" w14:textId="77777777" w:rsidR="003C1F31" w:rsidRPr="003C1F31" w:rsidRDefault="003C1F31" w:rsidP="003C1F31">
      <w:pPr>
        <w:rPr>
          <w:rFonts w:ascii="Arial" w:hAnsi="Arial" w:cs="Arial"/>
          <w:sz w:val="28"/>
          <w:szCs w:val="28"/>
        </w:rPr>
      </w:pPr>
      <w:r w:rsidRPr="003C1F31">
        <w:rPr>
          <w:rFonts w:ascii="Arial" w:hAnsi="Arial" w:cs="Arial"/>
          <w:sz w:val="28"/>
          <w:szCs w:val="28"/>
        </w:rPr>
        <w:t>In California, the DB101 website offers users the information in English or Spanish. In the last five years, the following chart provides the number of users.</w:t>
      </w:r>
    </w:p>
    <w:p w14:paraId="3745AF88" w14:textId="2400E954" w:rsidR="003C1F31" w:rsidRDefault="003C1F31" w:rsidP="003C1F31">
      <w:pPr>
        <w:rPr>
          <w:rFonts w:ascii="Arial" w:hAnsi="Arial" w:cs="Arial"/>
          <w:sz w:val="28"/>
          <w:szCs w:val="28"/>
        </w:rPr>
      </w:pPr>
    </w:p>
    <w:p w14:paraId="5203F463" w14:textId="7CC34EA1" w:rsidR="00891828" w:rsidRDefault="00891828" w:rsidP="003C1F31">
      <w:pPr>
        <w:rPr>
          <w:rFonts w:cs="Arial"/>
        </w:rPr>
      </w:pPr>
    </w:p>
    <w:p w14:paraId="6BAC806E" w14:textId="77777777" w:rsidR="00891828" w:rsidRPr="003C1F31" w:rsidRDefault="00891828" w:rsidP="003C1F31">
      <w:pPr>
        <w:rPr>
          <w:rFonts w:ascii="Arial" w:hAnsi="Arial" w:cs="Arial"/>
          <w:sz w:val="28"/>
          <w:szCs w:val="28"/>
        </w:rPr>
      </w:pPr>
    </w:p>
    <w:tbl>
      <w:tblPr>
        <w:tblStyle w:val="TableGrid"/>
        <w:tblW w:w="0" w:type="auto"/>
        <w:tblLook w:val="04A0" w:firstRow="1" w:lastRow="0" w:firstColumn="1" w:lastColumn="0" w:noHBand="0" w:noVBand="1"/>
      </w:tblPr>
      <w:tblGrid>
        <w:gridCol w:w="1870"/>
        <w:gridCol w:w="1870"/>
        <w:gridCol w:w="1870"/>
        <w:gridCol w:w="1870"/>
        <w:gridCol w:w="1870"/>
      </w:tblGrid>
      <w:tr w:rsidR="003C1F31" w:rsidRPr="003C1F31" w14:paraId="72A91ADA" w14:textId="77777777" w:rsidTr="00F108FC">
        <w:tc>
          <w:tcPr>
            <w:tcW w:w="1870" w:type="dxa"/>
          </w:tcPr>
          <w:p w14:paraId="076BCC3A" w14:textId="77777777" w:rsidR="003C1F31" w:rsidRPr="003C1F31" w:rsidRDefault="003C1F31" w:rsidP="00F108FC">
            <w:pPr>
              <w:rPr>
                <w:rFonts w:ascii="Arial" w:hAnsi="Arial" w:cs="Arial"/>
                <w:sz w:val="28"/>
                <w:szCs w:val="28"/>
              </w:rPr>
            </w:pPr>
            <w:r w:rsidRPr="003C1F31">
              <w:rPr>
                <w:rFonts w:ascii="Arial" w:hAnsi="Arial" w:cs="Arial"/>
                <w:sz w:val="28"/>
                <w:szCs w:val="28"/>
              </w:rPr>
              <w:lastRenderedPageBreak/>
              <w:t>Year</w:t>
            </w:r>
          </w:p>
        </w:tc>
        <w:tc>
          <w:tcPr>
            <w:tcW w:w="1870" w:type="dxa"/>
          </w:tcPr>
          <w:p w14:paraId="4D867C0D" w14:textId="77777777" w:rsidR="003C1F31" w:rsidRPr="003C1F31" w:rsidRDefault="003C1F31" w:rsidP="00F108FC">
            <w:pPr>
              <w:rPr>
                <w:rFonts w:ascii="Arial" w:hAnsi="Arial" w:cs="Arial"/>
                <w:sz w:val="28"/>
                <w:szCs w:val="28"/>
              </w:rPr>
            </w:pPr>
            <w:r w:rsidRPr="003C1F31">
              <w:rPr>
                <w:rFonts w:ascii="Arial" w:hAnsi="Arial" w:cs="Arial"/>
                <w:sz w:val="28"/>
                <w:szCs w:val="28"/>
              </w:rPr>
              <w:t>English Site</w:t>
            </w:r>
          </w:p>
        </w:tc>
        <w:tc>
          <w:tcPr>
            <w:tcW w:w="1870" w:type="dxa"/>
          </w:tcPr>
          <w:p w14:paraId="3B51D44B" w14:textId="77777777" w:rsidR="003C1F31" w:rsidRPr="003C1F31" w:rsidRDefault="003C1F31" w:rsidP="00F108FC">
            <w:pPr>
              <w:rPr>
                <w:rFonts w:ascii="Arial" w:hAnsi="Arial" w:cs="Arial"/>
                <w:sz w:val="28"/>
                <w:szCs w:val="28"/>
              </w:rPr>
            </w:pPr>
            <w:r w:rsidRPr="003C1F31">
              <w:rPr>
                <w:rFonts w:ascii="Arial" w:hAnsi="Arial" w:cs="Arial"/>
                <w:sz w:val="28"/>
                <w:szCs w:val="28"/>
              </w:rPr>
              <w:t>Spanish Site</w:t>
            </w:r>
          </w:p>
        </w:tc>
        <w:tc>
          <w:tcPr>
            <w:tcW w:w="1870" w:type="dxa"/>
          </w:tcPr>
          <w:p w14:paraId="4D4A055B" w14:textId="77777777" w:rsidR="003C1F31" w:rsidRPr="003C1F31" w:rsidRDefault="003C1F31" w:rsidP="00F108FC">
            <w:pPr>
              <w:rPr>
                <w:rFonts w:ascii="Arial" w:hAnsi="Arial" w:cs="Arial"/>
                <w:sz w:val="28"/>
                <w:szCs w:val="28"/>
              </w:rPr>
            </w:pPr>
            <w:r w:rsidRPr="003C1F31">
              <w:rPr>
                <w:rFonts w:ascii="Arial" w:hAnsi="Arial" w:cs="Arial"/>
                <w:sz w:val="28"/>
                <w:szCs w:val="28"/>
              </w:rPr>
              <w:t>Percentage Increase</w:t>
            </w:r>
          </w:p>
        </w:tc>
        <w:tc>
          <w:tcPr>
            <w:tcW w:w="1870" w:type="dxa"/>
          </w:tcPr>
          <w:p w14:paraId="2BBC522C" w14:textId="77777777" w:rsidR="003C1F31" w:rsidRPr="003C1F31" w:rsidRDefault="003C1F31" w:rsidP="00F108FC">
            <w:pPr>
              <w:rPr>
                <w:rFonts w:ascii="Arial" w:hAnsi="Arial" w:cs="Arial"/>
                <w:sz w:val="28"/>
                <w:szCs w:val="28"/>
              </w:rPr>
            </w:pPr>
            <w:r w:rsidRPr="003C1F31">
              <w:rPr>
                <w:rFonts w:ascii="Arial" w:hAnsi="Arial" w:cs="Arial"/>
                <w:sz w:val="28"/>
                <w:szCs w:val="28"/>
              </w:rPr>
              <w:t>Total Users</w:t>
            </w:r>
          </w:p>
        </w:tc>
      </w:tr>
      <w:tr w:rsidR="003C1F31" w:rsidRPr="003C1F31" w14:paraId="192BBAA1" w14:textId="77777777" w:rsidTr="00F108FC">
        <w:tc>
          <w:tcPr>
            <w:tcW w:w="1870" w:type="dxa"/>
          </w:tcPr>
          <w:p w14:paraId="5C78183A" w14:textId="77777777" w:rsidR="003C1F31" w:rsidRPr="003C1F31" w:rsidRDefault="003C1F31" w:rsidP="00F108FC">
            <w:pPr>
              <w:rPr>
                <w:rFonts w:ascii="Arial" w:hAnsi="Arial" w:cs="Arial"/>
                <w:sz w:val="28"/>
                <w:szCs w:val="28"/>
              </w:rPr>
            </w:pPr>
            <w:r w:rsidRPr="003C1F31">
              <w:rPr>
                <w:rFonts w:ascii="Arial" w:hAnsi="Arial" w:cs="Arial"/>
                <w:sz w:val="28"/>
                <w:szCs w:val="28"/>
              </w:rPr>
              <w:t>2017</w:t>
            </w:r>
          </w:p>
        </w:tc>
        <w:tc>
          <w:tcPr>
            <w:tcW w:w="1870" w:type="dxa"/>
          </w:tcPr>
          <w:p w14:paraId="06464CCE" w14:textId="77777777" w:rsidR="003C1F31" w:rsidRPr="003C1F31" w:rsidRDefault="003C1F31" w:rsidP="00F108FC">
            <w:pPr>
              <w:rPr>
                <w:rFonts w:ascii="Arial" w:hAnsi="Arial" w:cs="Arial"/>
                <w:sz w:val="28"/>
                <w:szCs w:val="28"/>
              </w:rPr>
            </w:pPr>
            <w:r w:rsidRPr="003C1F31">
              <w:rPr>
                <w:rFonts w:ascii="Arial" w:hAnsi="Arial" w:cs="Arial"/>
                <w:sz w:val="28"/>
                <w:szCs w:val="28"/>
              </w:rPr>
              <w:t>506,093</w:t>
            </w:r>
          </w:p>
        </w:tc>
        <w:tc>
          <w:tcPr>
            <w:tcW w:w="1870" w:type="dxa"/>
          </w:tcPr>
          <w:p w14:paraId="51FD253F" w14:textId="77777777" w:rsidR="003C1F31" w:rsidRPr="003C1F31" w:rsidRDefault="003C1F31" w:rsidP="00F108FC">
            <w:pPr>
              <w:rPr>
                <w:rFonts w:ascii="Arial" w:hAnsi="Arial" w:cs="Arial"/>
                <w:sz w:val="28"/>
                <w:szCs w:val="28"/>
              </w:rPr>
            </w:pPr>
            <w:r w:rsidRPr="003C1F31">
              <w:rPr>
                <w:rFonts w:ascii="Arial" w:hAnsi="Arial" w:cs="Arial"/>
                <w:sz w:val="28"/>
                <w:szCs w:val="28"/>
              </w:rPr>
              <w:t>43,607</w:t>
            </w:r>
          </w:p>
        </w:tc>
        <w:tc>
          <w:tcPr>
            <w:tcW w:w="1870" w:type="dxa"/>
          </w:tcPr>
          <w:p w14:paraId="778AB461" w14:textId="77777777" w:rsidR="003C1F31" w:rsidRPr="003C1F31" w:rsidRDefault="003C1F31" w:rsidP="00F108FC">
            <w:pPr>
              <w:rPr>
                <w:rFonts w:ascii="Arial" w:hAnsi="Arial" w:cs="Arial"/>
                <w:sz w:val="28"/>
                <w:szCs w:val="28"/>
              </w:rPr>
            </w:pPr>
            <w:r w:rsidRPr="003C1F31">
              <w:rPr>
                <w:rFonts w:ascii="Arial" w:hAnsi="Arial" w:cs="Arial"/>
                <w:sz w:val="28"/>
                <w:szCs w:val="28"/>
              </w:rPr>
              <w:t>28.7%</w:t>
            </w:r>
          </w:p>
        </w:tc>
        <w:tc>
          <w:tcPr>
            <w:tcW w:w="1870" w:type="dxa"/>
          </w:tcPr>
          <w:p w14:paraId="1F36ECEB" w14:textId="77777777" w:rsidR="003C1F31" w:rsidRPr="003C1F31" w:rsidRDefault="003C1F31" w:rsidP="00F108FC">
            <w:pPr>
              <w:rPr>
                <w:rFonts w:ascii="Arial" w:hAnsi="Arial" w:cs="Arial"/>
                <w:sz w:val="28"/>
                <w:szCs w:val="28"/>
              </w:rPr>
            </w:pPr>
            <w:r w:rsidRPr="003C1F31">
              <w:rPr>
                <w:rFonts w:ascii="Arial" w:hAnsi="Arial" w:cs="Arial"/>
                <w:sz w:val="28"/>
                <w:szCs w:val="28"/>
              </w:rPr>
              <w:t>549,700</w:t>
            </w:r>
          </w:p>
        </w:tc>
      </w:tr>
      <w:tr w:rsidR="003C1F31" w:rsidRPr="003C1F31" w14:paraId="20C9CC37" w14:textId="77777777" w:rsidTr="00F108FC">
        <w:tc>
          <w:tcPr>
            <w:tcW w:w="1870" w:type="dxa"/>
          </w:tcPr>
          <w:p w14:paraId="3DA3825D" w14:textId="77777777" w:rsidR="003C1F31" w:rsidRPr="003C1F31" w:rsidRDefault="003C1F31" w:rsidP="00F108FC">
            <w:pPr>
              <w:rPr>
                <w:rFonts w:ascii="Arial" w:hAnsi="Arial" w:cs="Arial"/>
                <w:sz w:val="28"/>
                <w:szCs w:val="28"/>
              </w:rPr>
            </w:pPr>
            <w:r w:rsidRPr="003C1F31">
              <w:rPr>
                <w:rFonts w:ascii="Arial" w:hAnsi="Arial" w:cs="Arial"/>
                <w:sz w:val="28"/>
                <w:szCs w:val="28"/>
              </w:rPr>
              <w:t>2018</w:t>
            </w:r>
          </w:p>
        </w:tc>
        <w:tc>
          <w:tcPr>
            <w:tcW w:w="1870" w:type="dxa"/>
          </w:tcPr>
          <w:p w14:paraId="44CCF563" w14:textId="77777777" w:rsidR="003C1F31" w:rsidRPr="003C1F31" w:rsidRDefault="003C1F31" w:rsidP="00F108FC">
            <w:pPr>
              <w:rPr>
                <w:rFonts w:ascii="Arial" w:hAnsi="Arial" w:cs="Arial"/>
                <w:sz w:val="28"/>
                <w:szCs w:val="28"/>
              </w:rPr>
            </w:pPr>
            <w:r w:rsidRPr="003C1F31">
              <w:rPr>
                <w:rFonts w:ascii="Arial" w:hAnsi="Arial" w:cs="Arial"/>
                <w:sz w:val="28"/>
                <w:szCs w:val="28"/>
              </w:rPr>
              <w:t>609,841</w:t>
            </w:r>
          </w:p>
        </w:tc>
        <w:tc>
          <w:tcPr>
            <w:tcW w:w="1870" w:type="dxa"/>
          </w:tcPr>
          <w:p w14:paraId="05EEBB5F" w14:textId="77777777" w:rsidR="003C1F31" w:rsidRPr="003C1F31" w:rsidRDefault="003C1F31" w:rsidP="00F108FC">
            <w:pPr>
              <w:rPr>
                <w:rFonts w:ascii="Arial" w:hAnsi="Arial" w:cs="Arial"/>
                <w:sz w:val="28"/>
                <w:szCs w:val="28"/>
              </w:rPr>
            </w:pPr>
            <w:r w:rsidRPr="003C1F31">
              <w:rPr>
                <w:rFonts w:ascii="Arial" w:hAnsi="Arial" w:cs="Arial"/>
                <w:sz w:val="28"/>
                <w:szCs w:val="28"/>
              </w:rPr>
              <w:t>48,724</w:t>
            </w:r>
          </w:p>
        </w:tc>
        <w:tc>
          <w:tcPr>
            <w:tcW w:w="1870" w:type="dxa"/>
          </w:tcPr>
          <w:p w14:paraId="3296EE46" w14:textId="77777777" w:rsidR="003C1F31" w:rsidRPr="003C1F31" w:rsidRDefault="003C1F31" w:rsidP="00F108FC">
            <w:pPr>
              <w:rPr>
                <w:rFonts w:ascii="Arial" w:hAnsi="Arial" w:cs="Arial"/>
                <w:sz w:val="28"/>
                <w:szCs w:val="28"/>
              </w:rPr>
            </w:pPr>
            <w:r w:rsidRPr="003C1F31">
              <w:rPr>
                <w:rFonts w:ascii="Arial" w:hAnsi="Arial" w:cs="Arial"/>
                <w:sz w:val="28"/>
                <w:szCs w:val="28"/>
              </w:rPr>
              <w:t>20.5%</w:t>
            </w:r>
          </w:p>
        </w:tc>
        <w:tc>
          <w:tcPr>
            <w:tcW w:w="1870" w:type="dxa"/>
          </w:tcPr>
          <w:p w14:paraId="633FC733" w14:textId="77777777" w:rsidR="003C1F31" w:rsidRPr="003C1F31" w:rsidRDefault="003C1F31" w:rsidP="00F108FC">
            <w:pPr>
              <w:rPr>
                <w:rFonts w:ascii="Arial" w:hAnsi="Arial" w:cs="Arial"/>
                <w:sz w:val="28"/>
                <w:szCs w:val="28"/>
              </w:rPr>
            </w:pPr>
            <w:r w:rsidRPr="003C1F31">
              <w:rPr>
                <w:rFonts w:ascii="Arial" w:hAnsi="Arial" w:cs="Arial"/>
                <w:sz w:val="28"/>
                <w:szCs w:val="28"/>
              </w:rPr>
              <w:t>658,565</w:t>
            </w:r>
          </w:p>
        </w:tc>
      </w:tr>
      <w:tr w:rsidR="003C1F31" w:rsidRPr="003C1F31" w14:paraId="0FA43243" w14:textId="77777777" w:rsidTr="00F108FC">
        <w:tc>
          <w:tcPr>
            <w:tcW w:w="1870" w:type="dxa"/>
          </w:tcPr>
          <w:p w14:paraId="78AC27E7" w14:textId="77777777" w:rsidR="003C1F31" w:rsidRPr="003C1F31" w:rsidRDefault="003C1F31" w:rsidP="00F108FC">
            <w:pPr>
              <w:rPr>
                <w:rFonts w:ascii="Arial" w:hAnsi="Arial" w:cs="Arial"/>
                <w:sz w:val="28"/>
                <w:szCs w:val="28"/>
              </w:rPr>
            </w:pPr>
            <w:r w:rsidRPr="003C1F31">
              <w:rPr>
                <w:rFonts w:ascii="Arial" w:hAnsi="Arial" w:cs="Arial"/>
                <w:sz w:val="28"/>
                <w:szCs w:val="28"/>
              </w:rPr>
              <w:t>2019</w:t>
            </w:r>
          </w:p>
        </w:tc>
        <w:tc>
          <w:tcPr>
            <w:tcW w:w="1870" w:type="dxa"/>
          </w:tcPr>
          <w:p w14:paraId="7F83C585" w14:textId="77777777" w:rsidR="003C1F31" w:rsidRPr="003C1F31" w:rsidRDefault="003C1F31" w:rsidP="00F108FC">
            <w:pPr>
              <w:rPr>
                <w:rFonts w:ascii="Arial" w:hAnsi="Arial" w:cs="Arial"/>
                <w:sz w:val="28"/>
                <w:szCs w:val="28"/>
              </w:rPr>
            </w:pPr>
            <w:r w:rsidRPr="003C1F31">
              <w:rPr>
                <w:rFonts w:ascii="Arial" w:hAnsi="Arial" w:cs="Arial"/>
                <w:sz w:val="28"/>
                <w:szCs w:val="28"/>
              </w:rPr>
              <w:t>792,893</w:t>
            </w:r>
          </w:p>
        </w:tc>
        <w:tc>
          <w:tcPr>
            <w:tcW w:w="1870" w:type="dxa"/>
          </w:tcPr>
          <w:p w14:paraId="7D3D8236" w14:textId="77777777" w:rsidR="003C1F31" w:rsidRPr="003C1F31" w:rsidRDefault="003C1F31" w:rsidP="00F108FC">
            <w:pPr>
              <w:rPr>
                <w:rFonts w:ascii="Arial" w:hAnsi="Arial" w:cs="Arial"/>
                <w:sz w:val="28"/>
                <w:szCs w:val="28"/>
              </w:rPr>
            </w:pPr>
            <w:r w:rsidRPr="003C1F31">
              <w:rPr>
                <w:rFonts w:ascii="Arial" w:hAnsi="Arial" w:cs="Arial"/>
                <w:sz w:val="28"/>
                <w:szCs w:val="28"/>
              </w:rPr>
              <w:t>55,038</w:t>
            </w:r>
          </w:p>
        </w:tc>
        <w:tc>
          <w:tcPr>
            <w:tcW w:w="1870" w:type="dxa"/>
          </w:tcPr>
          <w:p w14:paraId="3BB95E68" w14:textId="77777777" w:rsidR="003C1F31" w:rsidRPr="003C1F31" w:rsidRDefault="003C1F31" w:rsidP="00F108FC">
            <w:pPr>
              <w:rPr>
                <w:rFonts w:ascii="Arial" w:hAnsi="Arial" w:cs="Arial"/>
                <w:sz w:val="28"/>
                <w:szCs w:val="28"/>
              </w:rPr>
            </w:pPr>
            <w:r w:rsidRPr="003C1F31">
              <w:rPr>
                <w:rFonts w:ascii="Arial" w:hAnsi="Arial" w:cs="Arial"/>
                <w:sz w:val="28"/>
                <w:szCs w:val="28"/>
              </w:rPr>
              <w:t>30.0%</w:t>
            </w:r>
          </w:p>
        </w:tc>
        <w:tc>
          <w:tcPr>
            <w:tcW w:w="1870" w:type="dxa"/>
          </w:tcPr>
          <w:p w14:paraId="5167A14F" w14:textId="77777777" w:rsidR="003C1F31" w:rsidRPr="003C1F31" w:rsidRDefault="003C1F31" w:rsidP="00F108FC">
            <w:pPr>
              <w:rPr>
                <w:rFonts w:ascii="Arial" w:hAnsi="Arial" w:cs="Arial"/>
                <w:sz w:val="28"/>
                <w:szCs w:val="28"/>
              </w:rPr>
            </w:pPr>
            <w:r w:rsidRPr="003C1F31">
              <w:rPr>
                <w:rFonts w:ascii="Arial" w:hAnsi="Arial" w:cs="Arial"/>
                <w:sz w:val="28"/>
                <w:szCs w:val="28"/>
              </w:rPr>
              <w:t>847,931</w:t>
            </w:r>
          </w:p>
        </w:tc>
      </w:tr>
      <w:tr w:rsidR="003C1F31" w:rsidRPr="003C1F31" w14:paraId="02A8E488" w14:textId="77777777" w:rsidTr="00F108FC">
        <w:tc>
          <w:tcPr>
            <w:tcW w:w="1870" w:type="dxa"/>
          </w:tcPr>
          <w:p w14:paraId="2928F0A9" w14:textId="77777777" w:rsidR="003C1F31" w:rsidRPr="003C1F31" w:rsidRDefault="003C1F31" w:rsidP="00F108FC">
            <w:pPr>
              <w:rPr>
                <w:rFonts w:ascii="Arial" w:hAnsi="Arial" w:cs="Arial"/>
                <w:sz w:val="28"/>
                <w:szCs w:val="28"/>
              </w:rPr>
            </w:pPr>
            <w:r w:rsidRPr="003C1F31">
              <w:rPr>
                <w:rFonts w:ascii="Arial" w:hAnsi="Arial" w:cs="Arial"/>
                <w:sz w:val="28"/>
                <w:szCs w:val="28"/>
              </w:rPr>
              <w:t>2020</w:t>
            </w:r>
          </w:p>
        </w:tc>
        <w:tc>
          <w:tcPr>
            <w:tcW w:w="1870" w:type="dxa"/>
          </w:tcPr>
          <w:p w14:paraId="22A53F57" w14:textId="77777777" w:rsidR="003C1F31" w:rsidRPr="003C1F31" w:rsidRDefault="003C1F31" w:rsidP="00F108FC">
            <w:pPr>
              <w:rPr>
                <w:rFonts w:ascii="Arial" w:hAnsi="Arial" w:cs="Arial"/>
                <w:sz w:val="28"/>
                <w:szCs w:val="28"/>
              </w:rPr>
            </w:pPr>
            <w:r w:rsidRPr="003C1F31">
              <w:rPr>
                <w:rFonts w:ascii="Arial" w:hAnsi="Arial" w:cs="Arial"/>
                <w:sz w:val="28"/>
                <w:szCs w:val="28"/>
              </w:rPr>
              <w:t>745,865</w:t>
            </w:r>
          </w:p>
        </w:tc>
        <w:tc>
          <w:tcPr>
            <w:tcW w:w="1870" w:type="dxa"/>
          </w:tcPr>
          <w:p w14:paraId="387BAC12" w14:textId="77777777" w:rsidR="003C1F31" w:rsidRPr="003C1F31" w:rsidRDefault="003C1F31" w:rsidP="00F108FC">
            <w:pPr>
              <w:rPr>
                <w:rFonts w:ascii="Arial" w:hAnsi="Arial" w:cs="Arial"/>
                <w:sz w:val="28"/>
                <w:szCs w:val="28"/>
              </w:rPr>
            </w:pPr>
            <w:r w:rsidRPr="003C1F31">
              <w:rPr>
                <w:rFonts w:ascii="Arial" w:hAnsi="Arial" w:cs="Arial"/>
                <w:sz w:val="28"/>
                <w:szCs w:val="28"/>
              </w:rPr>
              <w:t>67,416</w:t>
            </w:r>
          </w:p>
        </w:tc>
        <w:tc>
          <w:tcPr>
            <w:tcW w:w="1870" w:type="dxa"/>
          </w:tcPr>
          <w:p w14:paraId="7B85029B" w14:textId="77777777" w:rsidR="003C1F31" w:rsidRPr="003C1F31" w:rsidRDefault="003C1F31" w:rsidP="00F108FC">
            <w:pPr>
              <w:rPr>
                <w:rFonts w:ascii="Arial" w:hAnsi="Arial" w:cs="Arial"/>
                <w:sz w:val="28"/>
                <w:szCs w:val="28"/>
              </w:rPr>
            </w:pPr>
            <w:r w:rsidRPr="003C1F31">
              <w:rPr>
                <w:rFonts w:ascii="Arial" w:hAnsi="Arial" w:cs="Arial"/>
                <w:sz w:val="28"/>
                <w:szCs w:val="28"/>
              </w:rPr>
              <w:t>-6%</w:t>
            </w:r>
          </w:p>
        </w:tc>
        <w:tc>
          <w:tcPr>
            <w:tcW w:w="1870" w:type="dxa"/>
          </w:tcPr>
          <w:p w14:paraId="38C1ECDE" w14:textId="77777777" w:rsidR="003C1F31" w:rsidRPr="003C1F31" w:rsidRDefault="003C1F31" w:rsidP="00F108FC">
            <w:pPr>
              <w:rPr>
                <w:rFonts w:ascii="Arial" w:hAnsi="Arial" w:cs="Arial"/>
                <w:sz w:val="28"/>
                <w:szCs w:val="28"/>
              </w:rPr>
            </w:pPr>
            <w:r w:rsidRPr="003C1F31">
              <w:rPr>
                <w:rFonts w:ascii="Arial" w:hAnsi="Arial" w:cs="Arial"/>
                <w:sz w:val="28"/>
                <w:szCs w:val="28"/>
              </w:rPr>
              <w:t>813,281</w:t>
            </w:r>
          </w:p>
        </w:tc>
      </w:tr>
      <w:tr w:rsidR="003C1F31" w:rsidRPr="003C1F31" w14:paraId="2027B17A" w14:textId="77777777" w:rsidTr="00F108FC">
        <w:tc>
          <w:tcPr>
            <w:tcW w:w="1870" w:type="dxa"/>
          </w:tcPr>
          <w:p w14:paraId="2453EDC1" w14:textId="77777777" w:rsidR="003C1F31" w:rsidRPr="003C1F31" w:rsidRDefault="003C1F31" w:rsidP="00F108FC">
            <w:pPr>
              <w:rPr>
                <w:rFonts w:ascii="Arial" w:hAnsi="Arial" w:cs="Arial"/>
                <w:sz w:val="28"/>
                <w:szCs w:val="28"/>
              </w:rPr>
            </w:pPr>
            <w:r w:rsidRPr="003C1F31">
              <w:rPr>
                <w:rFonts w:ascii="Arial" w:hAnsi="Arial" w:cs="Arial"/>
                <w:sz w:val="28"/>
                <w:szCs w:val="28"/>
              </w:rPr>
              <w:t>2021</w:t>
            </w:r>
          </w:p>
        </w:tc>
        <w:tc>
          <w:tcPr>
            <w:tcW w:w="1870" w:type="dxa"/>
          </w:tcPr>
          <w:p w14:paraId="42D4CF5F" w14:textId="77777777" w:rsidR="003C1F31" w:rsidRPr="003C1F31" w:rsidRDefault="003C1F31" w:rsidP="00F108FC">
            <w:pPr>
              <w:rPr>
                <w:rFonts w:ascii="Arial" w:hAnsi="Arial" w:cs="Arial"/>
                <w:sz w:val="28"/>
                <w:szCs w:val="28"/>
              </w:rPr>
            </w:pPr>
            <w:r w:rsidRPr="003C1F31">
              <w:rPr>
                <w:rFonts w:ascii="Arial" w:hAnsi="Arial" w:cs="Arial"/>
                <w:sz w:val="28"/>
                <w:szCs w:val="28"/>
              </w:rPr>
              <w:t>611,123</w:t>
            </w:r>
          </w:p>
        </w:tc>
        <w:tc>
          <w:tcPr>
            <w:tcW w:w="1870" w:type="dxa"/>
          </w:tcPr>
          <w:p w14:paraId="79243A36" w14:textId="77777777" w:rsidR="003C1F31" w:rsidRPr="003C1F31" w:rsidRDefault="003C1F31" w:rsidP="00F108FC">
            <w:pPr>
              <w:rPr>
                <w:rFonts w:ascii="Arial" w:hAnsi="Arial" w:cs="Arial"/>
                <w:sz w:val="28"/>
                <w:szCs w:val="28"/>
              </w:rPr>
            </w:pPr>
            <w:r w:rsidRPr="003C1F31">
              <w:rPr>
                <w:rFonts w:ascii="Arial" w:hAnsi="Arial" w:cs="Arial"/>
                <w:sz w:val="28"/>
                <w:szCs w:val="28"/>
              </w:rPr>
              <w:t>36,460</w:t>
            </w:r>
          </w:p>
        </w:tc>
        <w:tc>
          <w:tcPr>
            <w:tcW w:w="1870" w:type="dxa"/>
          </w:tcPr>
          <w:p w14:paraId="7DDA2D7D" w14:textId="77777777" w:rsidR="003C1F31" w:rsidRPr="003C1F31" w:rsidRDefault="003C1F31" w:rsidP="00F108FC">
            <w:pPr>
              <w:rPr>
                <w:rFonts w:ascii="Arial" w:hAnsi="Arial" w:cs="Arial"/>
                <w:sz w:val="28"/>
                <w:szCs w:val="28"/>
              </w:rPr>
            </w:pPr>
            <w:r w:rsidRPr="003C1F31">
              <w:rPr>
                <w:rFonts w:ascii="Arial" w:hAnsi="Arial" w:cs="Arial"/>
                <w:sz w:val="28"/>
                <w:szCs w:val="28"/>
              </w:rPr>
              <w:t>-17.9%</w:t>
            </w:r>
          </w:p>
        </w:tc>
        <w:tc>
          <w:tcPr>
            <w:tcW w:w="1870" w:type="dxa"/>
          </w:tcPr>
          <w:p w14:paraId="361008A0" w14:textId="77777777" w:rsidR="003C1F31" w:rsidRPr="003C1F31" w:rsidRDefault="003C1F31" w:rsidP="00F108FC">
            <w:pPr>
              <w:rPr>
                <w:rFonts w:ascii="Arial" w:hAnsi="Arial" w:cs="Arial"/>
                <w:sz w:val="28"/>
                <w:szCs w:val="28"/>
              </w:rPr>
            </w:pPr>
            <w:r w:rsidRPr="003C1F31">
              <w:rPr>
                <w:rFonts w:ascii="Arial" w:hAnsi="Arial" w:cs="Arial"/>
                <w:sz w:val="28"/>
                <w:szCs w:val="28"/>
              </w:rPr>
              <w:t>647,583</w:t>
            </w:r>
          </w:p>
        </w:tc>
      </w:tr>
      <w:tr w:rsidR="003C1F31" w:rsidRPr="003C1F31" w14:paraId="4466FDBE" w14:textId="77777777" w:rsidTr="00F108FC">
        <w:tc>
          <w:tcPr>
            <w:tcW w:w="1870" w:type="dxa"/>
          </w:tcPr>
          <w:p w14:paraId="2DD05682" w14:textId="77777777" w:rsidR="003C1F31" w:rsidRPr="003C1F31" w:rsidRDefault="003C1F31" w:rsidP="00F108FC">
            <w:pPr>
              <w:rPr>
                <w:rFonts w:ascii="Arial" w:hAnsi="Arial" w:cs="Arial"/>
                <w:sz w:val="28"/>
                <w:szCs w:val="28"/>
              </w:rPr>
            </w:pPr>
            <w:r w:rsidRPr="003C1F31">
              <w:rPr>
                <w:rFonts w:ascii="Arial" w:hAnsi="Arial" w:cs="Arial"/>
                <w:sz w:val="28"/>
                <w:szCs w:val="28"/>
              </w:rPr>
              <w:t>5-Year Total</w:t>
            </w:r>
          </w:p>
        </w:tc>
        <w:tc>
          <w:tcPr>
            <w:tcW w:w="1870" w:type="dxa"/>
          </w:tcPr>
          <w:p w14:paraId="2C93941E" w14:textId="77777777" w:rsidR="003C1F31" w:rsidRPr="003C1F31" w:rsidRDefault="003C1F31" w:rsidP="00F108FC">
            <w:pPr>
              <w:rPr>
                <w:rFonts w:ascii="Arial" w:hAnsi="Arial" w:cs="Arial"/>
                <w:sz w:val="28"/>
                <w:szCs w:val="28"/>
              </w:rPr>
            </w:pPr>
            <w:r w:rsidRPr="003C1F31">
              <w:rPr>
                <w:rFonts w:ascii="Arial" w:hAnsi="Arial" w:cs="Arial"/>
                <w:sz w:val="28"/>
                <w:szCs w:val="28"/>
              </w:rPr>
              <w:t>3,265,815</w:t>
            </w:r>
          </w:p>
        </w:tc>
        <w:tc>
          <w:tcPr>
            <w:tcW w:w="1870" w:type="dxa"/>
          </w:tcPr>
          <w:p w14:paraId="34A6030A" w14:textId="77777777" w:rsidR="003C1F31" w:rsidRPr="003C1F31" w:rsidRDefault="003C1F31" w:rsidP="00F108FC">
            <w:pPr>
              <w:rPr>
                <w:rFonts w:ascii="Arial" w:hAnsi="Arial" w:cs="Arial"/>
                <w:sz w:val="28"/>
                <w:szCs w:val="28"/>
              </w:rPr>
            </w:pPr>
            <w:r w:rsidRPr="003C1F31">
              <w:rPr>
                <w:rFonts w:ascii="Arial" w:hAnsi="Arial" w:cs="Arial"/>
                <w:sz w:val="28"/>
                <w:szCs w:val="28"/>
              </w:rPr>
              <w:t>251,245</w:t>
            </w:r>
          </w:p>
        </w:tc>
        <w:tc>
          <w:tcPr>
            <w:tcW w:w="1870" w:type="dxa"/>
          </w:tcPr>
          <w:p w14:paraId="5FCF5CB0" w14:textId="77777777" w:rsidR="003C1F31" w:rsidRPr="003C1F31" w:rsidRDefault="003C1F31" w:rsidP="00F108FC">
            <w:pPr>
              <w:rPr>
                <w:rFonts w:ascii="Arial" w:hAnsi="Arial" w:cs="Arial"/>
                <w:sz w:val="28"/>
                <w:szCs w:val="28"/>
              </w:rPr>
            </w:pPr>
          </w:p>
        </w:tc>
        <w:tc>
          <w:tcPr>
            <w:tcW w:w="1870" w:type="dxa"/>
          </w:tcPr>
          <w:p w14:paraId="3123C5C6" w14:textId="77777777" w:rsidR="003C1F31" w:rsidRPr="003C1F31" w:rsidRDefault="003C1F31" w:rsidP="00F108FC">
            <w:pPr>
              <w:rPr>
                <w:rFonts w:ascii="Arial" w:hAnsi="Arial" w:cs="Arial"/>
                <w:sz w:val="28"/>
                <w:szCs w:val="28"/>
              </w:rPr>
            </w:pPr>
            <w:r w:rsidRPr="003C1F31">
              <w:rPr>
                <w:rFonts w:ascii="Arial" w:hAnsi="Arial" w:cs="Arial"/>
                <w:sz w:val="28"/>
                <w:szCs w:val="28"/>
              </w:rPr>
              <w:t>3,517,060</w:t>
            </w:r>
          </w:p>
        </w:tc>
      </w:tr>
    </w:tbl>
    <w:p w14:paraId="3E21406F" w14:textId="77777777" w:rsidR="003C1F31" w:rsidRPr="003C1F31" w:rsidRDefault="003C1F31" w:rsidP="003C1F31">
      <w:pPr>
        <w:rPr>
          <w:rFonts w:ascii="Arial" w:hAnsi="Arial" w:cs="Arial"/>
          <w:sz w:val="28"/>
          <w:szCs w:val="28"/>
        </w:rPr>
      </w:pPr>
    </w:p>
    <w:p w14:paraId="1CB1B712" w14:textId="77777777" w:rsidR="003C1F31" w:rsidRPr="003C1F31" w:rsidRDefault="003C1F31" w:rsidP="003C1F31">
      <w:pPr>
        <w:rPr>
          <w:rFonts w:ascii="Arial" w:hAnsi="Arial" w:cs="Arial"/>
          <w:sz w:val="28"/>
          <w:szCs w:val="28"/>
        </w:rPr>
      </w:pPr>
      <w:r w:rsidRPr="003C1F31">
        <w:rPr>
          <w:rFonts w:ascii="Arial" w:hAnsi="Arial" w:cs="Arial"/>
          <w:sz w:val="28"/>
          <w:szCs w:val="28"/>
        </w:rPr>
        <w:t xml:space="preserve">Sessions are the number of times an individual uses the website. WID assumes that those using the website are benefits planning specialists and service providers with knowledge of the online tool, people with disabilities or their families or support network who know of the online tool due to the service providers. </w:t>
      </w:r>
    </w:p>
    <w:p w14:paraId="7FEE2B48" w14:textId="77777777" w:rsidR="003C1F31" w:rsidRPr="003C1F31" w:rsidRDefault="003C1F31" w:rsidP="003C1F31">
      <w:pPr>
        <w:rPr>
          <w:rFonts w:ascii="Arial" w:hAnsi="Arial" w:cs="Arial"/>
          <w:sz w:val="28"/>
          <w:szCs w:val="28"/>
        </w:rPr>
      </w:pPr>
      <w:r w:rsidRPr="003C1F31">
        <w:rPr>
          <w:rFonts w:ascii="Arial" w:hAnsi="Arial" w:cs="Arial"/>
          <w:sz w:val="28"/>
          <w:szCs w:val="28"/>
        </w:rPr>
        <w:t>DB101 was first created in California to combat the misinformation and fear among people with disabilities to be employed and manage their benefits. At that time, conversations centered on the need for an online portal that could be accessed by both customers and their families or support network and practitioners working with people with disabilities. A needs assessment was developed to determine usability needs of the online portal.</w:t>
      </w:r>
    </w:p>
    <w:p w14:paraId="57AA9DE5" w14:textId="77777777" w:rsidR="003C1F31" w:rsidRPr="003C1F31" w:rsidRDefault="003C1F31" w:rsidP="003C1F31">
      <w:pPr>
        <w:rPr>
          <w:rFonts w:ascii="Arial" w:hAnsi="Arial" w:cs="Arial"/>
          <w:sz w:val="28"/>
          <w:szCs w:val="28"/>
        </w:rPr>
      </w:pPr>
      <w:r w:rsidRPr="003C1F31">
        <w:rPr>
          <w:rFonts w:ascii="Arial" w:hAnsi="Arial" w:cs="Arial"/>
          <w:sz w:val="28"/>
          <w:szCs w:val="28"/>
        </w:rPr>
        <w:t xml:space="preserve">Launched in 2004, the creation of the online portal has been a public-private creation between the WID, grants from the California Endowment, start-up and research and design grants from the DOR, and funds from the Disability Employment Initiative from the EDD. In 2005, the Social Security Administration awarded a grant to finish designs and launch online calculators for California disability beneficiaries. </w:t>
      </w:r>
    </w:p>
    <w:p w14:paraId="6A625DB6" w14:textId="77777777" w:rsidR="003C1F31" w:rsidRPr="003C1F31" w:rsidRDefault="003C1F31" w:rsidP="003C1F31">
      <w:pPr>
        <w:rPr>
          <w:rFonts w:ascii="Arial" w:hAnsi="Arial" w:cs="Arial"/>
          <w:sz w:val="28"/>
          <w:szCs w:val="28"/>
        </w:rPr>
      </w:pPr>
      <w:r w:rsidRPr="003C1F31">
        <w:rPr>
          <w:rFonts w:ascii="Arial" w:hAnsi="Arial" w:cs="Arial"/>
          <w:sz w:val="28"/>
          <w:szCs w:val="28"/>
        </w:rPr>
        <w:t>In 2020, after securing foundational grants, the WID redesigned the website to streamline the navigation of the tool and make it fully mobile responsive. Although WID continues to maintain the tool, the State of California currently does not pay for the ongoing maintenance and operation costs. WID has estimated that the maintenance and operation costs about $113,463. The CCEPD has provided examples of how other states have funded DB101 as well as how other have integrated the usage of DB101 in multiple systems.</w:t>
      </w:r>
    </w:p>
    <w:p w14:paraId="5AB20DF8" w14:textId="77777777" w:rsidR="003C1F31" w:rsidRPr="003C1F31" w:rsidRDefault="003C1F31" w:rsidP="003C1F31">
      <w:pPr>
        <w:rPr>
          <w:rFonts w:ascii="Arial" w:hAnsi="Arial" w:cs="Arial"/>
          <w:sz w:val="28"/>
          <w:szCs w:val="28"/>
        </w:rPr>
      </w:pPr>
    </w:p>
    <w:p w14:paraId="7BCED0C9" w14:textId="77777777" w:rsidR="003C1F31" w:rsidRPr="003C1F31" w:rsidRDefault="003C1F31" w:rsidP="003C1F31">
      <w:pPr>
        <w:rPr>
          <w:rFonts w:ascii="Arial" w:hAnsi="Arial" w:cs="Arial"/>
          <w:sz w:val="28"/>
          <w:szCs w:val="28"/>
        </w:rPr>
      </w:pPr>
      <w:r w:rsidRPr="003C1F31">
        <w:rPr>
          <w:rFonts w:ascii="Arial" w:hAnsi="Arial" w:cs="Arial"/>
          <w:sz w:val="28"/>
          <w:szCs w:val="28"/>
        </w:rPr>
        <w:lastRenderedPageBreak/>
        <w:t>In 2020, as part of understanding how customers are experiencing the site and what the site is used for, WID embedded a survey feature into the site. People with disabilities, their families or caregivers and professionals are using DB101. Of the service professionals, the majority users are service providers, employment specialists and community resource specialists. Many are using DB101 to support their job and clients with information on employment and community resources. As a result of using DB101, many will use community resources to improve their life, take the job offer, look for work and go back to school.</w:t>
      </w:r>
    </w:p>
    <w:p w14:paraId="74D7F4A0" w14:textId="77777777" w:rsidR="003C1F31" w:rsidRPr="003C1F31" w:rsidRDefault="003C1F31" w:rsidP="003C1F31">
      <w:pPr>
        <w:rPr>
          <w:rFonts w:ascii="Arial" w:hAnsi="Arial" w:cs="Arial"/>
          <w:b/>
          <w:bCs/>
          <w:sz w:val="28"/>
          <w:szCs w:val="28"/>
          <w:highlight w:val="yellow"/>
        </w:rPr>
      </w:pPr>
      <w:r w:rsidRPr="003C1F31">
        <w:rPr>
          <w:rFonts w:ascii="Arial" w:hAnsi="Arial" w:cs="Arial"/>
          <w:b/>
          <w:bCs/>
          <w:sz w:val="28"/>
          <w:szCs w:val="28"/>
        </w:rPr>
        <w:t>Other State’s DB 101 Usage</w:t>
      </w:r>
    </w:p>
    <w:p w14:paraId="1BD089E0" w14:textId="77777777" w:rsidR="003C1F31" w:rsidRPr="003C1F31" w:rsidRDefault="003C1F31" w:rsidP="003C1F31">
      <w:pPr>
        <w:rPr>
          <w:rFonts w:ascii="Arial" w:hAnsi="Arial" w:cs="Arial"/>
          <w:sz w:val="28"/>
          <w:szCs w:val="28"/>
        </w:rPr>
      </w:pPr>
      <w:r w:rsidRPr="003C1F31">
        <w:rPr>
          <w:rFonts w:ascii="Arial" w:hAnsi="Arial" w:cs="Arial"/>
          <w:sz w:val="28"/>
          <w:szCs w:val="28"/>
        </w:rPr>
        <w:t>DB101 is now available in 10 states, including Alaska, Arizona, California, Colorado, Kentucky, Michigan, Minnesota, Missouri, New Jersey, and Ohio. In 2022, DB101 is launching in Illinois. California, Arizona, Colorado, and New Jersey have a bilingual website and so will Illinois.</w:t>
      </w:r>
    </w:p>
    <w:p w14:paraId="5D1FB46A" w14:textId="77777777" w:rsidR="003C1F31" w:rsidRPr="003C1F31" w:rsidRDefault="003C1F31" w:rsidP="003C1F31">
      <w:pPr>
        <w:rPr>
          <w:rFonts w:ascii="Arial" w:hAnsi="Arial" w:cs="Arial"/>
          <w:sz w:val="28"/>
          <w:szCs w:val="28"/>
        </w:rPr>
      </w:pPr>
      <w:r w:rsidRPr="003C1F31">
        <w:rPr>
          <w:rFonts w:ascii="Arial" w:hAnsi="Arial" w:cs="Arial"/>
          <w:sz w:val="28"/>
          <w:szCs w:val="28"/>
        </w:rPr>
        <w:t xml:space="preserve">Each state can additional specific information to the tool. For instance, the State of Minnesota has included information on energy, childcare, housing, and food assistance that California does not include. Additionally, Arizona has included information on home ownership and how to start a business. The State of Michigan provides veterans information on its web-based online tool. The State of California can also include other information not currently included on the toolkit. </w:t>
      </w:r>
    </w:p>
    <w:p w14:paraId="0EEC51F3" w14:textId="77777777" w:rsidR="003C1F31" w:rsidRPr="003C1F31" w:rsidRDefault="003C1F31" w:rsidP="003C1F31">
      <w:pPr>
        <w:rPr>
          <w:rFonts w:ascii="Arial" w:hAnsi="Arial" w:cs="Arial"/>
          <w:sz w:val="28"/>
          <w:szCs w:val="28"/>
        </w:rPr>
      </w:pPr>
      <w:r w:rsidRPr="003C1F31">
        <w:rPr>
          <w:rFonts w:ascii="Arial" w:hAnsi="Arial" w:cs="Arial"/>
          <w:sz w:val="28"/>
          <w:szCs w:val="28"/>
        </w:rPr>
        <w:t xml:space="preserve">Not only are states including various types of information to assist people with disabilities, but States have also integrated DB101 into the service delivery of multiple systems. The following are three examples of how States integrated DB101 into their systems to assist people with disabilities navigate and manage benefits and employment. </w:t>
      </w:r>
    </w:p>
    <w:p w14:paraId="1B108E0D" w14:textId="77777777" w:rsidR="003C1F31" w:rsidRPr="003C1F31" w:rsidRDefault="003C1F31" w:rsidP="003C1F31">
      <w:pPr>
        <w:spacing w:before="240"/>
        <w:rPr>
          <w:rFonts w:ascii="Arial" w:hAnsi="Arial" w:cs="Arial"/>
          <w:sz w:val="28"/>
          <w:szCs w:val="28"/>
        </w:rPr>
      </w:pPr>
      <w:r w:rsidRPr="003C1F31">
        <w:rPr>
          <w:rFonts w:ascii="Arial" w:hAnsi="Arial" w:cs="Arial"/>
          <w:sz w:val="28"/>
          <w:szCs w:val="28"/>
        </w:rPr>
        <w:t xml:space="preserve">Arizona (AZ) has integrated AZ DB101 into every service provider system within the state. Though the site is funded solely by Vocational Rehabilitation dollars, systems like Medicaid have mandated use of and competencies in AZ DB101 for all employment specialist receiving Medicaid reimbursement. The mental health system has also created policy that mandated AZ DB101 usage. AZ DB101 has been incorporated into Development Disability trainings as has the Department of Education. Each </w:t>
      </w:r>
      <w:r w:rsidRPr="003C1F31">
        <w:rPr>
          <w:rFonts w:ascii="Arial" w:hAnsi="Arial" w:cs="Arial"/>
          <w:sz w:val="28"/>
          <w:szCs w:val="28"/>
        </w:rPr>
        <w:lastRenderedPageBreak/>
        <w:t xml:space="preserve">agency has looked at how AZ DB101 can improve the effectiveness of the services they provide to promote and support employment. </w:t>
      </w:r>
    </w:p>
    <w:p w14:paraId="65265A18" w14:textId="77777777" w:rsidR="003C1F31" w:rsidRPr="003C1F31" w:rsidRDefault="003C1F31" w:rsidP="003C1F31">
      <w:pPr>
        <w:spacing w:before="240"/>
        <w:rPr>
          <w:rFonts w:ascii="Arial" w:hAnsi="Arial" w:cs="Arial"/>
          <w:sz w:val="28"/>
          <w:szCs w:val="28"/>
        </w:rPr>
      </w:pPr>
      <w:r w:rsidRPr="003C1F31">
        <w:rPr>
          <w:rFonts w:ascii="Arial" w:hAnsi="Arial" w:cs="Arial"/>
          <w:sz w:val="28"/>
          <w:szCs w:val="28"/>
        </w:rPr>
        <w:t xml:space="preserve">Michigan (MI) has united MI DB101 with their benefit planner tiered-approach system. Michigan has included a professional path to their vault that allows for benefit planner to coordinate services and communicate with their beneficiaries. They have also included videos as a diverse way to communicate benefit complexity. Michigan also has tutorial video to support users – both individuals with disabilities and service providers. </w:t>
      </w:r>
    </w:p>
    <w:p w14:paraId="0B5B2E9A" w14:textId="77777777" w:rsidR="003C1F31" w:rsidRPr="003C1F31" w:rsidRDefault="003C1F31" w:rsidP="003C1F31">
      <w:pPr>
        <w:spacing w:before="240"/>
        <w:rPr>
          <w:rFonts w:ascii="Arial" w:hAnsi="Arial" w:cs="Arial"/>
          <w:sz w:val="28"/>
          <w:szCs w:val="28"/>
        </w:rPr>
      </w:pPr>
      <w:r w:rsidRPr="003C1F31">
        <w:rPr>
          <w:rFonts w:ascii="Arial" w:hAnsi="Arial" w:cs="Arial"/>
          <w:sz w:val="28"/>
          <w:szCs w:val="28"/>
        </w:rPr>
        <w:t xml:space="preserve">Minnesota (MN) has created an integrated system that partners with local Center of Independence to provide a HUB, where trained professionals are available to provide information and referral to people with disabilities. MN DB101 is at the center of the HUB information. Minnesota Department of Human Services has partnered with Vocational Rehabilitation to access MN Vault activities through the HUB.  </w:t>
      </w:r>
    </w:p>
    <w:p w14:paraId="54EE4180" w14:textId="77777777" w:rsidR="003C1F31" w:rsidRPr="003C1F31" w:rsidRDefault="003C1F31" w:rsidP="003C1F31">
      <w:pPr>
        <w:rPr>
          <w:rFonts w:ascii="Arial" w:hAnsi="Arial" w:cs="Arial"/>
          <w:sz w:val="28"/>
          <w:szCs w:val="28"/>
        </w:rPr>
      </w:pPr>
      <w:r w:rsidRPr="003C1F31">
        <w:rPr>
          <w:rFonts w:ascii="Arial" w:hAnsi="Arial" w:cs="Arial"/>
          <w:b/>
          <w:bCs/>
          <w:sz w:val="28"/>
          <w:szCs w:val="28"/>
        </w:rPr>
        <w:t>Funding Streams Used in Other States</w:t>
      </w:r>
    </w:p>
    <w:p w14:paraId="5353A590" w14:textId="5F7B0D32" w:rsidR="003C1F31" w:rsidRPr="003C1F31" w:rsidRDefault="003C1F31" w:rsidP="003C1F31">
      <w:pPr>
        <w:rPr>
          <w:rFonts w:ascii="Arial" w:hAnsi="Arial" w:cs="Arial"/>
          <w:sz w:val="28"/>
          <w:szCs w:val="28"/>
        </w:rPr>
      </w:pPr>
      <w:r w:rsidRPr="003C1F31">
        <w:rPr>
          <w:rFonts w:ascii="Arial" w:hAnsi="Arial" w:cs="Arial"/>
          <w:sz w:val="28"/>
          <w:szCs w:val="28"/>
        </w:rPr>
        <w:t xml:space="preserve">In the State of Alaska, the Department of Health and Social Services, Division of Senior and Disability pays for monthly maintenance services. The State of Arizona funds DB101 by the Department of Economic Security, Division of Employment and Rehabilitation, and pay for direct training services, change requests and monthly maintenance. The States of Kentucky and Ohio fund DB101 through developmental services departments in respective states (Kentucky Commonwealth Council on Developmental Disabilities and Ohio Department of Developmental Services, </w:t>
      </w:r>
      <w:r w:rsidR="00A96625" w:rsidRPr="003C1F31">
        <w:rPr>
          <w:rFonts w:ascii="Arial" w:hAnsi="Arial" w:cs="Arial"/>
          <w:sz w:val="28"/>
          <w:szCs w:val="28"/>
        </w:rPr>
        <w:t>Policy,</w:t>
      </w:r>
      <w:r w:rsidRPr="003C1F31">
        <w:rPr>
          <w:rFonts w:ascii="Arial" w:hAnsi="Arial" w:cs="Arial"/>
          <w:sz w:val="28"/>
          <w:szCs w:val="28"/>
        </w:rPr>
        <w:t xml:space="preserve"> and Strategy Division). The State of Kentucky pays for monthly maintenance and the State of Ohio pays for both monthly maintenance and change requests. The State of Michigan pays for DB101 through the Department of Technology, Management and Budget and pays for monthly maintenance. No information on how State of New Jersey funds DB 101 was provided.</w:t>
      </w:r>
    </w:p>
    <w:p w14:paraId="5D4ED6DA" w14:textId="18E7546E" w:rsidR="003C1F31" w:rsidRPr="003C1F31" w:rsidRDefault="003C1F31" w:rsidP="003C1F31">
      <w:pPr>
        <w:rPr>
          <w:rFonts w:ascii="Arial" w:hAnsi="Arial" w:cs="Arial"/>
          <w:sz w:val="28"/>
          <w:szCs w:val="28"/>
        </w:rPr>
      </w:pPr>
      <w:r w:rsidRPr="003C1F31">
        <w:rPr>
          <w:rFonts w:ascii="Arial" w:hAnsi="Arial" w:cs="Arial"/>
          <w:sz w:val="28"/>
          <w:szCs w:val="28"/>
        </w:rPr>
        <w:t xml:space="preserve">Only two states, </w:t>
      </w:r>
      <w:r w:rsidR="00A96625" w:rsidRPr="003C1F31">
        <w:rPr>
          <w:rFonts w:ascii="Arial" w:hAnsi="Arial" w:cs="Arial"/>
          <w:sz w:val="28"/>
          <w:szCs w:val="28"/>
        </w:rPr>
        <w:t>Minnesota,</w:t>
      </w:r>
      <w:r w:rsidRPr="003C1F31">
        <w:rPr>
          <w:rFonts w:ascii="Arial" w:hAnsi="Arial" w:cs="Arial"/>
          <w:sz w:val="28"/>
          <w:szCs w:val="28"/>
        </w:rPr>
        <w:t xml:space="preserve"> and Missouri, seem to have braided funding for the DB101 website. The Department of Human Services, Disability Services Division and Housing and Supportive Services Division paid for monthly maintenance, change requests and real-time search tools for DB 101. Braiding funds also occurred in the State of Missouri. The Department </w:t>
      </w:r>
      <w:r w:rsidRPr="003C1F31">
        <w:rPr>
          <w:rFonts w:ascii="Arial" w:hAnsi="Arial" w:cs="Arial"/>
          <w:sz w:val="28"/>
          <w:szCs w:val="28"/>
        </w:rPr>
        <w:lastRenderedPageBreak/>
        <w:t>of Mental Health, Division of Behavioral Health and Office of Adult Learning and Rehabilitation Services and the Developmental Disabilities paid for DB 101 for both monthly maintenance and change requests.</w:t>
      </w:r>
    </w:p>
    <w:p w14:paraId="34955EE9" w14:textId="53C7E53C" w:rsidR="003C1F31" w:rsidRDefault="003C1F31" w:rsidP="003C1F31">
      <w:pPr>
        <w:rPr>
          <w:rFonts w:cs="Arial"/>
          <w:szCs w:val="28"/>
        </w:rPr>
      </w:pPr>
    </w:p>
    <w:p w14:paraId="36B21094" w14:textId="6832D92D" w:rsidR="00891828" w:rsidRDefault="00891828" w:rsidP="003C1F31">
      <w:pPr>
        <w:rPr>
          <w:rFonts w:cs="Arial"/>
          <w:szCs w:val="28"/>
        </w:rPr>
      </w:pPr>
    </w:p>
    <w:p w14:paraId="01C28445" w14:textId="1E58F448" w:rsidR="00891828" w:rsidRDefault="00891828" w:rsidP="003C1F31">
      <w:pPr>
        <w:rPr>
          <w:rFonts w:cs="Arial"/>
          <w:szCs w:val="28"/>
        </w:rPr>
      </w:pPr>
    </w:p>
    <w:p w14:paraId="55A01DE3" w14:textId="7AA772FD" w:rsidR="00891828" w:rsidRDefault="00891828" w:rsidP="003C1F31">
      <w:pPr>
        <w:rPr>
          <w:rFonts w:cs="Arial"/>
          <w:szCs w:val="28"/>
        </w:rPr>
      </w:pPr>
    </w:p>
    <w:p w14:paraId="04F358D6" w14:textId="06A3C637" w:rsidR="00891828" w:rsidRDefault="00891828" w:rsidP="003C1F31">
      <w:pPr>
        <w:rPr>
          <w:rFonts w:cs="Arial"/>
          <w:szCs w:val="28"/>
        </w:rPr>
      </w:pPr>
    </w:p>
    <w:p w14:paraId="53F7CF7F" w14:textId="64E018B8" w:rsidR="00891828" w:rsidRDefault="00891828" w:rsidP="003C1F31">
      <w:pPr>
        <w:rPr>
          <w:rFonts w:cs="Arial"/>
          <w:szCs w:val="28"/>
        </w:rPr>
      </w:pPr>
    </w:p>
    <w:p w14:paraId="04214608" w14:textId="0B8845B3" w:rsidR="00891828" w:rsidRDefault="00891828" w:rsidP="003C1F31">
      <w:pPr>
        <w:rPr>
          <w:rFonts w:cs="Arial"/>
          <w:szCs w:val="28"/>
        </w:rPr>
      </w:pPr>
    </w:p>
    <w:p w14:paraId="05E69EA0" w14:textId="7B60153F" w:rsidR="00891828" w:rsidRDefault="00891828" w:rsidP="003C1F31">
      <w:pPr>
        <w:rPr>
          <w:rFonts w:cs="Arial"/>
          <w:szCs w:val="28"/>
        </w:rPr>
      </w:pPr>
    </w:p>
    <w:p w14:paraId="301C09C6" w14:textId="3EAFBC62" w:rsidR="00891828" w:rsidRDefault="00891828" w:rsidP="003C1F31">
      <w:pPr>
        <w:rPr>
          <w:rFonts w:cs="Arial"/>
          <w:szCs w:val="28"/>
        </w:rPr>
      </w:pPr>
    </w:p>
    <w:p w14:paraId="76DAD211" w14:textId="43B9C78B" w:rsidR="00891828" w:rsidRDefault="00891828" w:rsidP="003C1F31">
      <w:pPr>
        <w:rPr>
          <w:rFonts w:cs="Arial"/>
          <w:szCs w:val="28"/>
        </w:rPr>
      </w:pPr>
    </w:p>
    <w:p w14:paraId="4928F297" w14:textId="42EF758E" w:rsidR="00891828" w:rsidRDefault="00891828" w:rsidP="003C1F31">
      <w:pPr>
        <w:rPr>
          <w:rFonts w:cs="Arial"/>
          <w:szCs w:val="28"/>
        </w:rPr>
      </w:pPr>
    </w:p>
    <w:p w14:paraId="777D953C" w14:textId="27D31808" w:rsidR="00891828" w:rsidRDefault="00891828" w:rsidP="003C1F31">
      <w:pPr>
        <w:rPr>
          <w:rFonts w:cs="Arial"/>
          <w:szCs w:val="28"/>
        </w:rPr>
      </w:pPr>
    </w:p>
    <w:p w14:paraId="684DC0D9" w14:textId="09EC2BCA" w:rsidR="00891828" w:rsidRDefault="00891828" w:rsidP="003C1F31">
      <w:pPr>
        <w:rPr>
          <w:rFonts w:cs="Arial"/>
          <w:szCs w:val="28"/>
        </w:rPr>
      </w:pPr>
    </w:p>
    <w:p w14:paraId="44588786" w14:textId="135400CA" w:rsidR="00891828" w:rsidRDefault="00891828" w:rsidP="003C1F31">
      <w:pPr>
        <w:rPr>
          <w:rFonts w:cs="Arial"/>
          <w:szCs w:val="28"/>
        </w:rPr>
      </w:pPr>
    </w:p>
    <w:p w14:paraId="18AF0872" w14:textId="0DE3C6B3" w:rsidR="00891828" w:rsidRDefault="00891828" w:rsidP="003C1F31">
      <w:pPr>
        <w:rPr>
          <w:rFonts w:cs="Arial"/>
          <w:szCs w:val="28"/>
        </w:rPr>
      </w:pPr>
    </w:p>
    <w:p w14:paraId="764A66DD" w14:textId="1F592213" w:rsidR="00891828" w:rsidRDefault="00891828" w:rsidP="003C1F31">
      <w:pPr>
        <w:rPr>
          <w:rFonts w:cs="Arial"/>
          <w:szCs w:val="28"/>
        </w:rPr>
      </w:pPr>
    </w:p>
    <w:p w14:paraId="397CFB0F" w14:textId="0AB84538" w:rsidR="00891828" w:rsidRDefault="00891828" w:rsidP="003C1F31">
      <w:pPr>
        <w:rPr>
          <w:rFonts w:cs="Arial"/>
          <w:szCs w:val="28"/>
        </w:rPr>
      </w:pPr>
    </w:p>
    <w:p w14:paraId="5A4435DB" w14:textId="77777777" w:rsidR="00891828" w:rsidRDefault="00891828" w:rsidP="003C1F31">
      <w:pPr>
        <w:rPr>
          <w:rFonts w:cs="Arial"/>
          <w:szCs w:val="28"/>
        </w:rPr>
      </w:pPr>
    </w:p>
    <w:p w14:paraId="6166D1D5" w14:textId="77777777" w:rsidR="003C1F31" w:rsidRPr="009D1162" w:rsidRDefault="003C1F31" w:rsidP="003C1F31"/>
    <w:p w14:paraId="7605F95A" w14:textId="17B90F97" w:rsidR="00E668AB" w:rsidRDefault="00E668AB" w:rsidP="00F81632">
      <w:pPr>
        <w:jc w:val="center"/>
        <w:rPr>
          <w:rFonts w:ascii="Arial" w:hAnsi="Arial" w:cs="Arial"/>
          <w:sz w:val="28"/>
          <w:szCs w:val="28"/>
        </w:rPr>
      </w:pPr>
    </w:p>
    <w:p w14:paraId="3197CC5A" w14:textId="278770E3" w:rsidR="00FD51E9" w:rsidRDefault="00FD51E9" w:rsidP="00F81632">
      <w:pPr>
        <w:jc w:val="center"/>
        <w:rPr>
          <w:rFonts w:ascii="Arial" w:hAnsi="Arial" w:cs="Arial"/>
          <w:sz w:val="28"/>
          <w:szCs w:val="28"/>
        </w:rPr>
      </w:pPr>
    </w:p>
    <w:p w14:paraId="1202864A" w14:textId="05E685D9" w:rsidR="00FD51E9" w:rsidRDefault="00FD51E9" w:rsidP="00F81632">
      <w:pPr>
        <w:jc w:val="center"/>
        <w:rPr>
          <w:rFonts w:ascii="Arial" w:hAnsi="Arial" w:cs="Arial"/>
          <w:sz w:val="28"/>
          <w:szCs w:val="28"/>
        </w:rPr>
      </w:pPr>
    </w:p>
    <w:p w14:paraId="77A99BD0" w14:textId="40CB6D6E" w:rsidR="00FD51E9" w:rsidRDefault="00FD51E9" w:rsidP="00F81632">
      <w:pPr>
        <w:jc w:val="center"/>
        <w:rPr>
          <w:rFonts w:ascii="Arial" w:hAnsi="Arial" w:cs="Arial"/>
          <w:sz w:val="28"/>
          <w:szCs w:val="28"/>
        </w:rPr>
      </w:pPr>
    </w:p>
    <w:p w14:paraId="5731D9F8" w14:textId="2E83E419" w:rsidR="00FD51E9" w:rsidRDefault="00FD51E9" w:rsidP="00F81632">
      <w:pPr>
        <w:jc w:val="center"/>
        <w:rPr>
          <w:rFonts w:ascii="Arial" w:hAnsi="Arial" w:cs="Arial"/>
          <w:sz w:val="28"/>
          <w:szCs w:val="28"/>
        </w:rPr>
      </w:pPr>
    </w:p>
    <w:p w14:paraId="73E4F495" w14:textId="77777777" w:rsidR="00EE4949" w:rsidRPr="00EE4949" w:rsidRDefault="00EE4949" w:rsidP="0008785F">
      <w:pPr>
        <w:pStyle w:val="Heading1"/>
      </w:pPr>
      <w:bookmarkStart w:id="23" w:name="_Toc103236454"/>
      <w:r w:rsidRPr="00EE4949">
        <w:lastRenderedPageBreak/>
        <w:t>2022 CCEPD Strategic Priorities</w:t>
      </w:r>
      <w:bookmarkEnd w:id="23"/>
      <w:r w:rsidRPr="00EE4949">
        <w:t xml:space="preserve"> </w:t>
      </w:r>
    </w:p>
    <w:p w14:paraId="3187EF7E" w14:textId="77777777" w:rsidR="00EE4949" w:rsidRPr="00EE4949" w:rsidRDefault="00EE4949" w:rsidP="00EE4949">
      <w:pPr>
        <w:rPr>
          <w:rFonts w:ascii="Arial" w:hAnsi="Arial" w:cs="Arial"/>
          <w:sz w:val="28"/>
          <w:szCs w:val="28"/>
        </w:rPr>
      </w:pPr>
    </w:p>
    <w:p w14:paraId="46FB75E3" w14:textId="77777777" w:rsidR="00EE4949" w:rsidRPr="00EE4949" w:rsidRDefault="00EE4949" w:rsidP="00EE4949">
      <w:pPr>
        <w:rPr>
          <w:rFonts w:ascii="Arial" w:hAnsi="Arial" w:cs="Arial"/>
          <w:b/>
          <w:bCs/>
          <w:sz w:val="28"/>
          <w:szCs w:val="28"/>
        </w:rPr>
      </w:pPr>
      <w:r w:rsidRPr="00EE4949">
        <w:rPr>
          <w:rFonts w:ascii="Arial" w:hAnsi="Arial" w:cs="Arial"/>
          <w:b/>
          <w:bCs/>
          <w:sz w:val="28"/>
          <w:szCs w:val="28"/>
        </w:rPr>
        <w:t>Background Information</w:t>
      </w:r>
    </w:p>
    <w:p w14:paraId="37E65963" w14:textId="77777777" w:rsidR="00EE4949" w:rsidRPr="00EE4949" w:rsidRDefault="00EE4949" w:rsidP="00EE4949">
      <w:pPr>
        <w:rPr>
          <w:rFonts w:ascii="Arial" w:hAnsi="Arial" w:cs="Arial"/>
          <w:sz w:val="28"/>
          <w:szCs w:val="28"/>
        </w:rPr>
      </w:pPr>
      <w:bookmarkStart w:id="24" w:name="_Hlk89846661"/>
      <w:r w:rsidRPr="00EE4949">
        <w:rPr>
          <w:rFonts w:ascii="Arial" w:hAnsi="Arial" w:cs="Arial"/>
          <w:sz w:val="28"/>
          <w:szCs w:val="28"/>
        </w:rPr>
        <w:t>This document provides updates on the strategic priorities and various projects associated with work, as of May 2022.</w:t>
      </w:r>
    </w:p>
    <w:bookmarkEnd w:id="24"/>
    <w:p w14:paraId="678949C0" w14:textId="77777777" w:rsidR="00EE4949" w:rsidRPr="00EE4949" w:rsidRDefault="00EE4949" w:rsidP="00EE4949">
      <w:pPr>
        <w:rPr>
          <w:rFonts w:ascii="Arial" w:hAnsi="Arial" w:cs="Arial"/>
          <w:b/>
          <w:bCs/>
          <w:sz w:val="28"/>
          <w:szCs w:val="28"/>
        </w:rPr>
      </w:pPr>
      <w:r w:rsidRPr="00EE4949">
        <w:rPr>
          <w:rFonts w:ascii="Arial" w:hAnsi="Arial" w:cs="Arial"/>
          <w:b/>
          <w:bCs/>
          <w:sz w:val="28"/>
          <w:szCs w:val="28"/>
        </w:rPr>
        <w:t>Subcommittee Projects identified through Strategic Priorities Listed Below</w:t>
      </w:r>
    </w:p>
    <w:p w14:paraId="18DF481C" w14:textId="77777777" w:rsidR="00EE4949" w:rsidRPr="00EE4949" w:rsidRDefault="00EE4949" w:rsidP="00EE4949">
      <w:pPr>
        <w:rPr>
          <w:rFonts w:ascii="Arial" w:hAnsi="Arial" w:cs="Arial"/>
          <w:sz w:val="28"/>
          <w:szCs w:val="28"/>
        </w:rPr>
      </w:pPr>
      <w:r w:rsidRPr="00EE4949">
        <w:rPr>
          <w:rFonts w:ascii="Arial" w:hAnsi="Arial" w:cs="Arial"/>
          <w:sz w:val="28"/>
          <w:szCs w:val="28"/>
        </w:rPr>
        <w:t>Increase employment outcomes of people with disabilities through education and training to gain skills as California enters the post-pandemic.</w:t>
      </w:r>
    </w:p>
    <w:p w14:paraId="48DE093A" w14:textId="77777777" w:rsidR="00EE4949" w:rsidRPr="00EE4949" w:rsidRDefault="00EE4949" w:rsidP="00EE4949">
      <w:pPr>
        <w:pStyle w:val="ListParagraph"/>
        <w:numPr>
          <w:ilvl w:val="0"/>
          <w:numId w:val="6"/>
        </w:numPr>
        <w:contextualSpacing w:val="0"/>
        <w:rPr>
          <w:rFonts w:cs="Arial"/>
          <w:szCs w:val="28"/>
        </w:rPr>
      </w:pPr>
      <w:r w:rsidRPr="00EE4949">
        <w:rPr>
          <w:rFonts w:cs="Arial"/>
          <w:szCs w:val="28"/>
        </w:rPr>
        <w:t>Discussions on High-road training partnerships –The Employment and Training (E&amp;T) Subcommittee held first discussion. More will follow in 2022.</w:t>
      </w:r>
    </w:p>
    <w:p w14:paraId="0914D29C" w14:textId="77777777" w:rsidR="00EE4949" w:rsidRPr="00EE4949" w:rsidRDefault="00EE4949" w:rsidP="00EE4949">
      <w:pPr>
        <w:pStyle w:val="ListParagraph"/>
        <w:numPr>
          <w:ilvl w:val="0"/>
          <w:numId w:val="6"/>
        </w:numPr>
        <w:contextualSpacing w:val="0"/>
        <w:rPr>
          <w:rFonts w:cs="Arial"/>
          <w:szCs w:val="28"/>
        </w:rPr>
      </w:pPr>
      <w:r w:rsidRPr="00EE4949">
        <w:rPr>
          <w:rFonts w:cs="Arial"/>
          <w:szCs w:val="28"/>
        </w:rPr>
        <w:t>Workforce Innovation and Opportunity Act State Plan Modified – Comment letter was submitted to the California Workforce Development Board on February 3</w:t>
      </w:r>
      <w:r w:rsidRPr="00EE4949">
        <w:rPr>
          <w:rFonts w:cs="Arial"/>
          <w:szCs w:val="28"/>
          <w:vertAlign w:val="superscript"/>
        </w:rPr>
        <w:t>rd</w:t>
      </w:r>
      <w:r w:rsidRPr="00EE4949">
        <w:rPr>
          <w:rFonts w:cs="Arial"/>
          <w:szCs w:val="28"/>
        </w:rPr>
        <w:t>.</w:t>
      </w:r>
    </w:p>
    <w:p w14:paraId="7EE06AA8" w14:textId="77777777" w:rsidR="00EE4949" w:rsidRPr="00EE4949" w:rsidRDefault="00EE4949" w:rsidP="00EE4949">
      <w:pPr>
        <w:pStyle w:val="ListParagraph"/>
        <w:numPr>
          <w:ilvl w:val="0"/>
          <w:numId w:val="6"/>
        </w:numPr>
        <w:contextualSpacing w:val="0"/>
        <w:rPr>
          <w:rFonts w:cs="Arial"/>
          <w:szCs w:val="28"/>
        </w:rPr>
      </w:pPr>
      <w:r w:rsidRPr="00EE4949">
        <w:rPr>
          <w:rFonts w:cs="Arial"/>
          <w:szCs w:val="28"/>
        </w:rPr>
        <w:t>State Strategic Plan on Career Technical Education – CCEPD staff monitoring the conversations. The plan will be released this year.</w:t>
      </w:r>
    </w:p>
    <w:p w14:paraId="0268B3E2" w14:textId="77777777" w:rsidR="00EE4949" w:rsidRPr="00EE4949" w:rsidRDefault="00EE4949" w:rsidP="00EE4949">
      <w:pPr>
        <w:pStyle w:val="ListParagraph"/>
        <w:numPr>
          <w:ilvl w:val="0"/>
          <w:numId w:val="6"/>
        </w:numPr>
        <w:contextualSpacing w:val="0"/>
        <w:rPr>
          <w:rFonts w:cs="Arial"/>
          <w:szCs w:val="28"/>
        </w:rPr>
      </w:pPr>
      <w:r w:rsidRPr="00EE4949">
        <w:rPr>
          <w:rFonts w:cs="Arial"/>
          <w:szCs w:val="28"/>
        </w:rPr>
        <w:t>Identifying best practices in regional planning units and local workforce development plans – First interactive discussion occurred on May 18, 2022. Other conversations are scheduled through September.</w:t>
      </w:r>
    </w:p>
    <w:p w14:paraId="05C99A88" w14:textId="77777777" w:rsidR="00EE4949" w:rsidRPr="00EE4949" w:rsidRDefault="00EE4949" w:rsidP="00EE4949">
      <w:pPr>
        <w:pStyle w:val="ListParagraph"/>
        <w:numPr>
          <w:ilvl w:val="0"/>
          <w:numId w:val="6"/>
        </w:numPr>
        <w:contextualSpacing w:val="0"/>
        <w:rPr>
          <w:rFonts w:cs="Arial"/>
          <w:szCs w:val="28"/>
        </w:rPr>
      </w:pPr>
      <w:r w:rsidRPr="00EE4949">
        <w:rPr>
          <w:rFonts w:cs="Arial"/>
          <w:szCs w:val="28"/>
        </w:rPr>
        <w:t>Green Jobs – Discussion occurred with California State Workforce Development Board and Office of Planning and Research. Follow-up conversations will occur.</w:t>
      </w:r>
    </w:p>
    <w:p w14:paraId="2239F414" w14:textId="77777777" w:rsidR="00EE4949" w:rsidRPr="00EE4949" w:rsidRDefault="00EE4949" w:rsidP="00EE4949">
      <w:pPr>
        <w:pStyle w:val="ListParagraph"/>
        <w:numPr>
          <w:ilvl w:val="0"/>
          <w:numId w:val="6"/>
        </w:numPr>
        <w:contextualSpacing w:val="0"/>
        <w:rPr>
          <w:rFonts w:cs="Arial"/>
          <w:szCs w:val="28"/>
        </w:rPr>
      </w:pPr>
      <w:r w:rsidRPr="00EE4949">
        <w:rPr>
          <w:rFonts w:cs="Arial"/>
          <w:szCs w:val="28"/>
        </w:rPr>
        <w:t>DOR’s Demand-Side Business initiative – An overview discussion was introduced at the January 2022 E&amp;T Subcommittee meeting. Regular updates will be received.</w:t>
      </w:r>
    </w:p>
    <w:p w14:paraId="2455753B" w14:textId="503590E2" w:rsidR="00EE4949" w:rsidRPr="00EE4949" w:rsidRDefault="00EE4949" w:rsidP="00EE4949">
      <w:pPr>
        <w:pStyle w:val="ListParagraph"/>
        <w:numPr>
          <w:ilvl w:val="0"/>
          <w:numId w:val="6"/>
        </w:numPr>
        <w:contextualSpacing w:val="0"/>
        <w:rPr>
          <w:rFonts w:cs="Arial"/>
          <w:szCs w:val="28"/>
        </w:rPr>
      </w:pPr>
      <w:r w:rsidRPr="00EE4949">
        <w:rPr>
          <w:rFonts w:cs="Arial"/>
          <w:szCs w:val="28"/>
        </w:rPr>
        <w:t xml:space="preserve">Implementation of </w:t>
      </w:r>
      <w:hyperlink r:id="rId12" w:history="1">
        <w:r w:rsidRPr="00891828">
          <w:rPr>
            <w:rStyle w:val="Hyperlink"/>
            <w:rFonts w:cs="Arial"/>
            <w:color w:val="auto"/>
            <w:szCs w:val="28"/>
            <w:u w:val="none"/>
          </w:rPr>
          <w:t>SB 639</w:t>
        </w:r>
      </w:hyperlink>
      <w:r w:rsidR="00891828" w:rsidRPr="00891828">
        <w:rPr>
          <w:rStyle w:val="Hyperlink"/>
          <w:rFonts w:cs="Arial"/>
          <w:color w:val="auto"/>
          <w:szCs w:val="28"/>
          <w:u w:val="none"/>
        </w:rPr>
        <w:t xml:space="preserve"> (Chapter 339, Statutes of 2021)</w:t>
      </w:r>
      <w:r w:rsidRPr="00891828">
        <w:rPr>
          <w:rFonts w:cs="Arial"/>
          <w:szCs w:val="28"/>
          <w:u w:val="single"/>
        </w:rPr>
        <w:t xml:space="preserve"> </w:t>
      </w:r>
      <w:r w:rsidRPr="00EE4949">
        <w:rPr>
          <w:rFonts w:cs="Arial"/>
          <w:szCs w:val="28"/>
        </w:rPr>
        <w:t xml:space="preserve">– Executive Officer has been following stakeholder engagements on implementation efforts. </w:t>
      </w:r>
    </w:p>
    <w:p w14:paraId="7D7F1815" w14:textId="68A12F95" w:rsidR="00EE4949" w:rsidRPr="00EE4949" w:rsidRDefault="00EE4949" w:rsidP="00EE4949">
      <w:pPr>
        <w:pStyle w:val="ListParagraph"/>
        <w:numPr>
          <w:ilvl w:val="0"/>
          <w:numId w:val="6"/>
        </w:numPr>
        <w:contextualSpacing w:val="0"/>
        <w:rPr>
          <w:rFonts w:cs="Arial"/>
          <w:szCs w:val="28"/>
        </w:rPr>
      </w:pPr>
      <w:r w:rsidRPr="00EE4949">
        <w:rPr>
          <w:rFonts w:cs="Arial"/>
          <w:szCs w:val="28"/>
        </w:rPr>
        <w:t xml:space="preserve">Follow budget workforce initiatives for implementation efforts and implementation efforts of </w:t>
      </w:r>
      <w:hyperlink r:id="rId13" w:history="1">
        <w:r w:rsidRPr="00891828">
          <w:rPr>
            <w:rStyle w:val="Hyperlink"/>
            <w:rFonts w:cs="Arial"/>
            <w:color w:val="auto"/>
            <w:szCs w:val="28"/>
            <w:u w:val="none"/>
          </w:rPr>
          <w:t>AB 313</w:t>
        </w:r>
      </w:hyperlink>
      <w:r w:rsidR="00891828" w:rsidRPr="00891828">
        <w:rPr>
          <w:rStyle w:val="Hyperlink"/>
          <w:rFonts w:cs="Arial"/>
          <w:color w:val="auto"/>
          <w:szCs w:val="28"/>
          <w:u w:val="none"/>
        </w:rPr>
        <w:t xml:space="preserve"> (Chapter 515, Statutes of 2021)</w:t>
      </w:r>
      <w:r w:rsidRPr="00891828">
        <w:rPr>
          <w:rFonts w:cs="Arial"/>
          <w:szCs w:val="28"/>
        </w:rPr>
        <w:t xml:space="preserve">. </w:t>
      </w:r>
      <w:r w:rsidRPr="00EE4949">
        <w:rPr>
          <w:rFonts w:cs="Arial"/>
          <w:szCs w:val="28"/>
        </w:rPr>
        <w:t>Once the budget is signed into law, there will be a review of workforce initiatives and will determine which will be followed.</w:t>
      </w:r>
    </w:p>
    <w:p w14:paraId="0FCBD64E" w14:textId="77777777" w:rsidR="00EE4949" w:rsidRPr="00EE4949" w:rsidRDefault="00EE4949" w:rsidP="00EE4949">
      <w:pPr>
        <w:rPr>
          <w:rFonts w:ascii="Arial" w:hAnsi="Arial" w:cs="Arial"/>
          <w:sz w:val="28"/>
          <w:szCs w:val="28"/>
        </w:rPr>
      </w:pPr>
    </w:p>
    <w:p w14:paraId="19E9232A" w14:textId="77777777" w:rsidR="00EE4949" w:rsidRPr="00EE4949" w:rsidRDefault="00EE4949" w:rsidP="00EE4949">
      <w:pPr>
        <w:rPr>
          <w:rFonts w:ascii="Arial" w:hAnsi="Arial" w:cs="Arial"/>
          <w:sz w:val="28"/>
          <w:szCs w:val="28"/>
        </w:rPr>
      </w:pPr>
      <w:r w:rsidRPr="00EE4949">
        <w:rPr>
          <w:rFonts w:ascii="Arial" w:hAnsi="Arial" w:cs="Arial"/>
          <w:sz w:val="28"/>
          <w:szCs w:val="28"/>
        </w:rPr>
        <w:lastRenderedPageBreak/>
        <w:t>Coordinate systems to achieve better employment outcomes for people with disabilities.</w:t>
      </w:r>
    </w:p>
    <w:p w14:paraId="1FF6B7E9" w14:textId="77777777" w:rsidR="00EE4949" w:rsidRPr="00EE4949" w:rsidRDefault="00EE4949" w:rsidP="00EE4949">
      <w:pPr>
        <w:pStyle w:val="ListParagraph"/>
        <w:numPr>
          <w:ilvl w:val="0"/>
          <w:numId w:val="7"/>
        </w:numPr>
        <w:contextualSpacing w:val="0"/>
        <w:rPr>
          <w:rFonts w:cs="Arial"/>
          <w:szCs w:val="28"/>
        </w:rPr>
      </w:pPr>
      <w:r w:rsidRPr="00EE4949">
        <w:rPr>
          <w:rFonts w:cs="Arial"/>
          <w:szCs w:val="28"/>
        </w:rPr>
        <w:t>Discussions on service delivery – Survey was released to service providers in February and 65 responses were received. Provided results to the State Coordination Subcommittee and will incorporate information into policy-making conversations. Shared responses with other state entities as requested. We plan to do more surveys in the future to help inform our discussions.</w:t>
      </w:r>
    </w:p>
    <w:p w14:paraId="56FA1B38" w14:textId="77777777" w:rsidR="00EE4949" w:rsidRPr="00EE4949" w:rsidRDefault="00EE4949" w:rsidP="00EE4949">
      <w:pPr>
        <w:pStyle w:val="ListParagraph"/>
        <w:numPr>
          <w:ilvl w:val="0"/>
          <w:numId w:val="7"/>
        </w:numPr>
        <w:contextualSpacing w:val="0"/>
        <w:rPr>
          <w:rFonts w:cs="Arial"/>
          <w:szCs w:val="28"/>
        </w:rPr>
      </w:pPr>
      <w:r w:rsidRPr="00EE4949">
        <w:rPr>
          <w:rFonts w:cs="Arial"/>
          <w:szCs w:val="28"/>
        </w:rPr>
        <w:t>Develop no wrong door policies – State Coordination Subcommittee will develop policy recommendations with goal of submitting to Agency Secretaries by November 2022. The Subcommittee received presentation from the Department of Aging and from workforce on strategic co-enrollment in March 2022. State Coordination subcommittee will begin outlining next steps for the conversations.</w:t>
      </w:r>
    </w:p>
    <w:p w14:paraId="53F30850" w14:textId="77777777" w:rsidR="00EE4949" w:rsidRPr="00EE4949" w:rsidRDefault="00EE4949" w:rsidP="00EE4949">
      <w:pPr>
        <w:rPr>
          <w:rFonts w:ascii="Arial" w:hAnsi="Arial" w:cs="Arial"/>
          <w:sz w:val="28"/>
          <w:szCs w:val="28"/>
        </w:rPr>
      </w:pPr>
    </w:p>
    <w:p w14:paraId="2D92BE27" w14:textId="77777777" w:rsidR="00EE4949" w:rsidRPr="00EE4949" w:rsidRDefault="00EE4949" w:rsidP="00EE4949">
      <w:pPr>
        <w:rPr>
          <w:rFonts w:ascii="Arial" w:hAnsi="Arial" w:cs="Arial"/>
          <w:sz w:val="28"/>
          <w:szCs w:val="28"/>
        </w:rPr>
      </w:pPr>
      <w:r w:rsidRPr="00EE4949">
        <w:rPr>
          <w:rFonts w:ascii="Arial" w:hAnsi="Arial" w:cs="Arial"/>
          <w:sz w:val="28"/>
          <w:szCs w:val="28"/>
        </w:rPr>
        <w:t>Work on a better, coordinated system of benefits and support services for people with disabilities.</w:t>
      </w:r>
    </w:p>
    <w:p w14:paraId="7195B6E1" w14:textId="77777777" w:rsidR="00EE4949" w:rsidRPr="00EE4949" w:rsidRDefault="00EE4949" w:rsidP="00EE4949">
      <w:pPr>
        <w:pStyle w:val="ListParagraph"/>
        <w:numPr>
          <w:ilvl w:val="0"/>
          <w:numId w:val="8"/>
        </w:numPr>
        <w:contextualSpacing w:val="0"/>
        <w:rPr>
          <w:rFonts w:cs="Arial"/>
          <w:szCs w:val="28"/>
        </w:rPr>
      </w:pPr>
      <w:r w:rsidRPr="00EE4949">
        <w:rPr>
          <w:rFonts w:cs="Arial"/>
          <w:szCs w:val="28"/>
        </w:rPr>
        <w:t>Implementation efforts for long-term services and supports through Master Plan for Aging – Executive Officer will follow.</w:t>
      </w:r>
    </w:p>
    <w:p w14:paraId="1795D857" w14:textId="77777777" w:rsidR="00EE4949" w:rsidRPr="00EE4949" w:rsidRDefault="00EE4949" w:rsidP="00EE4949">
      <w:pPr>
        <w:pStyle w:val="ListParagraph"/>
        <w:numPr>
          <w:ilvl w:val="0"/>
          <w:numId w:val="8"/>
        </w:numPr>
        <w:contextualSpacing w:val="0"/>
        <w:rPr>
          <w:rFonts w:cs="Arial"/>
          <w:szCs w:val="28"/>
        </w:rPr>
      </w:pPr>
      <w:r w:rsidRPr="00EE4949">
        <w:rPr>
          <w:rFonts w:cs="Arial"/>
          <w:szCs w:val="28"/>
        </w:rPr>
        <w:t>Elimination of asset limits for Medi-Cal implementation efforts – Executive Officer has been following. A presentation will be requested on this topic.</w:t>
      </w:r>
    </w:p>
    <w:p w14:paraId="6A994C28" w14:textId="77777777" w:rsidR="00EE4949" w:rsidRPr="00EE4949" w:rsidRDefault="00EE4949" w:rsidP="00EE4949">
      <w:pPr>
        <w:pStyle w:val="ListParagraph"/>
        <w:numPr>
          <w:ilvl w:val="0"/>
          <w:numId w:val="8"/>
        </w:numPr>
        <w:contextualSpacing w:val="0"/>
        <w:rPr>
          <w:rFonts w:cs="Arial"/>
          <w:szCs w:val="28"/>
        </w:rPr>
      </w:pPr>
      <w:r w:rsidRPr="00EE4949">
        <w:rPr>
          <w:rFonts w:cs="Arial"/>
          <w:szCs w:val="28"/>
        </w:rPr>
        <w:t>Benefits planning recommendations – Benefits planning recommendations will be approved at the May 2022 Full Committee meeting.</w:t>
      </w:r>
    </w:p>
    <w:p w14:paraId="160B9079" w14:textId="77777777" w:rsidR="00EE4949" w:rsidRPr="00EE4949" w:rsidRDefault="00EE4949" w:rsidP="00EE4949">
      <w:pPr>
        <w:rPr>
          <w:rFonts w:ascii="Arial" w:hAnsi="Arial" w:cs="Arial"/>
          <w:sz w:val="28"/>
          <w:szCs w:val="28"/>
        </w:rPr>
      </w:pPr>
    </w:p>
    <w:p w14:paraId="54B221AF" w14:textId="77777777" w:rsidR="00EE4949" w:rsidRPr="00EE4949" w:rsidRDefault="00EE4949" w:rsidP="00EE4949">
      <w:pPr>
        <w:rPr>
          <w:rFonts w:ascii="Arial" w:hAnsi="Arial" w:cs="Arial"/>
          <w:sz w:val="28"/>
          <w:szCs w:val="28"/>
        </w:rPr>
      </w:pPr>
      <w:r w:rsidRPr="00EE4949">
        <w:rPr>
          <w:rFonts w:ascii="Arial" w:hAnsi="Arial" w:cs="Arial"/>
          <w:sz w:val="28"/>
          <w:szCs w:val="28"/>
        </w:rPr>
        <w:t>Ensure people with disabilities are included in equitable pandemic recovery efforts and lessons learned in service delivery from the pandemic.</w:t>
      </w:r>
    </w:p>
    <w:p w14:paraId="50C32B76" w14:textId="77777777" w:rsidR="00EE4949" w:rsidRPr="00EE4949" w:rsidRDefault="00EE4949" w:rsidP="00EE4949">
      <w:pPr>
        <w:pStyle w:val="ListParagraph"/>
        <w:numPr>
          <w:ilvl w:val="0"/>
          <w:numId w:val="9"/>
        </w:numPr>
        <w:contextualSpacing w:val="0"/>
        <w:rPr>
          <w:rFonts w:cs="Arial"/>
          <w:szCs w:val="28"/>
        </w:rPr>
      </w:pPr>
      <w:r w:rsidRPr="00EE4949">
        <w:rPr>
          <w:rFonts w:cs="Arial"/>
          <w:szCs w:val="28"/>
        </w:rPr>
        <w:t>Advocate that disability is part of this discussion and reemployment for people with disabilities should be a continued priority. Equity statements have been submitted to lead departments and placed on CCEPD’s website. More discussions will occur with lead departments on how to best engage with equity efforts.</w:t>
      </w:r>
    </w:p>
    <w:p w14:paraId="6A67357E" w14:textId="77777777" w:rsidR="00EE4949" w:rsidRPr="00EE4949" w:rsidRDefault="00EE4949" w:rsidP="00EE4949">
      <w:pPr>
        <w:pStyle w:val="ListParagraph"/>
        <w:numPr>
          <w:ilvl w:val="0"/>
          <w:numId w:val="9"/>
        </w:numPr>
        <w:contextualSpacing w:val="0"/>
        <w:rPr>
          <w:rFonts w:cs="Arial"/>
          <w:szCs w:val="28"/>
        </w:rPr>
      </w:pPr>
      <w:r w:rsidRPr="00EE4949">
        <w:rPr>
          <w:rFonts w:cs="Arial"/>
          <w:szCs w:val="28"/>
        </w:rPr>
        <w:t>Partner with other disability entities to weigh in on issues that affect employment and training and support services.</w:t>
      </w:r>
    </w:p>
    <w:p w14:paraId="147C04A2" w14:textId="77777777" w:rsidR="00EE4949" w:rsidRPr="00EE4949" w:rsidRDefault="00EE4949" w:rsidP="00EE4949">
      <w:pPr>
        <w:pStyle w:val="ListParagraph"/>
        <w:numPr>
          <w:ilvl w:val="0"/>
          <w:numId w:val="9"/>
        </w:numPr>
        <w:contextualSpacing w:val="0"/>
        <w:rPr>
          <w:rFonts w:cs="Arial"/>
          <w:szCs w:val="28"/>
        </w:rPr>
      </w:pPr>
      <w:r w:rsidRPr="00EE4949">
        <w:rPr>
          <w:rFonts w:cs="Arial"/>
          <w:szCs w:val="28"/>
        </w:rPr>
        <w:lastRenderedPageBreak/>
        <w:t>Continue community perspectives agenda at Full Committee Meetings.</w:t>
      </w:r>
    </w:p>
    <w:p w14:paraId="74CA76DE" w14:textId="77777777" w:rsidR="00EE4949" w:rsidRPr="00EE4949" w:rsidRDefault="00EE4949" w:rsidP="00EE4949">
      <w:pPr>
        <w:pStyle w:val="ListParagraph"/>
        <w:numPr>
          <w:ilvl w:val="0"/>
          <w:numId w:val="9"/>
        </w:numPr>
        <w:contextualSpacing w:val="0"/>
        <w:rPr>
          <w:rFonts w:cs="Arial"/>
          <w:szCs w:val="28"/>
        </w:rPr>
      </w:pPr>
      <w:r w:rsidRPr="00EE4949">
        <w:rPr>
          <w:rFonts w:cs="Arial"/>
          <w:szCs w:val="28"/>
        </w:rPr>
        <w:t>Develop a legislative program – CCEPD will discuss legislative framework in August Full Committee meeting and incorporate language into the operating guidelines.</w:t>
      </w:r>
    </w:p>
    <w:p w14:paraId="163F0F72" w14:textId="77777777" w:rsidR="00EE4949" w:rsidRPr="00EE4949" w:rsidRDefault="00EE4949" w:rsidP="00EE4949">
      <w:pPr>
        <w:rPr>
          <w:rFonts w:ascii="Arial" w:hAnsi="Arial" w:cs="Arial"/>
          <w:sz w:val="28"/>
          <w:szCs w:val="28"/>
        </w:rPr>
      </w:pPr>
    </w:p>
    <w:p w14:paraId="0C40585E" w14:textId="77777777" w:rsidR="00EE4949" w:rsidRPr="00EE4949" w:rsidRDefault="00EE4949" w:rsidP="00EE4949">
      <w:pPr>
        <w:rPr>
          <w:rFonts w:ascii="Arial" w:hAnsi="Arial" w:cs="Arial"/>
          <w:sz w:val="28"/>
          <w:szCs w:val="28"/>
        </w:rPr>
      </w:pPr>
      <w:r w:rsidRPr="00EE4949">
        <w:rPr>
          <w:rFonts w:ascii="Arial" w:hAnsi="Arial" w:cs="Arial"/>
          <w:sz w:val="28"/>
          <w:szCs w:val="28"/>
        </w:rPr>
        <w:t>Youth Event Subcommittee</w:t>
      </w:r>
      <w:r w:rsidRPr="00EE4949">
        <w:rPr>
          <w:rFonts w:ascii="Arial" w:hAnsi="Arial" w:cs="Arial"/>
          <w:sz w:val="28"/>
          <w:szCs w:val="28"/>
        </w:rPr>
        <w:br/>
        <w:t>The Youth Leadership Forum (YLF) 2.1 concept has been submitted to lead departments (Department of Rehabilitation and Employment Development Department) and meetings will be scheduled. The Youth Event Subcommittee Chair and Executive Officer has engaged with local partners in Inland Empire, Los Angeles, Orange County, Sacramento, and San Diego to develop at least three pilots for this year. Three workgroups have been created for Los Angeles, Sacramento, and San Diego in June. Once the YLF 2.1 has been discussed with the lead departments, a workplan will be developed to implement the changes to the model. Communication with existing YLF partners will be ongoing.</w:t>
      </w:r>
    </w:p>
    <w:p w14:paraId="1B8ABA5C" w14:textId="77777777" w:rsidR="00EE4949" w:rsidRDefault="00EE4949" w:rsidP="00EE4949">
      <w:pPr>
        <w:rPr>
          <w:rFonts w:cs="Arial"/>
          <w:szCs w:val="28"/>
        </w:rPr>
      </w:pPr>
    </w:p>
    <w:p w14:paraId="341C1558" w14:textId="77777777" w:rsidR="00EE4949" w:rsidRDefault="00EE4949" w:rsidP="00EE4949">
      <w:pPr>
        <w:rPr>
          <w:rFonts w:cs="Arial"/>
          <w:szCs w:val="28"/>
        </w:rPr>
      </w:pPr>
    </w:p>
    <w:p w14:paraId="346B941B" w14:textId="77777777" w:rsidR="00EE4949" w:rsidRPr="00AA392C" w:rsidRDefault="00EE4949" w:rsidP="00EE4949">
      <w:pPr>
        <w:rPr>
          <w:rFonts w:cs="Arial"/>
          <w:szCs w:val="28"/>
        </w:rPr>
      </w:pPr>
    </w:p>
    <w:p w14:paraId="1E1DA00F" w14:textId="77777777" w:rsidR="00EE4949" w:rsidRDefault="00EE4949" w:rsidP="00EE4949">
      <w:pPr>
        <w:rPr>
          <w:rFonts w:cs="Arial"/>
          <w:szCs w:val="28"/>
        </w:rPr>
      </w:pPr>
    </w:p>
    <w:p w14:paraId="71922787" w14:textId="77777777" w:rsidR="00EE4949" w:rsidRPr="00202D88" w:rsidRDefault="00EE4949" w:rsidP="00EE4949">
      <w:pPr>
        <w:rPr>
          <w:rFonts w:cs="Arial"/>
          <w:szCs w:val="28"/>
        </w:rPr>
      </w:pPr>
    </w:p>
    <w:p w14:paraId="0F035C35" w14:textId="77777777" w:rsidR="00EE4949" w:rsidRPr="006D217C" w:rsidRDefault="00EE4949" w:rsidP="00EE4949">
      <w:pPr>
        <w:rPr>
          <w:rFonts w:cs="Arial"/>
          <w:szCs w:val="28"/>
        </w:rPr>
      </w:pPr>
    </w:p>
    <w:p w14:paraId="0EF521F7" w14:textId="77777777" w:rsidR="00EE4949" w:rsidRDefault="00EE4949" w:rsidP="00EE4949">
      <w:pPr>
        <w:rPr>
          <w:rFonts w:cs="Arial"/>
          <w:b/>
          <w:bCs/>
          <w:szCs w:val="28"/>
        </w:rPr>
      </w:pPr>
    </w:p>
    <w:p w14:paraId="6D24C9DC" w14:textId="77777777" w:rsidR="00EE4949" w:rsidRPr="006D217C" w:rsidRDefault="00EE4949" w:rsidP="00EE4949">
      <w:pPr>
        <w:rPr>
          <w:rFonts w:cs="Arial"/>
          <w:b/>
          <w:bCs/>
          <w:szCs w:val="28"/>
        </w:rPr>
      </w:pPr>
    </w:p>
    <w:p w14:paraId="3760E18D" w14:textId="77777777" w:rsidR="00EE4949" w:rsidRDefault="00EE4949" w:rsidP="00EE4949">
      <w:pPr>
        <w:rPr>
          <w:rFonts w:cs="Arial"/>
          <w:szCs w:val="28"/>
        </w:rPr>
      </w:pPr>
    </w:p>
    <w:p w14:paraId="1AB9B5F7" w14:textId="77777777" w:rsidR="00EE4949" w:rsidRPr="006D217C" w:rsidRDefault="00EE4949" w:rsidP="00EE4949">
      <w:pPr>
        <w:rPr>
          <w:rFonts w:cs="Arial"/>
          <w:szCs w:val="28"/>
        </w:rPr>
      </w:pPr>
    </w:p>
    <w:p w14:paraId="2CA2DE7B" w14:textId="77777777" w:rsidR="00FD51E9" w:rsidRPr="00D95E62" w:rsidRDefault="00FD51E9" w:rsidP="00F81632">
      <w:pPr>
        <w:jc w:val="center"/>
        <w:rPr>
          <w:rFonts w:ascii="Arial" w:hAnsi="Arial" w:cs="Arial"/>
          <w:sz w:val="28"/>
          <w:szCs w:val="28"/>
        </w:rPr>
      </w:pPr>
    </w:p>
    <w:sectPr w:rsidR="00FD51E9" w:rsidRPr="00D95E6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D10E5" w14:textId="77777777" w:rsidR="00765C50" w:rsidRDefault="00765C50" w:rsidP="00765C50">
      <w:pPr>
        <w:spacing w:after="0" w:line="240" w:lineRule="auto"/>
      </w:pPr>
      <w:r>
        <w:separator/>
      </w:r>
    </w:p>
  </w:endnote>
  <w:endnote w:type="continuationSeparator" w:id="0">
    <w:p w14:paraId="07CEFB18" w14:textId="77777777" w:rsidR="00765C50" w:rsidRDefault="00765C50" w:rsidP="0076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339303"/>
      <w:docPartObj>
        <w:docPartGallery w:val="Page Numbers (Bottom of Page)"/>
        <w:docPartUnique/>
      </w:docPartObj>
    </w:sdtPr>
    <w:sdtEndPr>
      <w:rPr>
        <w:noProof/>
      </w:rPr>
    </w:sdtEndPr>
    <w:sdtContent>
      <w:p w14:paraId="2E2D6FEC" w14:textId="3F5C3300" w:rsidR="00765C50" w:rsidRDefault="00765C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BD5195" w14:textId="77777777" w:rsidR="00765C50" w:rsidRDefault="00765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F1720" w14:textId="77777777" w:rsidR="00765C50" w:rsidRDefault="00765C50" w:rsidP="00765C50">
      <w:pPr>
        <w:spacing w:after="0" w:line="240" w:lineRule="auto"/>
      </w:pPr>
      <w:r>
        <w:separator/>
      </w:r>
    </w:p>
  </w:footnote>
  <w:footnote w:type="continuationSeparator" w:id="0">
    <w:p w14:paraId="02BCD2A6" w14:textId="77777777" w:rsidR="00765C50" w:rsidRDefault="00765C50" w:rsidP="00765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0DF"/>
    <w:multiLevelType w:val="hybridMultilevel"/>
    <w:tmpl w:val="1D0E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D034A"/>
    <w:multiLevelType w:val="hybridMultilevel"/>
    <w:tmpl w:val="B760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C56AD"/>
    <w:multiLevelType w:val="hybridMultilevel"/>
    <w:tmpl w:val="DB9C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E37B0"/>
    <w:multiLevelType w:val="hybridMultilevel"/>
    <w:tmpl w:val="3542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269C0"/>
    <w:multiLevelType w:val="hybridMultilevel"/>
    <w:tmpl w:val="56B0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F31E6"/>
    <w:multiLevelType w:val="hybridMultilevel"/>
    <w:tmpl w:val="6D62E1EC"/>
    <w:lvl w:ilvl="0" w:tplc="5AA009B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9506D"/>
    <w:multiLevelType w:val="hybridMultilevel"/>
    <w:tmpl w:val="3B6CF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036AF"/>
    <w:multiLevelType w:val="hybridMultilevel"/>
    <w:tmpl w:val="1608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32878"/>
    <w:multiLevelType w:val="hybridMultilevel"/>
    <w:tmpl w:val="6B80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977510">
    <w:abstractNumId w:val="5"/>
  </w:num>
  <w:num w:numId="2" w16cid:durableId="441261984">
    <w:abstractNumId w:val="8"/>
  </w:num>
  <w:num w:numId="3" w16cid:durableId="326515345">
    <w:abstractNumId w:val="7"/>
  </w:num>
  <w:num w:numId="4" w16cid:durableId="268314393">
    <w:abstractNumId w:val="0"/>
  </w:num>
  <w:num w:numId="5" w16cid:durableId="1345745414">
    <w:abstractNumId w:val="3"/>
  </w:num>
  <w:num w:numId="6" w16cid:durableId="1021316384">
    <w:abstractNumId w:val="6"/>
  </w:num>
  <w:num w:numId="7" w16cid:durableId="1060327828">
    <w:abstractNumId w:val="1"/>
  </w:num>
  <w:num w:numId="8" w16cid:durableId="231425392">
    <w:abstractNumId w:val="2"/>
  </w:num>
  <w:num w:numId="9" w16cid:durableId="1872646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32"/>
    <w:rsid w:val="00052BB3"/>
    <w:rsid w:val="0008785F"/>
    <w:rsid w:val="00145DC3"/>
    <w:rsid w:val="001561C5"/>
    <w:rsid w:val="001C7847"/>
    <w:rsid w:val="00334954"/>
    <w:rsid w:val="003C1F31"/>
    <w:rsid w:val="00561592"/>
    <w:rsid w:val="00576154"/>
    <w:rsid w:val="0066470E"/>
    <w:rsid w:val="0066506E"/>
    <w:rsid w:val="00703373"/>
    <w:rsid w:val="007433B4"/>
    <w:rsid w:val="00765C50"/>
    <w:rsid w:val="007A3B07"/>
    <w:rsid w:val="00891828"/>
    <w:rsid w:val="008D2861"/>
    <w:rsid w:val="008D565F"/>
    <w:rsid w:val="008D5884"/>
    <w:rsid w:val="00A96625"/>
    <w:rsid w:val="00B10088"/>
    <w:rsid w:val="00C8778F"/>
    <w:rsid w:val="00D95E62"/>
    <w:rsid w:val="00DB381A"/>
    <w:rsid w:val="00E578C1"/>
    <w:rsid w:val="00E668AB"/>
    <w:rsid w:val="00EE4949"/>
    <w:rsid w:val="00F81632"/>
    <w:rsid w:val="00F84732"/>
    <w:rsid w:val="00FD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8AE7"/>
  <w15:chartTrackingRefBased/>
  <w15:docId w15:val="{0642C2D8-7020-41F4-9D19-B3DDA49E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1F31"/>
    <w:pPr>
      <w:keepNext/>
      <w:keepLines/>
      <w:spacing w:before="240" w:after="0" w:line="240" w:lineRule="auto"/>
      <w:jc w:val="center"/>
      <w:outlineLvl w:val="0"/>
    </w:pPr>
    <w:rPr>
      <w:rFonts w:ascii="Arial" w:eastAsiaTheme="majorEastAsia" w:hAnsi="Arial"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E62"/>
    <w:pPr>
      <w:spacing w:after="0" w:line="240" w:lineRule="auto"/>
      <w:ind w:left="720"/>
      <w:contextualSpacing/>
    </w:pPr>
    <w:rPr>
      <w:rFonts w:ascii="Arial" w:eastAsia="Malgun Gothic" w:hAnsi="Arial" w:cs="Times New Roman"/>
      <w:sz w:val="28"/>
      <w:szCs w:val="20"/>
    </w:rPr>
  </w:style>
  <w:style w:type="paragraph" w:styleId="BodyText3">
    <w:name w:val="Body Text 3"/>
    <w:basedOn w:val="Normal"/>
    <w:link w:val="BodyText3Char"/>
    <w:uiPriority w:val="99"/>
    <w:rsid w:val="00D95E6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D95E62"/>
    <w:rPr>
      <w:rFonts w:ascii="Times New Roman" w:eastAsia="Times New Roman" w:hAnsi="Times New Roman" w:cs="Times New Roman"/>
      <w:sz w:val="16"/>
      <w:szCs w:val="16"/>
    </w:rPr>
  </w:style>
  <w:style w:type="character" w:styleId="Hyperlink">
    <w:name w:val="Hyperlink"/>
    <w:uiPriority w:val="99"/>
    <w:unhideWhenUsed/>
    <w:rsid w:val="00D95E62"/>
    <w:rPr>
      <w:color w:val="0000FF"/>
      <w:u w:val="single"/>
    </w:rPr>
  </w:style>
  <w:style w:type="paragraph" w:customStyle="1" w:styleId="Default">
    <w:name w:val="Default"/>
    <w:rsid w:val="00D95E62"/>
    <w:pPr>
      <w:autoSpaceDE w:val="0"/>
      <w:autoSpaceDN w:val="0"/>
      <w:adjustRightInd w:val="0"/>
      <w:spacing w:after="0" w:line="240" w:lineRule="auto"/>
    </w:pPr>
    <w:rPr>
      <w:rFonts w:ascii="Calibri" w:eastAsia="Malgun Gothic" w:hAnsi="Calibri" w:cs="Calibri"/>
      <w:color w:val="000000"/>
      <w:sz w:val="24"/>
      <w:szCs w:val="24"/>
    </w:rPr>
  </w:style>
  <w:style w:type="character" w:customStyle="1" w:styleId="Heading1Char">
    <w:name w:val="Heading 1 Char"/>
    <w:basedOn w:val="DefaultParagraphFont"/>
    <w:link w:val="Heading1"/>
    <w:uiPriority w:val="9"/>
    <w:rsid w:val="003C1F31"/>
    <w:rPr>
      <w:rFonts w:ascii="Arial" w:eastAsiaTheme="majorEastAsia" w:hAnsi="Arial" w:cstheme="majorBidi"/>
      <w:b/>
      <w:sz w:val="32"/>
      <w:szCs w:val="32"/>
    </w:rPr>
  </w:style>
  <w:style w:type="table" w:styleId="TableGrid">
    <w:name w:val="Table Grid"/>
    <w:basedOn w:val="TableNormal"/>
    <w:uiPriority w:val="59"/>
    <w:rsid w:val="003C1F3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61592"/>
    <w:pPr>
      <w:spacing w:line="259" w:lineRule="auto"/>
      <w:jc w:val="left"/>
      <w:outlineLvl w:val="9"/>
    </w:pPr>
    <w:rPr>
      <w:rFonts w:asciiTheme="majorHAnsi" w:hAnsiTheme="majorHAnsi"/>
      <w:b w:val="0"/>
      <w:color w:val="2F5496" w:themeColor="accent1" w:themeShade="BF"/>
    </w:rPr>
  </w:style>
  <w:style w:type="paragraph" w:styleId="TOC2">
    <w:name w:val="toc 2"/>
    <w:basedOn w:val="Normal"/>
    <w:next w:val="Normal"/>
    <w:autoRedefine/>
    <w:uiPriority w:val="39"/>
    <w:unhideWhenUsed/>
    <w:rsid w:val="00561592"/>
    <w:pPr>
      <w:spacing w:after="100"/>
      <w:ind w:left="220"/>
    </w:pPr>
  </w:style>
  <w:style w:type="paragraph" w:styleId="TOC1">
    <w:name w:val="toc 1"/>
    <w:basedOn w:val="Normal"/>
    <w:next w:val="Normal"/>
    <w:autoRedefine/>
    <w:uiPriority w:val="39"/>
    <w:unhideWhenUsed/>
    <w:rsid w:val="00C8778F"/>
    <w:pPr>
      <w:tabs>
        <w:tab w:val="right" w:leader="dot" w:pos="9350"/>
      </w:tabs>
      <w:spacing w:after="100"/>
    </w:pPr>
    <w:rPr>
      <w:rFonts w:ascii="Arial" w:eastAsiaTheme="majorEastAsia" w:hAnsi="Arial" w:cstheme="majorBidi"/>
      <w:b/>
      <w:bCs/>
      <w:noProof/>
      <w:sz w:val="28"/>
      <w:szCs w:val="28"/>
    </w:rPr>
  </w:style>
  <w:style w:type="paragraph" w:styleId="Header">
    <w:name w:val="header"/>
    <w:basedOn w:val="Normal"/>
    <w:link w:val="HeaderChar"/>
    <w:uiPriority w:val="99"/>
    <w:unhideWhenUsed/>
    <w:rsid w:val="00765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C50"/>
  </w:style>
  <w:style w:type="paragraph" w:styleId="Footer">
    <w:name w:val="footer"/>
    <w:basedOn w:val="Normal"/>
    <w:link w:val="FooterChar"/>
    <w:uiPriority w:val="99"/>
    <w:unhideWhenUsed/>
    <w:rsid w:val="00765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CCEPD" TargetMode="External"/><Relationship Id="rId13" Type="http://schemas.openxmlformats.org/officeDocument/2006/relationships/hyperlink" Target="https://leginfo.legislature.ca.gov/faces/billNavClient.xhtml?bill_id=202120220AB313" TargetMode="External"/><Relationship Id="rId3" Type="http://schemas.openxmlformats.org/officeDocument/2006/relationships/settings" Target="settings.xml"/><Relationship Id="rId7" Type="http://schemas.openxmlformats.org/officeDocument/2006/relationships/hyperlink" Target="https://dor-ca-gov.zoom.us/j/82403581728?pwd=VEk0SmdRemtCdC8vOWljd1AwMWVSUT09" TargetMode="External"/><Relationship Id="rId12" Type="http://schemas.openxmlformats.org/officeDocument/2006/relationships/hyperlink" Target="https://leginfo.legislature.ca.gov/faces/billNavClient.xhtml?bill_id=202120220SB63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sa.gov/policy/docs/statcomps/ssi_sc/2015/c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ia.Aliferis-Gjerde@dor.ca.gov" TargetMode="External"/><Relationship Id="rId4" Type="http://schemas.openxmlformats.org/officeDocument/2006/relationships/webSettings" Target="webSettings.xml"/><Relationship Id="rId9" Type="http://schemas.openxmlformats.org/officeDocument/2006/relationships/hyperlink" Target="mailto:CCEPD@dor.c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5291</Words>
  <Characters>30162</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Balistreri, Margaret@DOR</dc:creator>
  <cp:keywords/>
  <dc:description/>
  <cp:lastModifiedBy>Huynh, Duy@DOR</cp:lastModifiedBy>
  <cp:revision>2</cp:revision>
  <dcterms:created xsi:type="dcterms:W3CDTF">2022-05-19T20:02:00Z</dcterms:created>
  <dcterms:modified xsi:type="dcterms:W3CDTF">2022-05-19T20:02:00Z</dcterms:modified>
</cp:coreProperties>
</file>