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BEE0" w14:textId="4CECE848" w:rsidR="00EC44C1" w:rsidRPr="00E84805" w:rsidRDefault="004323EE" w:rsidP="00924BD0">
      <w:pPr>
        <w:pStyle w:val="Heading1"/>
        <w:spacing w:before="0" w:after="120"/>
        <w:rPr>
          <w:u w:val="single"/>
        </w:rPr>
      </w:pPr>
      <w:r w:rsidRPr="00E84805">
        <w:rPr>
          <w:u w:val="single"/>
        </w:rPr>
        <w:t>B</w:t>
      </w:r>
      <w:r w:rsidR="00EC44C1" w:rsidRPr="00E84805">
        <w:rPr>
          <w:u w:val="single"/>
        </w:rPr>
        <w:t>ackground</w:t>
      </w:r>
    </w:p>
    <w:p w14:paraId="3C562B4D" w14:textId="09F27EBA" w:rsidR="009637FE" w:rsidRPr="00FE69EC" w:rsidRDefault="00CB4B41" w:rsidP="00924BD0">
      <w:pPr>
        <w:spacing w:after="120"/>
        <w:rPr>
          <w:szCs w:val="28"/>
        </w:rPr>
      </w:pPr>
      <w:r w:rsidRPr="00FE69EC">
        <w:rPr>
          <w:szCs w:val="28"/>
        </w:rPr>
        <w:t xml:space="preserve">State </w:t>
      </w:r>
      <w:r w:rsidR="00A92324" w:rsidRPr="00FE69EC">
        <w:rPr>
          <w:szCs w:val="28"/>
        </w:rPr>
        <w:t>Assistive Technology (</w:t>
      </w:r>
      <w:r w:rsidRPr="00FE69EC">
        <w:rPr>
          <w:szCs w:val="28"/>
        </w:rPr>
        <w:t>AT</w:t>
      </w:r>
      <w:r w:rsidR="00A92324" w:rsidRPr="00FE69EC">
        <w:rPr>
          <w:szCs w:val="28"/>
        </w:rPr>
        <w:t>)</w:t>
      </w:r>
      <w:r w:rsidRPr="00FE69EC">
        <w:rPr>
          <w:szCs w:val="28"/>
        </w:rPr>
        <w:t xml:space="preserve"> Programs are required by the AT Act to submit an annual report</w:t>
      </w:r>
      <w:r w:rsidR="001B45C8" w:rsidRPr="00FE69EC">
        <w:rPr>
          <w:szCs w:val="28"/>
        </w:rPr>
        <w:t xml:space="preserve">. </w:t>
      </w:r>
      <w:r w:rsidR="009637FE" w:rsidRPr="00FE69EC">
        <w:rPr>
          <w:szCs w:val="28"/>
        </w:rPr>
        <w:t>Th</w:t>
      </w:r>
      <w:r w:rsidR="00FC6380" w:rsidRPr="00FE69EC">
        <w:rPr>
          <w:szCs w:val="28"/>
        </w:rPr>
        <w:t xml:space="preserve">e </w:t>
      </w:r>
      <w:r w:rsidR="002F2BB1" w:rsidRPr="00FE69EC">
        <w:rPr>
          <w:szCs w:val="28"/>
        </w:rPr>
        <w:t>National Assistive Technology Act Data System (</w:t>
      </w:r>
      <w:r w:rsidR="00FC6380" w:rsidRPr="00FE69EC">
        <w:rPr>
          <w:szCs w:val="28"/>
        </w:rPr>
        <w:t>NATADS</w:t>
      </w:r>
      <w:r w:rsidR="002F2BB1" w:rsidRPr="00FE69EC">
        <w:rPr>
          <w:szCs w:val="28"/>
        </w:rPr>
        <w:t>)</w:t>
      </w:r>
      <w:r w:rsidR="00FC6380" w:rsidRPr="00FE69EC">
        <w:rPr>
          <w:szCs w:val="28"/>
        </w:rPr>
        <w:t xml:space="preserve"> </w:t>
      </w:r>
      <w:r w:rsidR="009637FE" w:rsidRPr="00FE69EC">
        <w:rPr>
          <w:szCs w:val="28"/>
        </w:rPr>
        <w:t xml:space="preserve">data reporting system </w:t>
      </w:r>
      <w:r w:rsidR="00FC6380" w:rsidRPr="00FE69EC">
        <w:rPr>
          <w:szCs w:val="28"/>
        </w:rPr>
        <w:t xml:space="preserve">is </w:t>
      </w:r>
      <w:r w:rsidR="009637FE" w:rsidRPr="00FE69EC">
        <w:rPr>
          <w:szCs w:val="28"/>
        </w:rPr>
        <w:t xml:space="preserve">used by state AT programs to submit the required data elements of the </w:t>
      </w:r>
      <w:r w:rsidR="002F2BB1" w:rsidRPr="00FE69EC">
        <w:rPr>
          <w:szCs w:val="28"/>
        </w:rPr>
        <w:t>Annual Progress Report (</w:t>
      </w:r>
      <w:r w:rsidR="009637FE" w:rsidRPr="00FE69EC">
        <w:rPr>
          <w:szCs w:val="28"/>
        </w:rPr>
        <w:t>APR</w:t>
      </w:r>
      <w:r w:rsidR="002F2BB1" w:rsidRPr="00FE69EC">
        <w:rPr>
          <w:szCs w:val="28"/>
        </w:rPr>
        <w:t>)</w:t>
      </w:r>
      <w:r w:rsidR="009637FE" w:rsidRPr="00FE69EC">
        <w:rPr>
          <w:szCs w:val="28"/>
        </w:rPr>
        <w:t xml:space="preserve"> in accordance with the AT Act mandates</w:t>
      </w:r>
      <w:r w:rsidR="00FC6380" w:rsidRPr="00FE69EC">
        <w:rPr>
          <w:szCs w:val="28"/>
        </w:rPr>
        <w:t>.</w:t>
      </w:r>
    </w:p>
    <w:p w14:paraId="36A581A0" w14:textId="569D2053" w:rsidR="00B006B0" w:rsidRPr="00E84805" w:rsidRDefault="009637FE" w:rsidP="00924BD0">
      <w:pPr>
        <w:spacing w:after="120"/>
        <w:rPr>
          <w:szCs w:val="28"/>
        </w:rPr>
      </w:pPr>
      <w:r w:rsidRPr="00FE69EC">
        <w:rPr>
          <w:szCs w:val="28"/>
        </w:rPr>
        <w:t xml:space="preserve">The APR covers the </w:t>
      </w:r>
      <w:r w:rsidR="00924BD0" w:rsidRPr="00FE69EC">
        <w:rPr>
          <w:szCs w:val="28"/>
        </w:rPr>
        <w:t xml:space="preserve">federal fiscal year </w:t>
      </w:r>
      <w:r w:rsidR="00C33960">
        <w:rPr>
          <w:szCs w:val="28"/>
        </w:rPr>
        <w:t>2021</w:t>
      </w:r>
      <w:r w:rsidR="00FC745C">
        <w:rPr>
          <w:szCs w:val="28"/>
        </w:rPr>
        <w:t xml:space="preserve"> </w:t>
      </w:r>
      <w:r w:rsidRPr="00FE69EC">
        <w:rPr>
          <w:szCs w:val="28"/>
        </w:rPr>
        <w:t xml:space="preserve">period </w:t>
      </w:r>
      <w:r w:rsidR="00FC745C">
        <w:rPr>
          <w:szCs w:val="28"/>
        </w:rPr>
        <w:t>from</w:t>
      </w:r>
      <w:r w:rsidRPr="00FE69EC">
        <w:rPr>
          <w:szCs w:val="28"/>
        </w:rPr>
        <w:t xml:space="preserve"> October 1</w:t>
      </w:r>
      <w:r w:rsidR="006278ED" w:rsidRPr="00FE69EC">
        <w:rPr>
          <w:szCs w:val="28"/>
          <w:vertAlign w:val="superscript"/>
        </w:rPr>
        <w:t>st</w:t>
      </w:r>
      <w:r w:rsidR="006278ED" w:rsidRPr="00FE69EC">
        <w:rPr>
          <w:szCs w:val="28"/>
        </w:rPr>
        <w:t xml:space="preserve"> </w:t>
      </w:r>
      <w:r w:rsidRPr="00FE69EC">
        <w:rPr>
          <w:szCs w:val="28"/>
        </w:rPr>
        <w:t>through September 30</w:t>
      </w:r>
      <w:r w:rsidR="006278ED" w:rsidRPr="00FE69EC">
        <w:rPr>
          <w:szCs w:val="28"/>
          <w:vertAlign w:val="superscript"/>
        </w:rPr>
        <w:t>th</w:t>
      </w:r>
      <w:r w:rsidR="006278ED" w:rsidRPr="00FE69EC">
        <w:rPr>
          <w:szCs w:val="28"/>
        </w:rPr>
        <w:t xml:space="preserve"> </w:t>
      </w:r>
      <w:r w:rsidRPr="00FE69EC">
        <w:rPr>
          <w:szCs w:val="28"/>
        </w:rPr>
        <w:t xml:space="preserve">of each federal fiscal year and includes all the data elements required by the AT Act for state financing, device loan, reuse, device demonstration, training, technical assistance, public awareness, information and referral, state improvement outcomes, and leveraged funding. The APR data must be reported for each activity </w:t>
      </w:r>
      <w:r w:rsidR="00FC6380" w:rsidRPr="00FE69EC">
        <w:rPr>
          <w:szCs w:val="28"/>
        </w:rPr>
        <w:t xml:space="preserve">and is </w:t>
      </w:r>
      <w:r w:rsidRPr="00FE69EC">
        <w:rPr>
          <w:szCs w:val="28"/>
        </w:rPr>
        <w:t xml:space="preserve">included as part of the </w:t>
      </w:r>
      <w:r w:rsidR="00FC6380" w:rsidRPr="00FE69EC">
        <w:rPr>
          <w:szCs w:val="28"/>
        </w:rPr>
        <w:t xml:space="preserve">AT </w:t>
      </w:r>
      <w:r w:rsidRPr="00FE69EC">
        <w:rPr>
          <w:szCs w:val="28"/>
        </w:rPr>
        <w:t xml:space="preserve">State Plan. </w:t>
      </w:r>
      <w:r w:rsidR="0008231D" w:rsidRPr="00FE69EC">
        <w:rPr>
          <w:szCs w:val="28"/>
        </w:rPr>
        <w:t xml:space="preserve">The </w:t>
      </w:r>
      <w:r w:rsidR="004F6FAD" w:rsidRPr="00FE69EC">
        <w:rPr>
          <w:szCs w:val="28"/>
        </w:rPr>
        <w:t>20</w:t>
      </w:r>
      <w:r w:rsidR="003D1661" w:rsidRPr="00FE69EC">
        <w:rPr>
          <w:szCs w:val="28"/>
        </w:rPr>
        <w:t>2</w:t>
      </w:r>
      <w:r w:rsidR="00E86528" w:rsidRPr="00FE69EC">
        <w:rPr>
          <w:szCs w:val="28"/>
        </w:rPr>
        <w:t>1</w:t>
      </w:r>
      <w:r w:rsidR="00E077AD" w:rsidRPr="00FE69EC">
        <w:rPr>
          <w:szCs w:val="28"/>
        </w:rPr>
        <w:t xml:space="preserve"> </w:t>
      </w:r>
      <w:r w:rsidR="0008231D" w:rsidRPr="00FE69EC">
        <w:rPr>
          <w:szCs w:val="28"/>
        </w:rPr>
        <w:t>annual re</w:t>
      </w:r>
      <w:r w:rsidR="001E69F4" w:rsidRPr="00FE69EC">
        <w:rPr>
          <w:szCs w:val="28"/>
        </w:rPr>
        <w:t xml:space="preserve">port is due on December </w:t>
      </w:r>
      <w:r w:rsidRPr="00FE69EC">
        <w:rPr>
          <w:szCs w:val="28"/>
        </w:rPr>
        <w:t>31</w:t>
      </w:r>
      <w:r w:rsidR="003D1661" w:rsidRPr="00FE69EC">
        <w:rPr>
          <w:szCs w:val="28"/>
        </w:rPr>
        <w:t>, 202</w:t>
      </w:r>
      <w:r w:rsidR="00E86528" w:rsidRPr="00FE69EC">
        <w:rPr>
          <w:szCs w:val="28"/>
        </w:rPr>
        <w:t>1</w:t>
      </w:r>
      <w:r w:rsidRPr="00FE69EC">
        <w:rPr>
          <w:szCs w:val="28"/>
        </w:rPr>
        <w:t>.</w:t>
      </w:r>
    </w:p>
    <w:p w14:paraId="066AA055" w14:textId="77777777" w:rsidR="00EC44C1" w:rsidRPr="00E84805" w:rsidRDefault="00EC44C1" w:rsidP="00924BD0">
      <w:pPr>
        <w:pStyle w:val="Heading1"/>
        <w:spacing w:before="0" w:after="120"/>
        <w:rPr>
          <w:u w:val="single"/>
        </w:rPr>
      </w:pPr>
      <w:r w:rsidRPr="00E84805">
        <w:rPr>
          <w:u w:val="single"/>
        </w:rPr>
        <w:t>Summary of Outcomes</w:t>
      </w:r>
    </w:p>
    <w:p w14:paraId="4395A21D" w14:textId="1B975DD4" w:rsidR="00DD4A22" w:rsidRPr="00E84805" w:rsidRDefault="0084019A" w:rsidP="00924BD0">
      <w:pPr>
        <w:spacing w:after="120"/>
        <w:rPr>
          <w:szCs w:val="28"/>
        </w:rPr>
      </w:pPr>
      <w:r w:rsidRPr="00450B08">
        <w:rPr>
          <w:szCs w:val="28"/>
        </w:rPr>
        <w:t xml:space="preserve">The </w:t>
      </w:r>
      <w:r w:rsidR="004F6FAD" w:rsidRPr="00450B08">
        <w:rPr>
          <w:szCs w:val="28"/>
        </w:rPr>
        <w:t>20</w:t>
      </w:r>
      <w:r w:rsidR="003D1661" w:rsidRPr="00450B08">
        <w:rPr>
          <w:szCs w:val="28"/>
        </w:rPr>
        <w:t>2</w:t>
      </w:r>
      <w:r w:rsidR="00E86528" w:rsidRPr="00450B08">
        <w:rPr>
          <w:szCs w:val="28"/>
        </w:rPr>
        <w:t>1</w:t>
      </w:r>
      <w:r w:rsidR="00440190" w:rsidRPr="00450B08">
        <w:rPr>
          <w:szCs w:val="28"/>
        </w:rPr>
        <w:t xml:space="preserve"> </w:t>
      </w:r>
      <w:r w:rsidRPr="00450B08">
        <w:rPr>
          <w:szCs w:val="28"/>
        </w:rPr>
        <w:t>annual report present</w:t>
      </w:r>
      <w:r w:rsidR="00440190" w:rsidRPr="00450B08">
        <w:rPr>
          <w:szCs w:val="28"/>
        </w:rPr>
        <w:t>s</w:t>
      </w:r>
      <w:r w:rsidRPr="00450B08">
        <w:rPr>
          <w:szCs w:val="28"/>
        </w:rPr>
        <w:t xml:space="preserve"> outcomes in the following areas:</w:t>
      </w:r>
    </w:p>
    <w:p w14:paraId="73C34C2D" w14:textId="1CCC2883" w:rsidR="00EF7B1B" w:rsidRPr="004A0217" w:rsidRDefault="005915BC" w:rsidP="0073693D">
      <w:pPr>
        <w:pStyle w:val="ListParagraph"/>
        <w:numPr>
          <w:ilvl w:val="0"/>
          <w:numId w:val="30"/>
        </w:numPr>
        <w:spacing w:after="120"/>
        <w:ind w:left="450"/>
        <w:contextualSpacing w:val="0"/>
        <w:rPr>
          <w:szCs w:val="28"/>
        </w:rPr>
      </w:pPr>
      <w:r w:rsidRPr="00445866">
        <w:rPr>
          <w:b/>
          <w:bCs/>
          <w:szCs w:val="28"/>
          <w:highlight w:val="yellow"/>
        </w:rPr>
        <w:t xml:space="preserve">State </w:t>
      </w:r>
      <w:r w:rsidR="0084019A" w:rsidRPr="00445866">
        <w:rPr>
          <w:b/>
          <w:bCs/>
          <w:szCs w:val="28"/>
          <w:highlight w:val="yellow"/>
        </w:rPr>
        <w:t>Financing</w:t>
      </w:r>
      <w:r w:rsidR="0084019A" w:rsidRPr="004A0217">
        <w:rPr>
          <w:szCs w:val="28"/>
        </w:rPr>
        <w:t>:</w:t>
      </w:r>
      <w:r w:rsidR="004A0217" w:rsidRPr="004A0217">
        <w:rPr>
          <w:szCs w:val="28"/>
        </w:rPr>
        <w:t xml:space="preserve"> </w:t>
      </w:r>
      <w:r w:rsidR="009C4FB0">
        <w:rPr>
          <w:szCs w:val="28"/>
        </w:rPr>
        <w:t xml:space="preserve">There were no loans financed through the Freedom Tech Loan Program with the California Foundation for Independent Living Centers. </w:t>
      </w:r>
      <w:r w:rsidR="000646CE" w:rsidRPr="004A0217">
        <w:rPr>
          <w:szCs w:val="28"/>
        </w:rPr>
        <w:t xml:space="preserve">There was a 95.45% satisfied or highly satisfied with the </w:t>
      </w:r>
      <w:r w:rsidR="000646CE" w:rsidRPr="00465113">
        <w:rPr>
          <w:szCs w:val="28"/>
        </w:rPr>
        <w:t>program</w:t>
      </w:r>
      <w:r w:rsidR="00EF7B1B" w:rsidRPr="00465113">
        <w:rPr>
          <w:szCs w:val="28"/>
        </w:rPr>
        <w:t xml:space="preserve">. </w:t>
      </w:r>
    </w:p>
    <w:p w14:paraId="1EADC996" w14:textId="5C3556D6" w:rsidR="004120F6" w:rsidRPr="004A0217" w:rsidRDefault="0084019A" w:rsidP="008F35CF">
      <w:pPr>
        <w:pStyle w:val="ListParagraph"/>
        <w:numPr>
          <w:ilvl w:val="0"/>
          <w:numId w:val="30"/>
        </w:numPr>
        <w:spacing w:after="120"/>
        <w:ind w:left="450"/>
        <w:contextualSpacing w:val="0"/>
        <w:rPr>
          <w:szCs w:val="28"/>
        </w:rPr>
      </w:pPr>
      <w:r w:rsidRPr="004A0217">
        <w:rPr>
          <w:b/>
          <w:bCs/>
          <w:szCs w:val="28"/>
        </w:rPr>
        <w:t>Reu</w:t>
      </w:r>
      <w:r w:rsidR="00D708DF" w:rsidRPr="004A0217">
        <w:rPr>
          <w:b/>
          <w:bCs/>
          <w:szCs w:val="28"/>
        </w:rPr>
        <w:t>tilization</w:t>
      </w:r>
      <w:r w:rsidRPr="004A0217">
        <w:rPr>
          <w:szCs w:val="28"/>
        </w:rPr>
        <w:t xml:space="preserve">: </w:t>
      </w:r>
      <w:r w:rsidR="004120F6" w:rsidRPr="004A0217">
        <w:rPr>
          <w:szCs w:val="28"/>
        </w:rPr>
        <w:t>A total of 1,662 consumer</w:t>
      </w:r>
      <w:r w:rsidR="004A0217">
        <w:rPr>
          <w:szCs w:val="28"/>
        </w:rPr>
        <w:t>s</w:t>
      </w:r>
      <w:r w:rsidR="004120F6" w:rsidRPr="004A0217">
        <w:rPr>
          <w:szCs w:val="28"/>
        </w:rPr>
        <w:t xml:space="preserve"> received or exchanged </w:t>
      </w:r>
      <w:r w:rsidR="00450B08" w:rsidRPr="004A0217">
        <w:rPr>
          <w:szCs w:val="28"/>
        </w:rPr>
        <w:t xml:space="preserve">Assistive Technology </w:t>
      </w:r>
      <w:r w:rsidR="004120F6" w:rsidRPr="004A0217">
        <w:rPr>
          <w:szCs w:val="28"/>
        </w:rPr>
        <w:t>devices under th</w:t>
      </w:r>
      <w:r w:rsidR="00D86D4C" w:rsidRPr="004A0217">
        <w:rPr>
          <w:szCs w:val="28"/>
        </w:rPr>
        <w:t>e Reutilization program with a 90.61% of consumers reporting as</w:t>
      </w:r>
      <w:r w:rsidR="00450B08" w:rsidRPr="004A0217">
        <w:rPr>
          <w:szCs w:val="28"/>
        </w:rPr>
        <w:t xml:space="preserve"> being</w:t>
      </w:r>
      <w:r w:rsidR="00D86D4C" w:rsidRPr="004A0217">
        <w:rPr>
          <w:szCs w:val="28"/>
        </w:rPr>
        <w:t xml:space="preserve"> satisfied or highly satisfied with the program. 1657 </w:t>
      </w:r>
      <w:r w:rsidR="00CD1F9C" w:rsidRPr="004A0217">
        <w:rPr>
          <w:szCs w:val="28"/>
        </w:rPr>
        <w:t>d</w:t>
      </w:r>
      <w:r w:rsidR="00D86D4C" w:rsidRPr="004A0217">
        <w:rPr>
          <w:szCs w:val="28"/>
        </w:rPr>
        <w:t xml:space="preserve">evices were refurbished or </w:t>
      </w:r>
      <w:r w:rsidR="00CD1F9C" w:rsidRPr="004A0217">
        <w:rPr>
          <w:szCs w:val="28"/>
        </w:rPr>
        <w:t>repaired,</w:t>
      </w:r>
      <w:r w:rsidR="00D86D4C" w:rsidRPr="004A0217">
        <w:rPr>
          <w:szCs w:val="28"/>
        </w:rPr>
        <w:t xml:space="preserve"> and 5 devices were exchanged</w:t>
      </w:r>
      <w:r w:rsidR="00CD1F9C" w:rsidRPr="004A0217">
        <w:rPr>
          <w:szCs w:val="28"/>
        </w:rPr>
        <w:t xml:space="preserve">. There was an overall </w:t>
      </w:r>
      <w:r w:rsidR="00D86D4C" w:rsidRPr="004A0217">
        <w:rPr>
          <w:szCs w:val="28"/>
        </w:rPr>
        <w:t xml:space="preserve">$1,619137 cost savings to consumers. </w:t>
      </w:r>
    </w:p>
    <w:p w14:paraId="11DB7128" w14:textId="19F2FC31" w:rsidR="00465113" w:rsidRPr="008106A9" w:rsidRDefault="00434C0F" w:rsidP="009C5791">
      <w:pPr>
        <w:pStyle w:val="ListParagraph"/>
        <w:numPr>
          <w:ilvl w:val="0"/>
          <w:numId w:val="30"/>
        </w:numPr>
        <w:spacing w:after="120"/>
        <w:ind w:left="450"/>
        <w:contextualSpacing w:val="0"/>
        <w:rPr>
          <w:szCs w:val="28"/>
        </w:rPr>
      </w:pPr>
      <w:r w:rsidRPr="008106A9">
        <w:rPr>
          <w:b/>
          <w:bCs/>
          <w:szCs w:val="28"/>
        </w:rPr>
        <w:t>Device</w:t>
      </w:r>
      <w:r w:rsidR="00143F6E" w:rsidRPr="008106A9">
        <w:rPr>
          <w:b/>
          <w:bCs/>
          <w:szCs w:val="28"/>
        </w:rPr>
        <w:t xml:space="preserve"> Lending</w:t>
      </w:r>
      <w:r w:rsidR="00143F6E" w:rsidRPr="008106A9">
        <w:rPr>
          <w:szCs w:val="28"/>
        </w:rPr>
        <w:t xml:space="preserve">: </w:t>
      </w:r>
      <w:r w:rsidR="00465113" w:rsidRPr="008106A9">
        <w:rPr>
          <w:szCs w:val="28"/>
        </w:rPr>
        <w:t xml:space="preserve">816 consumers borrowed 1,062 Assistive Technology devices and 92.28% of the consumers served reported being satisfied or highly satisfied with </w:t>
      </w:r>
      <w:r w:rsidR="007736C0" w:rsidRPr="008106A9">
        <w:rPr>
          <w:szCs w:val="28"/>
        </w:rPr>
        <w:t>t</w:t>
      </w:r>
      <w:r w:rsidR="00465113" w:rsidRPr="008106A9">
        <w:rPr>
          <w:szCs w:val="28"/>
        </w:rPr>
        <w:t xml:space="preserve">he type of devices loaned. </w:t>
      </w:r>
    </w:p>
    <w:p w14:paraId="529294C5" w14:textId="7DB417F2" w:rsidR="008106A9" w:rsidRPr="004F2AF5" w:rsidRDefault="00CB3015" w:rsidP="004E155C">
      <w:pPr>
        <w:pStyle w:val="ListParagraph"/>
        <w:numPr>
          <w:ilvl w:val="0"/>
          <w:numId w:val="30"/>
        </w:numPr>
        <w:spacing w:after="120"/>
        <w:ind w:left="450"/>
        <w:contextualSpacing w:val="0"/>
        <w:rPr>
          <w:szCs w:val="28"/>
        </w:rPr>
      </w:pPr>
      <w:r w:rsidRPr="004F2AF5">
        <w:rPr>
          <w:b/>
          <w:bCs/>
          <w:szCs w:val="28"/>
        </w:rPr>
        <w:t>Device Demonstration</w:t>
      </w:r>
      <w:r w:rsidRPr="004F2AF5">
        <w:rPr>
          <w:szCs w:val="28"/>
        </w:rPr>
        <w:t xml:space="preserve">: </w:t>
      </w:r>
      <w:r w:rsidR="007058F5" w:rsidRPr="004F2AF5">
        <w:rPr>
          <w:szCs w:val="28"/>
        </w:rPr>
        <w:t>888</w:t>
      </w:r>
      <w:r w:rsidR="008106A9" w:rsidRPr="004F2AF5">
        <w:rPr>
          <w:szCs w:val="28"/>
        </w:rPr>
        <w:t xml:space="preserve"> consumers received device demonstration</w:t>
      </w:r>
      <w:r w:rsidR="003F523F">
        <w:rPr>
          <w:szCs w:val="28"/>
        </w:rPr>
        <w:t>s</w:t>
      </w:r>
      <w:r w:rsidR="008106A9" w:rsidRPr="004F2AF5">
        <w:rPr>
          <w:szCs w:val="28"/>
        </w:rPr>
        <w:t xml:space="preserve"> with </w:t>
      </w:r>
      <w:r w:rsidR="007058F5" w:rsidRPr="004F2AF5">
        <w:rPr>
          <w:szCs w:val="28"/>
        </w:rPr>
        <w:t xml:space="preserve">739 demonstration types recorded. </w:t>
      </w:r>
      <w:r w:rsidR="008106A9" w:rsidRPr="004F2AF5">
        <w:rPr>
          <w:szCs w:val="28"/>
        </w:rPr>
        <w:t xml:space="preserve"> </w:t>
      </w:r>
      <w:r w:rsidR="007058F5" w:rsidRPr="004F2AF5">
        <w:rPr>
          <w:szCs w:val="28"/>
        </w:rPr>
        <w:t>There were 709 referrals fr</w:t>
      </w:r>
      <w:r w:rsidR="00F323B9">
        <w:rPr>
          <w:szCs w:val="28"/>
        </w:rPr>
        <w:t>om</w:t>
      </w:r>
      <w:r w:rsidR="007058F5" w:rsidRPr="004F2AF5">
        <w:rPr>
          <w:szCs w:val="28"/>
        </w:rPr>
        <w:t xml:space="preserve"> individuals with disabilities</w:t>
      </w:r>
      <w:r w:rsidR="00F323B9">
        <w:rPr>
          <w:szCs w:val="28"/>
        </w:rPr>
        <w:t xml:space="preserve"> and 150 referrals from family members, </w:t>
      </w:r>
      <w:r w:rsidR="008A513E">
        <w:rPr>
          <w:szCs w:val="28"/>
        </w:rPr>
        <w:t>guardians,</w:t>
      </w:r>
      <w:r w:rsidR="00F323B9">
        <w:rPr>
          <w:szCs w:val="28"/>
        </w:rPr>
        <w:t xml:space="preserve"> and authorized representatives</w:t>
      </w:r>
      <w:r w:rsidR="007058F5" w:rsidRPr="004F2AF5">
        <w:rPr>
          <w:szCs w:val="28"/>
        </w:rPr>
        <w:t xml:space="preserve">. </w:t>
      </w:r>
      <w:r w:rsidR="008A513E">
        <w:rPr>
          <w:szCs w:val="28"/>
        </w:rPr>
        <w:t xml:space="preserve">The remaining 29 referrals </w:t>
      </w:r>
      <w:r w:rsidR="0079617C">
        <w:rPr>
          <w:szCs w:val="28"/>
        </w:rPr>
        <w:t>were</w:t>
      </w:r>
      <w:r w:rsidR="004E1288">
        <w:rPr>
          <w:szCs w:val="28"/>
        </w:rPr>
        <w:t xml:space="preserve"> in the remaining </w:t>
      </w:r>
      <w:r w:rsidR="008A513E">
        <w:rPr>
          <w:szCs w:val="28"/>
        </w:rPr>
        <w:t xml:space="preserve">categories. </w:t>
      </w:r>
      <w:r w:rsidR="007058F5" w:rsidRPr="004F2AF5">
        <w:rPr>
          <w:szCs w:val="28"/>
        </w:rPr>
        <w:t>93.66</w:t>
      </w:r>
      <w:r w:rsidR="0034770E" w:rsidRPr="004F2AF5">
        <w:rPr>
          <w:szCs w:val="28"/>
        </w:rPr>
        <w:t>%</w:t>
      </w:r>
      <w:r w:rsidR="007058F5" w:rsidRPr="004F2AF5">
        <w:rPr>
          <w:szCs w:val="28"/>
        </w:rPr>
        <w:t xml:space="preserve"> of consumers who received device </w:t>
      </w:r>
      <w:r w:rsidR="0034770E" w:rsidRPr="004F2AF5">
        <w:rPr>
          <w:szCs w:val="28"/>
        </w:rPr>
        <w:t xml:space="preserve">demonstrations were satisfied or highly satisfied with the services they received. </w:t>
      </w:r>
    </w:p>
    <w:p w14:paraId="3EF082FF" w14:textId="7A533B60" w:rsidR="00254F88" w:rsidRPr="00254F88" w:rsidRDefault="00C3029F" w:rsidP="00036498">
      <w:pPr>
        <w:pStyle w:val="ListParagraph"/>
        <w:numPr>
          <w:ilvl w:val="0"/>
          <w:numId w:val="30"/>
        </w:numPr>
        <w:spacing w:after="120"/>
        <w:ind w:left="450"/>
        <w:contextualSpacing w:val="0"/>
        <w:rPr>
          <w:szCs w:val="28"/>
        </w:rPr>
      </w:pPr>
      <w:r w:rsidRPr="00581046">
        <w:rPr>
          <w:b/>
          <w:bCs/>
          <w:szCs w:val="28"/>
        </w:rPr>
        <w:lastRenderedPageBreak/>
        <w:t>Training</w:t>
      </w:r>
      <w:r w:rsidRPr="00581046">
        <w:rPr>
          <w:szCs w:val="28"/>
        </w:rPr>
        <w:t xml:space="preserve">: </w:t>
      </w:r>
      <w:r w:rsidR="00254F88" w:rsidRPr="00581046">
        <w:rPr>
          <w:szCs w:val="28"/>
        </w:rPr>
        <w:t>1,422</w:t>
      </w:r>
      <w:r w:rsidR="00254F88" w:rsidRPr="00254F88">
        <w:rPr>
          <w:szCs w:val="28"/>
        </w:rPr>
        <w:t xml:space="preserve"> </w:t>
      </w:r>
      <w:r w:rsidR="00254F88">
        <w:rPr>
          <w:szCs w:val="28"/>
        </w:rPr>
        <w:t xml:space="preserve">individuals participated in Assistive Technology trainings. </w:t>
      </w:r>
      <w:r w:rsidR="00991F03">
        <w:rPr>
          <w:szCs w:val="28"/>
        </w:rPr>
        <w:t>T</w:t>
      </w:r>
      <w:r w:rsidR="00254F88">
        <w:rPr>
          <w:szCs w:val="28"/>
        </w:rPr>
        <w:t>he</w:t>
      </w:r>
      <w:r w:rsidR="005A55D2">
        <w:rPr>
          <w:szCs w:val="28"/>
        </w:rPr>
        <w:t xml:space="preserve"> most requested training was for Assistive Technology Products</w:t>
      </w:r>
      <w:r w:rsidR="00B07887">
        <w:rPr>
          <w:szCs w:val="28"/>
        </w:rPr>
        <w:t>/Services</w:t>
      </w:r>
      <w:r w:rsidR="005A55D2">
        <w:rPr>
          <w:szCs w:val="28"/>
        </w:rPr>
        <w:t xml:space="preserve"> (1</w:t>
      </w:r>
      <w:r w:rsidR="00254F88">
        <w:rPr>
          <w:szCs w:val="28"/>
        </w:rPr>
        <w:t>,203</w:t>
      </w:r>
      <w:r w:rsidR="005A55D2">
        <w:rPr>
          <w:szCs w:val="28"/>
        </w:rPr>
        <w:t>)</w:t>
      </w:r>
      <w:r w:rsidR="00254F88">
        <w:rPr>
          <w:szCs w:val="28"/>
        </w:rPr>
        <w:t xml:space="preserve"> </w:t>
      </w:r>
      <w:r w:rsidR="005A55D2">
        <w:rPr>
          <w:szCs w:val="28"/>
        </w:rPr>
        <w:t>consumers</w:t>
      </w:r>
      <w:r w:rsidR="00254F88">
        <w:rPr>
          <w:szCs w:val="28"/>
        </w:rPr>
        <w:t xml:space="preserve"> </w:t>
      </w:r>
      <w:r w:rsidR="005A55D2">
        <w:rPr>
          <w:szCs w:val="28"/>
        </w:rPr>
        <w:t>participated followed by</w:t>
      </w:r>
      <w:r w:rsidR="00991F03">
        <w:rPr>
          <w:szCs w:val="28"/>
        </w:rPr>
        <w:t xml:space="preserve"> Information and Communication Technology</w:t>
      </w:r>
      <w:r w:rsidR="005A55D2">
        <w:rPr>
          <w:szCs w:val="28"/>
        </w:rPr>
        <w:t xml:space="preserve"> (72</w:t>
      </w:r>
      <w:r w:rsidR="00B07887">
        <w:rPr>
          <w:szCs w:val="28"/>
        </w:rPr>
        <w:t>)</w:t>
      </w:r>
      <w:r w:rsidR="00991F03">
        <w:rPr>
          <w:szCs w:val="28"/>
        </w:rPr>
        <w:t>, Assistive Technology Funding</w:t>
      </w:r>
      <w:r w:rsidR="00B07887">
        <w:rPr>
          <w:szCs w:val="28"/>
        </w:rPr>
        <w:t xml:space="preserve"> (59)</w:t>
      </w:r>
      <w:r w:rsidR="00991F03">
        <w:rPr>
          <w:szCs w:val="28"/>
        </w:rPr>
        <w:t>, Transition</w:t>
      </w:r>
      <w:r w:rsidR="00B07887">
        <w:rPr>
          <w:szCs w:val="28"/>
        </w:rPr>
        <w:t xml:space="preserve"> (57)</w:t>
      </w:r>
      <w:r w:rsidR="00991F03">
        <w:rPr>
          <w:szCs w:val="28"/>
        </w:rPr>
        <w:t xml:space="preserve">, </w:t>
      </w:r>
      <w:r w:rsidR="00484E2B">
        <w:rPr>
          <w:szCs w:val="28"/>
        </w:rPr>
        <w:t>and a</w:t>
      </w:r>
      <w:r w:rsidR="00991F03">
        <w:rPr>
          <w:szCs w:val="28"/>
        </w:rPr>
        <w:t xml:space="preserve"> combination of all the above</w:t>
      </w:r>
      <w:r w:rsidR="00B07887">
        <w:rPr>
          <w:szCs w:val="28"/>
        </w:rPr>
        <w:t xml:space="preserve"> (31)</w:t>
      </w:r>
      <w:r w:rsidR="00991F03">
        <w:rPr>
          <w:szCs w:val="28"/>
        </w:rPr>
        <w:t xml:space="preserve">. </w:t>
      </w:r>
      <w:r w:rsidR="00254F88">
        <w:rPr>
          <w:szCs w:val="28"/>
        </w:rPr>
        <w:t xml:space="preserve">The satisfaction rating level is not required for federal reporting purposes. </w:t>
      </w:r>
    </w:p>
    <w:p w14:paraId="6B4A642F" w14:textId="35F1A830" w:rsidR="00C33960" w:rsidRPr="00CF30B6" w:rsidRDefault="00C3029F" w:rsidP="00EB2C9B">
      <w:pPr>
        <w:pStyle w:val="ListParagraph"/>
        <w:numPr>
          <w:ilvl w:val="0"/>
          <w:numId w:val="30"/>
        </w:numPr>
        <w:spacing w:after="120"/>
        <w:ind w:left="450"/>
        <w:contextualSpacing w:val="0"/>
        <w:rPr>
          <w:szCs w:val="28"/>
        </w:rPr>
      </w:pPr>
      <w:r w:rsidRPr="00CF30B6">
        <w:rPr>
          <w:b/>
          <w:bCs/>
          <w:szCs w:val="28"/>
        </w:rPr>
        <w:t>Information and Assistance (I&amp;A)</w:t>
      </w:r>
      <w:r w:rsidR="00CF30B6" w:rsidRPr="00CF30B6">
        <w:rPr>
          <w:szCs w:val="28"/>
        </w:rPr>
        <w:t xml:space="preserve">: </w:t>
      </w:r>
      <w:r w:rsidR="00C33960" w:rsidRPr="00CF30B6">
        <w:rPr>
          <w:szCs w:val="28"/>
        </w:rPr>
        <w:t xml:space="preserve">1,033 individuals received information and assistance activities and services. </w:t>
      </w:r>
    </w:p>
    <w:p w14:paraId="11ACC0CB" w14:textId="74278CB8" w:rsidR="00070C02" w:rsidRPr="00922024" w:rsidRDefault="00C3029F" w:rsidP="00442D9E">
      <w:pPr>
        <w:pStyle w:val="ListParagraph"/>
        <w:numPr>
          <w:ilvl w:val="0"/>
          <w:numId w:val="30"/>
        </w:numPr>
        <w:spacing w:after="120"/>
        <w:ind w:left="450"/>
        <w:contextualSpacing w:val="0"/>
        <w:rPr>
          <w:szCs w:val="28"/>
        </w:rPr>
      </w:pPr>
      <w:r w:rsidRPr="00922024">
        <w:rPr>
          <w:b/>
          <w:bCs/>
          <w:szCs w:val="28"/>
        </w:rPr>
        <w:t>Leverage</w:t>
      </w:r>
      <w:r w:rsidR="00037E25" w:rsidRPr="00922024">
        <w:rPr>
          <w:b/>
          <w:bCs/>
          <w:szCs w:val="28"/>
        </w:rPr>
        <w:t>d</w:t>
      </w:r>
      <w:r w:rsidRPr="00922024">
        <w:rPr>
          <w:b/>
          <w:bCs/>
          <w:szCs w:val="28"/>
        </w:rPr>
        <w:t xml:space="preserve"> Funds</w:t>
      </w:r>
      <w:r w:rsidRPr="00922024">
        <w:rPr>
          <w:szCs w:val="28"/>
        </w:rPr>
        <w:t>:</w:t>
      </w:r>
      <w:r w:rsidR="008E4B37" w:rsidRPr="00922024">
        <w:rPr>
          <w:szCs w:val="28"/>
        </w:rPr>
        <w:t xml:space="preserve"> </w:t>
      </w:r>
      <w:r w:rsidR="00070C02" w:rsidRPr="00922024">
        <w:rPr>
          <w:szCs w:val="28"/>
        </w:rPr>
        <w:t xml:space="preserve">The following leveraged funds was utilized for State Plan activities: $130,000 for state financing activities, $210,000 from Public/State Agency for Public Awareness Activities, $240,145 from the Private Sector for Public Awareness and Information and Assistance Training, $13,000 from Public/State Agency for Device Demonstrations, $350,000 from the Private Sector for the Reuse Program, $5,500,000 from the Private Sector for the Reuse Program and $256,200 from the Private Sector for Public Awareness, Information and Assistance training for a total of $7,220,344 in leverage funding. </w:t>
      </w:r>
    </w:p>
    <w:p w14:paraId="10CC74B8" w14:textId="77777777" w:rsidR="00070C02" w:rsidRPr="00070C02" w:rsidRDefault="00070C02" w:rsidP="00070C02">
      <w:pPr>
        <w:spacing w:after="120"/>
        <w:rPr>
          <w:szCs w:val="28"/>
        </w:rPr>
      </w:pPr>
    </w:p>
    <w:p w14:paraId="4D5DC879" w14:textId="49900A75" w:rsidR="00E14E6E" w:rsidRPr="00E84805" w:rsidRDefault="00EC44C1" w:rsidP="00924BD0">
      <w:pPr>
        <w:pStyle w:val="Heading1"/>
        <w:spacing w:before="0" w:after="120"/>
        <w:rPr>
          <w:u w:val="single"/>
        </w:rPr>
      </w:pPr>
      <w:r w:rsidRPr="00E84805">
        <w:rPr>
          <w:u w:val="single"/>
        </w:rPr>
        <w:t xml:space="preserve">Notable Changes from </w:t>
      </w:r>
      <w:r w:rsidR="00924BD0">
        <w:rPr>
          <w:u w:val="single"/>
        </w:rPr>
        <w:t>FFY</w:t>
      </w:r>
      <w:r w:rsidRPr="00E84805">
        <w:rPr>
          <w:u w:val="single"/>
        </w:rPr>
        <w:t xml:space="preserve"> </w:t>
      </w:r>
      <w:r w:rsidR="004F6FAD" w:rsidRPr="00E84805">
        <w:rPr>
          <w:u w:val="single"/>
        </w:rPr>
        <w:t>20</w:t>
      </w:r>
      <w:r w:rsidR="00E86528">
        <w:rPr>
          <w:u w:val="single"/>
        </w:rPr>
        <w:t>20</w:t>
      </w:r>
      <w:r w:rsidR="004F6FAD" w:rsidRPr="00E84805">
        <w:rPr>
          <w:u w:val="single"/>
        </w:rPr>
        <w:t xml:space="preserve"> to </w:t>
      </w:r>
      <w:r w:rsidR="00924BD0">
        <w:rPr>
          <w:u w:val="single"/>
        </w:rPr>
        <w:t>FFY</w:t>
      </w:r>
      <w:r w:rsidR="004F6FAD" w:rsidRPr="00E84805">
        <w:rPr>
          <w:u w:val="single"/>
        </w:rPr>
        <w:t xml:space="preserve"> 20</w:t>
      </w:r>
      <w:r w:rsidR="00D3323A" w:rsidRPr="00E84805">
        <w:rPr>
          <w:u w:val="single"/>
        </w:rPr>
        <w:t>2</w:t>
      </w:r>
      <w:r w:rsidR="00E86528">
        <w:rPr>
          <w:u w:val="single"/>
        </w:rPr>
        <w:t>1</w:t>
      </w:r>
    </w:p>
    <w:p w14:paraId="5CF37BC7" w14:textId="50B58811" w:rsidR="00924BD0" w:rsidRPr="00427143" w:rsidRDefault="009E4952" w:rsidP="00924BD0">
      <w:pPr>
        <w:spacing w:after="120"/>
        <w:rPr>
          <w:szCs w:val="28"/>
        </w:rPr>
      </w:pPr>
      <w:r w:rsidRPr="00CD1F9C">
        <w:rPr>
          <w:szCs w:val="28"/>
        </w:rPr>
        <w:t xml:space="preserve">There are notable changes </w:t>
      </w:r>
      <w:r w:rsidR="00924BD0" w:rsidRPr="00CD1F9C">
        <w:rPr>
          <w:szCs w:val="28"/>
        </w:rPr>
        <w:t xml:space="preserve">in a myriad of areas in comparison to the prior federal fiscal year. </w:t>
      </w:r>
      <w:r w:rsidR="00924BD0" w:rsidRPr="00427143">
        <w:rPr>
          <w:szCs w:val="28"/>
        </w:rPr>
        <w:t xml:space="preserve">These changes can be contributed to a combination of factors </w:t>
      </w:r>
      <w:r w:rsidR="00427143" w:rsidRPr="00427143">
        <w:rPr>
          <w:szCs w:val="28"/>
        </w:rPr>
        <w:t>that include</w:t>
      </w:r>
      <w:r w:rsidR="00924BD0" w:rsidRPr="00427143">
        <w:rPr>
          <w:szCs w:val="28"/>
        </w:rPr>
        <w:t xml:space="preserve"> wildfires, a global pandemic, rolling power outages, wildfires </w:t>
      </w:r>
      <w:r w:rsidR="00427143" w:rsidRPr="00427143">
        <w:rPr>
          <w:szCs w:val="28"/>
        </w:rPr>
        <w:t>and</w:t>
      </w:r>
      <w:r w:rsidR="00924BD0" w:rsidRPr="00427143">
        <w:rPr>
          <w:szCs w:val="28"/>
        </w:rPr>
        <w:t xml:space="preserve"> restrictions due to COVID-19. </w:t>
      </w:r>
    </w:p>
    <w:p w14:paraId="6E16687D" w14:textId="4811D062" w:rsidR="000D5EF7" w:rsidRDefault="00924BD0" w:rsidP="00924BD0">
      <w:pPr>
        <w:spacing w:after="120"/>
        <w:rPr>
          <w:szCs w:val="28"/>
        </w:rPr>
      </w:pPr>
      <w:r w:rsidRPr="00427143">
        <w:rPr>
          <w:szCs w:val="28"/>
        </w:rPr>
        <w:t xml:space="preserve">The following are </w:t>
      </w:r>
      <w:r w:rsidR="00F55D36" w:rsidRPr="00427143">
        <w:rPr>
          <w:szCs w:val="28"/>
        </w:rPr>
        <w:t>notable changes broken-down into state level and state leadership activities.</w:t>
      </w:r>
      <w:r w:rsidR="00F55D36" w:rsidRPr="00E84805">
        <w:rPr>
          <w:szCs w:val="28"/>
        </w:rPr>
        <w:t xml:space="preserve"> </w:t>
      </w:r>
    </w:p>
    <w:p w14:paraId="6E740835" w14:textId="77777777" w:rsidR="00F71D7C" w:rsidRPr="00E84805" w:rsidRDefault="00F71D7C" w:rsidP="00924BD0">
      <w:pPr>
        <w:spacing w:after="120"/>
        <w:rPr>
          <w:szCs w:val="28"/>
        </w:rPr>
      </w:pPr>
    </w:p>
    <w:p w14:paraId="07AE54CB" w14:textId="2F657E88" w:rsidR="007D4B47" w:rsidRPr="00F71D7C" w:rsidRDefault="007D4B47" w:rsidP="00F71D7C">
      <w:pPr>
        <w:pStyle w:val="Heading1"/>
        <w:spacing w:before="0" w:after="120"/>
        <w:rPr>
          <w:u w:val="single"/>
        </w:rPr>
      </w:pPr>
      <w:r w:rsidRPr="00F71D7C">
        <w:rPr>
          <w:u w:val="single"/>
        </w:rPr>
        <w:t>State Level Activities</w:t>
      </w:r>
    </w:p>
    <w:p w14:paraId="722158F0" w14:textId="5E18A38E" w:rsidR="009E4952" w:rsidRPr="00CD1F9C" w:rsidRDefault="009E4952" w:rsidP="00924BD0">
      <w:pPr>
        <w:pStyle w:val="ListParagraph"/>
        <w:numPr>
          <w:ilvl w:val="0"/>
          <w:numId w:val="32"/>
        </w:numPr>
        <w:spacing w:after="120"/>
        <w:ind w:left="450"/>
        <w:contextualSpacing w:val="0"/>
        <w:rPr>
          <w:szCs w:val="28"/>
        </w:rPr>
      </w:pPr>
      <w:r w:rsidRPr="00445866">
        <w:rPr>
          <w:b/>
          <w:bCs/>
          <w:szCs w:val="28"/>
          <w:highlight w:val="yellow"/>
        </w:rPr>
        <w:t>State Financing</w:t>
      </w:r>
      <w:r w:rsidRPr="00CD1F9C">
        <w:rPr>
          <w:szCs w:val="28"/>
        </w:rPr>
        <w:t xml:space="preserve">: </w:t>
      </w:r>
      <w:r w:rsidR="00924BD0" w:rsidRPr="00CD1F9C">
        <w:rPr>
          <w:rFonts w:cs="Arial"/>
          <w:szCs w:val="28"/>
        </w:rPr>
        <w:t>FFY</w:t>
      </w:r>
      <w:r w:rsidRPr="00CD1F9C">
        <w:rPr>
          <w:rFonts w:cs="Arial"/>
          <w:szCs w:val="28"/>
        </w:rPr>
        <w:t xml:space="preserve"> </w:t>
      </w:r>
      <w:r w:rsidR="003D3768" w:rsidRPr="00CD1F9C">
        <w:rPr>
          <w:rFonts w:cs="Arial"/>
          <w:szCs w:val="28"/>
        </w:rPr>
        <w:t>2021, CFILC</w:t>
      </w:r>
      <w:r w:rsidRPr="00CD1F9C">
        <w:rPr>
          <w:rFonts w:cs="Arial"/>
          <w:szCs w:val="28"/>
        </w:rPr>
        <w:t xml:space="preserve"> reported </w:t>
      </w:r>
      <w:r w:rsidR="004A790E">
        <w:rPr>
          <w:rFonts w:cs="Arial"/>
          <w:szCs w:val="28"/>
        </w:rPr>
        <w:t>44</w:t>
      </w:r>
      <w:r w:rsidRPr="00CD1F9C">
        <w:rPr>
          <w:rFonts w:cs="Arial"/>
          <w:szCs w:val="28"/>
        </w:rPr>
        <w:t xml:space="preserve"> loan</w:t>
      </w:r>
      <w:r w:rsidR="004A790E">
        <w:rPr>
          <w:rFonts w:cs="Arial"/>
          <w:szCs w:val="28"/>
        </w:rPr>
        <w:t>s</w:t>
      </w:r>
      <w:r w:rsidRPr="00CD1F9C">
        <w:rPr>
          <w:rFonts w:cs="Arial"/>
          <w:szCs w:val="28"/>
        </w:rPr>
        <w:t xml:space="preserve"> from Freedom Tech </w:t>
      </w:r>
      <w:r w:rsidR="00FC45C5">
        <w:rPr>
          <w:rFonts w:cs="Arial"/>
          <w:szCs w:val="28"/>
        </w:rPr>
        <w:t xml:space="preserve">Loan </w:t>
      </w:r>
      <w:r w:rsidRPr="00CD1F9C">
        <w:rPr>
          <w:rFonts w:cs="Arial"/>
          <w:szCs w:val="28"/>
        </w:rPr>
        <w:t xml:space="preserve">Program </w:t>
      </w:r>
      <w:r w:rsidR="004A790E">
        <w:rPr>
          <w:rFonts w:cs="Arial"/>
          <w:szCs w:val="28"/>
        </w:rPr>
        <w:t xml:space="preserve">for </w:t>
      </w:r>
      <w:r w:rsidR="004A790E">
        <w:rPr>
          <w:szCs w:val="28"/>
        </w:rPr>
        <w:t>$12,795</w:t>
      </w:r>
      <w:r w:rsidRPr="00CD1F9C">
        <w:rPr>
          <w:rFonts w:cs="Arial"/>
          <w:szCs w:val="28"/>
        </w:rPr>
        <w:t>.</w:t>
      </w:r>
      <w:r w:rsidR="00924BD0" w:rsidRPr="00CD1F9C">
        <w:rPr>
          <w:rFonts w:cs="Arial"/>
          <w:szCs w:val="28"/>
        </w:rPr>
        <w:t xml:space="preserve"> </w:t>
      </w:r>
      <w:r w:rsidR="00734849">
        <w:rPr>
          <w:rFonts w:cs="Arial"/>
          <w:szCs w:val="28"/>
        </w:rPr>
        <w:t>This was a significant increase from FFY w</w:t>
      </w:r>
      <w:r w:rsidR="00E23CA0">
        <w:rPr>
          <w:rFonts w:cs="Arial"/>
          <w:szCs w:val="28"/>
        </w:rPr>
        <w:t>h</w:t>
      </w:r>
      <w:r w:rsidR="00734849">
        <w:rPr>
          <w:rFonts w:cs="Arial"/>
          <w:szCs w:val="28"/>
        </w:rPr>
        <w:t xml:space="preserve">ere </w:t>
      </w:r>
      <w:r w:rsidR="00E23CA0">
        <w:rPr>
          <w:rFonts w:cs="Arial"/>
          <w:szCs w:val="28"/>
        </w:rPr>
        <w:t xml:space="preserve">there were </w:t>
      </w:r>
      <w:r w:rsidR="00734849">
        <w:rPr>
          <w:rFonts w:cs="Arial"/>
          <w:szCs w:val="28"/>
        </w:rPr>
        <w:t xml:space="preserve">no loans were </w:t>
      </w:r>
      <w:r w:rsidR="00924BD0" w:rsidRPr="00CD1F9C">
        <w:rPr>
          <w:rFonts w:cs="Arial"/>
          <w:szCs w:val="28"/>
        </w:rPr>
        <w:t xml:space="preserve">due to the impact of COVID-19. </w:t>
      </w:r>
    </w:p>
    <w:p w14:paraId="63FBAAF6" w14:textId="6E8A6EB4" w:rsidR="00B158DA" w:rsidRPr="00B158DA" w:rsidRDefault="009E4952" w:rsidP="00675F6A">
      <w:pPr>
        <w:pStyle w:val="ListParagraph"/>
        <w:numPr>
          <w:ilvl w:val="0"/>
          <w:numId w:val="32"/>
        </w:numPr>
        <w:spacing w:after="120"/>
        <w:ind w:left="450"/>
        <w:contextualSpacing w:val="0"/>
        <w:rPr>
          <w:szCs w:val="28"/>
        </w:rPr>
      </w:pPr>
      <w:r w:rsidRPr="00B158DA">
        <w:rPr>
          <w:b/>
          <w:bCs/>
          <w:szCs w:val="28"/>
        </w:rPr>
        <w:t>Reuse</w:t>
      </w:r>
      <w:r w:rsidRPr="00B158DA">
        <w:rPr>
          <w:szCs w:val="28"/>
        </w:rPr>
        <w:t xml:space="preserve">: </w:t>
      </w:r>
      <w:r w:rsidR="00F41813" w:rsidRPr="00B158DA">
        <w:rPr>
          <w:szCs w:val="28"/>
        </w:rPr>
        <w:t>There was a</w:t>
      </w:r>
      <w:r w:rsidR="00FD706F" w:rsidRPr="00B158DA">
        <w:rPr>
          <w:szCs w:val="28"/>
        </w:rPr>
        <w:t xml:space="preserve"> </w:t>
      </w:r>
      <w:r w:rsidR="00F22C75" w:rsidRPr="00B158DA">
        <w:rPr>
          <w:szCs w:val="28"/>
        </w:rPr>
        <w:t>1</w:t>
      </w:r>
      <w:r w:rsidR="00FD706F" w:rsidRPr="00B158DA">
        <w:rPr>
          <w:szCs w:val="28"/>
        </w:rPr>
        <w:t>19.84</w:t>
      </w:r>
      <w:r w:rsidR="00F22C75" w:rsidRPr="00B158DA">
        <w:rPr>
          <w:szCs w:val="28"/>
        </w:rPr>
        <w:t>%</w:t>
      </w:r>
      <w:r w:rsidR="00F5495A" w:rsidRPr="00B158DA">
        <w:rPr>
          <w:szCs w:val="28"/>
        </w:rPr>
        <w:t xml:space="preserve"> </w:t>
      </w:r>
      <w:r w:rsidR="00F41813" w:rsidRPr="00B158DA">
        <w:rPr>
          <w:szCs w:val="28"/>
        </w:rPr>
        <w:t>inc</w:t>
      </w:r>
      <w:r w:rsidR="00F22C75" w:rsidRPr="00B158DA">
        <w:rPr>
          <w:szCs w:val="28"/>
        </w:rPr>
        <w:t xml:space="preserve">rease in consumers served, from 756 </w:t>
      </w:r>
      <w:r w:rsidR="00F5495A" w:rsidRPr="00B158DA">
        <w:rPr>
          <w:szCs w:val="28"/>
        </w:rPr>
        <w:t xml:space="preserve">served </w:t>
      </w:r>
      <w:r w:rsidR="00F22C75" w:rsidRPr="00B158DA">
        <w:rPr>
          <w:szCs w:val="28"/>
        </w:rPr>
        <w:t>in FFY 2020 to 1,662 consumer</w:t>
      </w:r>
      <w:r w:rsidR="00B158DA" w:rsidRPr="00B158DA">
        <w:rPr>
          <w:szCs w:val="28"/>
        </w:rPr>
        <w:t>s</w:t>
      </w:r>
      <w:r w:rsidR="00F22C75" w:rsidRPr="00B158DA">
        <w:rPr>
          <w:szCs w:val="28"/>
        </w:rPr>
        <w:t xml:space="preserve"> served</w:t>
      </w:r>
      <w:r w:rsidR="00FD706F" w:rsidRPr="00B158DA">
        <w:rPr>
          <w:szCs w:val="28"/>
        </w:rPr>
        <w:t xml:space="preserve"> in FFY 2021</w:t>
      </w:r>
      <w:r w:rsidR="00F22C75" w:rsidRPr="00B158DA">
        <w:rPr>
          <w:szCs w:val="28"/>
        </w:rPr>
        <w:t xml:space="preserve">. </w:t>
      </w:r>
      <w:r w:rsidR="00FD706F" w:rsidRPr="00B158DA">
        <w:rPr>
          <w:szCs w:val="28"/>
        </w:rPr>
        <w:t>This corresponds to a 176.07% increase in consumer savings</w:t>
      </w:r>
      <w:r w:rsidR="00F5495A" w:rsidRPr="00B158DA">
        <w:rPr>
          <w:szCs w:val="28"/>
        </w:rPr>
        <w:t xml:space="preserve"> </w:t>
      </w:r>
      <w:r w:rsidR="00B158DA" w:rsidRPr="00B158DA">
        <w:rPr>
          <w:szCs w:val="28"/>
        </w:rPr>
        <w:t>from $</w:t>
      </w:r>
      <w:r w:rsidR="00FD706F" w:rsidRPr="00B158DA">
        <w:rPr>
          <w:szCs w:val="28"/>
        </w:rPr>
        <w:t xml:space="preserve">586,492 </w:t>
      </w:r>
      <w:r w:rsidR="00F5495A" w:rsidRPr="00B158DA">
        <w:rPr>
          <w:szCs w:val="28"/>
        </w:rPr>
        <w:t xml:space="preserve">in FFY 2020 to $1,619,137 in FFY 2021. </w:t>
      </w:r>
      <w:r w:rsidR="003A61BB" w:rsidRPr="00B158DA">
        <w:rPr>
          <w:szCs w:val="28"/>
        </w:rPr>
        <w:t xml:space="preserve">There also a </w:t>
      </w:r>
      <w:r w:rsidR="00B158DA" w:rsidRPr="00B158DA">
        <w:rPr>
          <w:szCs w:val="28"/>
        </w:rPr>
        <w:t xml:space="preserve">3.78% </w:t>
      </w:r>
      <w:r w:rsidR="003A61BB" w:rsidRPr="00B158DA">
        <w:rPr>
          <w:szCs w:val="28"/>
        </w:rPr>
        <w:lastRenderedPageBreak/>
        <w:t xml:space="preserve">increase in customer service satisfaction </w:t>
      </w:r>
      <w:r w:rsidR="00B158DA" w:rsidRPr="00B158DA">
        <w:rPr>
          <w:szCs w:val="28"/>
        </w:rPr>
        <w:t xml:space="preserve">of customers who were satisfied or highly satisfied with the service. </w:t>
      </w:r>
    </w:p>
    <w:p w14:paraId="00885682" w14:textId="77777777" w:rsidR="00B158DA" w:rsidRDefault="00B158DA" w:rsidP="00B158DA">
      <w:pPr>
        <w:pStyle w:val="ListParagraph"/>
        <w:spacing w:after="120"/>
        <w:ind w:left="450"/>
        <w:contextualSpacing w:val="0"/>
        <w:rPr>
          <w:szCs w:val="28"/>
        </w:rPr>
      </w:pPr>
    </w:p>
    <w:p w14:paraId="2642725B" w14:textId="5B95DACB" w:rsidR="005065FA" w:rsidRPr="005065FA" w:rsidRDefault="009E4952" w:rsidP="00850C9A">
      <w:pPr>
        <w:pStyle w:val="ListParagraph"/>
        <w:numPr>
          <w:ilvl w:val="0"/>
          <w:numId w:val="30"/>
        </w:numPr>
        <w:spacing w:after="120"/>
        <w:ind w:left="450"/>
        <w:contextualSpacing w:val="0"/>
        <w:rPr>
          <w:szCs w:val="28"/>
        </w:rPr>
      </w:pPr>
      <w:r w:rsidRPr="005065FA">
        <w:rPr>
          <w:b/>
          <w:bCs/>
          <w:szCs w:val="28"/>
        </w:rPr>
        <w:t>Device Lending</w:t>
      </w:r>
      <w:r w:rsidRPr="005065FA">
        <w:rPr>
          <w:szCs w:val="28"/>
        </w:rPr>
        <w:t xml:space="preserve">: </w:t>
      </w:r>
      <w:r w:rsidR="007736C0" w:rsidRPr="005065FA">
        <w:rPr>
          <w:szCs w:val="28"/>
        </w:rPr>
        <w:t xml:space="preserve">There was no significant increase or decrease in the number of consumers or the number of Assistive Technology equipment loaned </w:t>
      </w:r>
      <w:r w:rsidR="00A14701">
        <w:rPr>
          <w:szCs w:val="28"/>
        </w:rPr>
        <w:t>in</w:t>
      </w:r>
      <w:r w:rsidR="007736C0" w:rsidRPr="005065FA">
        <w:rPr>
          <w:szCs w:val="28"/>
        </w:rPr>
        <w:t xml:space="preserve"> FFY 2020. </w:t>
      </w:r>
      <w:r w:rsidR="005065FA" w:rsidRPr="005065FA">
        <w:rPr>
          <w:szCs w:val="28"/>
        </w:rPr>
        <w:t>In FFY 2020 there were 811 consumers served and in FFY 2021 there were 816 consumers served. The satisfaction rate decline</w:t>
      </w:r>
      <w:r w:rsidR="00E60986">
        <w:rPr>
          <w:szCs w:val="28"/>
        </w:rPr>
        <w:t>d</w:t>
      </w:r>
      <w:r w:rsidR="005065FA" w:rsidRPr="005065FA">
        <w:rPr>
          <w:szCs w:val="28"/>
        </w:rPr>
        <w:t xml:space="preserve"> 4.02% for FFY 2021 for consumers who were satisfied </w:t>
      </w:r>
      <w:r w:rsidR="00E60986">
        <w:rPr>
          <w:szCs w:val="28"/>
        </w:rPr>
        <w:t>or</w:t>
      </w:r>
      <w:r w:rsidR="005065FA" w:rsidRPr="005065FA">
        <w:rPr>
          <w:szCs w:val="28"/>
        </w:rPr>
        <w:t xml:space="preserve"> highly satisfied</w:t>
      </w:r>
      <w:r w:rsidR="005F1C36">
        <w:rPr>
          <w:szCs w:val="28"/>
        </w:rPr>
        <w:t xml:space="preserve"> with the service</w:t>
      </w:r>
      <w:r w:rsidR="005065FA" w:rsidRPr="005065FA">
        <w:rPr>
          <w:szCs w:val="28"/>
        </w:rPr>
        <w:t xml:space="preserve">. </w:t>
      </w:r>
    </w:p>
    <w:p w14:paraId="201A5EA9" w14:textId="5E29C4BB" w:rsidR="007736C0" w:rsidRPr="007736C0" w:rsidRDefault="007736C0" w:rsidP="005065FA">
      <w:pPr>
        <w:pStyle w:val="ListParagraph"/>
        <w:spacing w:after="120"/>
        <w:ind w:left="450"/>
        <w:contextualSpacing w:val="0"/>
        <w:rPr>
          <w:szCs w:val="28"/>
        </w:rPr>
      </w:pPr>
    </w:p>
    <w:p w14:paraId="6D260647" w14:textId="1BBADA65" w:rsidR="00FC45C5" w:rsidRPr="004F2AF5" w:rsidRDefault="009E4952" w:rsidP="004A328A">
      <w:pPr>
        <w:pStyle w:val="ListParagraph"/>
        <w:numPr>
          <w:ilvl w:val="0"/>
          <w:numId w:val="32"/>
        </w:numPr>
        <w:spacing w:after="120"/>
        <w:ind w:left="450"/>
        <w:contextualSpacing w:val="0"/>
        <w:rPr>
          <w:szCs w:val="28"/>
        </w:rPr>
      </w:pPr>
      <w:r w:rsidRPr="004F2AF5">
        <w:rPr>
          <w:b/>
          <w:bCs/>
          <w:szCs w:val="28"/>
        </w:rPr>
        <w:t>Device Demonstration</w:t>
      </w:r>
      <w:r w:rsidR="004F2AF5" w:rsidRPr="004F2AF5">
        <w:rPr>
          <w:szCs w:val="28"/>
        </w:rPr>
        <w:t xml:space="preserve">: </w:t>
      </w:r>
      <w:r w:rsidR="0034770E" w:rsidRPr="004F2AF5">
        <w:rPr>
          <w:szCs w:val="28"/>
        </w:rPr>
        <w:t>There w</w:t>
      </w:r>
      <w:r w:rsidR="00F323B9">
        <w:rPr>
          <w:szCs w:val="28"/>
        </w:rPr>
        <w:t xml:space="preserve">as a 232.58% increase in the number of </w:t>
      </w:r>
      <w:r w:rsidR="00FC45C5" w:rsidRPr="004F2AF5">
        <w:rPr>
          <w:szCs w:val="28"/>
        </w:rPr>
        <w:t xml:space="preserve">device demonstrations </w:t>
      </w:r>
      <w:r w:rsidR="00F323B9">
        <w:rPr>
          <w:szCs w:val="28"/>
        </w:rPr>
        <w:t xml:space="preserve">from 267 demonstrations in FFY 2020 to 888 demonstrations </w:t>
      </w:r>
      <w:r w:rsidR="00FC45C5" w:rsidRPr="004F2AF5">
        <w:rPr>
          <w:szCs w:val="28"/>
        </w:rPr>
        <w:t>in FFY 2021</w:t>
      </w:r>
      <w:r w:rsidR="00F323B9">
        <w:rPr>
          <w:szCs w:val="28"/>
        </w:rPr>
        <w:t>. There was an</w:t>
      </w:r>
      <w:r w:rsidR="006A0B43">
        <w:rPr>
          <w:szCs w:val="28"/>
        </w:rPr>
        <w:t xml:space="preserve"> 176.78%</w:t>
      </w:r>
      <w:r w:rsidR="00F323B9">
        <w:rPr>
          <w:szCs w:val="28"/>
        </w:rPr>
        <w:t xml:space="preserve"> increase in the number of device </w:t>
      </w:r>
      <w:r w:rsidR="009A661B">
        <w:rPr>
          <w:szCs w:val="28"/>
        </w:rPr>
        <w:t>demonstration</w:t>
      </w:r>
      <w:r w:rsidR="00F323B9">
        <w:rPr>
          <w:szCs w:val="28"/>
        </w:rPr>
        <w:t xml:space="preserve"> types</w:t>
      </w:r>
      <w:r w:rsidR="006A0B43">
        <w:rPr>
          <w:szCs w:val="28"/>
        </w:rPr>
        <w:t xml:space="preserve"> that went</w:t>
      </w:r>
      <w:r w:rsidR="00D74BA8">
        <w:rPr>
          <w:szCs w:val="28"/>
        </w:rPr>
        <w:t xml:space="preserve"> from 267 in FFY 2020 to </w:t>
      </w:r>
      <w:r w:rsidR="009A661B">
        <w:rPr>
          <w:szCs w:val="28"/>
        </w:rPr>
        <w:t>739</w:t>
      </w:r>
      <w:r w:rsidR="00D74BA8">
        <w:rPr>
          <w:szCs w:val="28"/>
        </w:rPr>
        <w:t xml:space="preserve"> in FFY 2021</w:t>
      </w:r>
      <w:r w:rsidR="004F2AF5" w:rsidRPr="004F2AF5">
        <w:rPr>
          <w:szCs w:val="28"/>
        </w:rPr>
        <w:t xml:space="preserve">. </w:t>
      </w:r>
      <w:r w:rsidR="00E23CA0" w:rsidRPr="004F2AF5">
        <w:rPr>
          <w:szCs w:val="28"/>
        </w:rPr>
        <w:t xml:space="preserve">The overall customer satisfaction rating for satisfied and very satisfied </w:t>
      </w:r>
      <w:r w:rsidR="00D74BA8">
        <w:rPr>
          <w:szCs w:val="28"/>
        </w:rPr>
        <w:t>consumer</w:t>
      </w:r>
      <w:r w:rsidR="005F1C36">
        <w:rPr>
          <w:szCs w:val="28"/>
        </w:rPr>
        <w:t>s</w:t>
      </w:r>
      <w:r w:rsidR="00D74BA8">
        <w:rPr>
          <w:szCs w:val="28"/>
        </w:rPr>
        <w:t xml:space="preserve"> </w:t>
      </w:r>
      <w:r w:rsidR="00E23CA0" w:rsidRPr="004F2AF5">
        <w:rPr>
          <w:szCs w:val="28"/>
        </w:rPr>
        <w:t xml:space="preserve">declined </w:t>
      </w:r>
      <w:r w:rsidR="006A68E7">
        <w:rPr>
          <w:szCs w:val="28"/>
        </w:rPr>
        <w:t xml:space="preserve">of </w:t>
      </w:r>
      <w:r w:rsidR="003E029E">
        <w:rPr>
          <w:szCs w:val="28"/>
        </w:rPr>
        <w:t>2.55</w:t>
      </w:r>
      <w:r w:rsidR="00E23CA0" w:rsidRPr="004F2AF5">
        <w:rPr>
          <w:szCs w:val="28"/>
        </w:rPr>
        <w:t>%</w:t>
      </w:r>
      <w:r w:rsidR="005F1C36">
        <w:rPr>
          <w:szCs w:val="28"/>
        </w:rPr>
        <w:t xml:space="preserve"> from </w:t>
      </w:r>
      <w:r w:rsidR="003E029E">
        <w:rPr>
          <w:szCs w:val="28"/>
        </w:rPr>
        <w:t>98.0%</w:t>
      </w:r>
      <w:r w:rsidR="005F1C36">
        <w:rPr>
          <w:szCs w:val="28"/>
        </w:rPr>
        <w:t xml:space="preserve"> in FFY 2020 to 95.50% in FY2021</w:t>
      </w:r>
      <w:r w:rsidR="00E23CA0" w:rsidRPr="004F2AF5">
        <w:rPr>
          <w:szCs w:val="28"/>
        </w:rPr>
        <w:t xml:space="preserve">. </w:t>
      </w:r>
    </w:p>
    <w:p w14:paraId="2A4C07D0" w14:textId="77777777" w:rsidR="00FC45C5" w:rsidRDefault="00FC45C5" w:rsidP="00427143">
      <w:pPr>
        <w:pStyle w:val="ListParagraph"/>
        <w:spacing w:after="120"/>
        <w:ind w:left="450"/>
        <w:contextualSpacing w:val="0"/>
        <w:rPr>
          <w:szCs w:val="28"/>
        </w:rPr>
      </w:pPr>
    </w:p>
    <w:p w14:paraId="6FBAC38D" w14:textId="391059F4" w:rsidR="007D4B47" w:rsidRPr="0051564F" w:rsidRDefault="007D4B47" w:rsidP="0051564F">
      <w:pPr>
        <w:pStyle w:val="Heading1"/>
        <w:spacing w:before="0" w:after="120"/>
        <w:rPr>
          <w:u w:val="single"/>
        </w:rPr>
      </w:pPr>
      <w:r w:rsidRPr="0051564F">
        <w:rPr>
          <w:u w:val="single"/>
        </w:rPr>
        <w:t>State Leadership Activities</w:t>
      </w:r>
    </w:p>
    <w:p w14:paraId="6C29AE56" w14:textId="28D2AD29" w:rsidR="00484E2B" w:rsidRDefault="00484E2B" w:rsidP="00632D16">
      <w:pPr>
        <w:pStyle w:val="ListParagraph"/>
        <w:numPr>
          <w:ilvl w:val="0"/>
          <w:numId w:val="32"/>
        </w:numPr>
        <w:spacing w:after="120"/>
        <w:contextualSpacing w:val="0"/>
        <w:rPr>
          <w:szCs w:val="28"/>
        </w:rPr>
      </w:pPr>
      <w:r w:rsidRPr="00484E2B">
        <w:rPr>
          <w:b/>
          <w:bCs/>
          <w:szCs w:val="28"/>
        </w:rPr>
        <w:t>Training</w:t>
      </w:r>
      <w:r>
        <w:rPr>
          <w:b/>
          <w:bCs/>
          <w:szCs w:val="28"/>
        </w:rPr>
        <w:t>s</w:t>
      </w:r>
      <w:r w:rsidRPr="00484E2B">
        <w:rPr>
          <w:b/>
          <w:bCs/>
          <w:szCs w:val="28"/>
        </w:rPr>
        <w:t>:</w:t>
      </w:r>
      <w:r w:rsidRPr="00484E2B">
        <w:rPr>
          <w:szCs w:val="28"/>
        </w:rPr>
        <w:t xml:space="preserve"> There was a 21.72% increase in consumer</w:t>
      </w:r>
      <w:r w:rsidR="000E0BA8">
        <w:rPr>
          <w:szCs w:val="28"/>
        </w:rPr>
        <w:t>s</w:t>
      </w:r>
      <w:r w:rsidRPr="00484E2B">
        <w:rPr>
          <w:szCs w:val="28"/>
        </w:rPr>
        <w:t xml:space="preserve"> who participated in Assistive Trainings from 1,113 in FFY 20</w:t>
      </w:r>
      <w:r w:rsidR="000E0BA8">
        <w:rPr>
          <w:szCs w:val="28"/>
        </w:rPr>
        <w:t>20</w:t>
      </w:r>
      <w:r w:rsidRPr="00484E2B">
        <w:rPr>
          <w:szCs w:val="28"/>
        </w:rPr>
        <w:t xml:space="preserve"> to 1,422</w:t>
      </w:r>
      <w:r w:rsidR="000E0BA8">
        <w:rPr>
          <w:szCs w:val="28"/>
        </w:rPr>
        <w:t xml:space="preserve"> consumers</w:t>
      </w:r>
      <w:r w:rsidRPr="00484E2B">
        <w:rPr>
          <w:szCs w:val="28"/>
        </w:rPr>
        <w:t xml:space="preserve"> in FFY 2021. </w:t>
      </w:r>
    </w:p>
    <w:p w14:paraId="3748E7C5" w14:textId="791E45E8" w:rsidR="00C33960" w:rsidRPr="00C33960" w:rsidRDefault="00C33960" w:rsidP="00632D16">
      <w:pPr>
        <w:pStyle w:val="ListParagraph"/>
        <w:numPr>
          <w:ilvl w:val="0"/>
          <w:numId w:val="32"/>
        </w:numPr>
        <w:spacing w:after="120"/>
        <w:contextualSpacing w:val="0"/>
        <w:rPr>
          <w:szCs w:val="28"/>
        </w:rPr>
      </w:pPr>
      <w:r>
        <w:rPr>
          <w:b/>
          <w:bCs/>
          <w:szCs w:val="28"/>
        </w:rPr>
        <w:t>Information and Assistance:</w:t>
      </w:r>
      <w:r>
        <w:rPr>
          <w:szCs w:val="28"/>
        </w:rPr>
        <w:t xml:space="preserve"> </w:t>
      </w:r>
      <w:r w:rsidRPr="00C33960">
        <w:rPr>
          <w:szCs w:val="28"/>
        </w:rPr>
        <w:t xml:space="preserve">There was a </w:t>
      </w:r>
      <w:r>
        <w:rPr>
          <w:szCs w:val="28"/>
        </w:rPr>
        <w:t xml:space="preserve">44.96% decrease in Information and </w:t>
      </w:r>
      <w:r w:rsidR="00256E63">
        <w:rPr>
          <w:szCs w:val="28"/>
        </w:rPr>
        <w:t>Assistance</w:t>
      </w:r>
      <w:r>
        <w:rPr>
          <w:szCs w:val="28"/>
        </w:rPr>
        <w:t xml:space="preserve"> Training. In FFY 2020 </w:t>
      </w:r>
      <w:r w:rsidR="00AD0FF7">
        <w:rPr>
          <w:szCs w:val="28"/>
        </w:rPr>
        <w:t xml:space="preserve">there were </w:t>
      </w:r>
      <w:r w:rsidR="00256E63">
        <w:rPr>
          <w:szCs w:val="28"/>
        </w:rPr>
        <w:t xml:space="preserve">1,877 consumers </w:t>
      </w:r>
      <w:r w:rsidR="00AD0FF7">
        <w:rPr>
          <w:szCs w:val="28"/>
        </w:rPr>
        <w:t>who</w:t>
      </w:r>
      <w:r w:rsidR="00256E63">
        <w:rPr>
          <w:szCs w:val="28"/>
        </w:rPr>
        <w:t xml:space="preserve"> received training and 1,033 consumers received training in FFY 2021.  </w:t>
      </w:r>
    </w:p>
    <w:p w14:paraId="1A93479E" w14:textId="77777777" w:rsidR="00EC44C1" w:rsidRPr="00E84805" w:rsidRDefault="00EC44C1" w:rsidP="00924BD0">
      <w:pPr>
        <w:pStyle w:val="Heading1"/>
        <w:spacing w:before="0" w:after="120"/>
        <w:rPr>
          <w:u w:val="single"/>
        </w:rPr>
      </w:pPr>
      <w:r w:rsidRPr="00E84805">
        <w:rPr>
          <w:u w:val="single"/>
        </w:rPr>
        <w:t>Next Steps</w:t>
      </w:r>
    </w:p>
    <w:p w14:paraId="5CCE4100" w14:textId="08E62C64" w:rsidR="00924BD0" w:rsidRPr="00F41813" w:rsidRDefault="00397D4E" w:rsidP="00924BD0">
      <w:pPr>
        <w:pStyle w:val="ListParagraph"/>
        <w:numPr>
          <w:ilvl w:val="0"/>
          <w:numId w:val="33"/>
        </w:numPr>
        <w:spacing w:after="120"/>
        <w:contextualSpacing w:val="0"/>
        <w:rPr>
          <w:szCs w:val="28"/>
        </w:rPr>
      </w:pPr>
      <w:r w:rsidRPr="00F41813">
        <w:rPr>
          <w:szCs w:val="28"/>
        </w:rPr>
        <w:t xml:space="preserve">The </w:t>
      </w:r>
      <w:r w:rsidR="00924BD0" w:rsidRPr="00F41813">
        <w:rPr>
          <w:szCs w:val="28"/>
        </w:rPr>
        <w:t xml:space="preserve">AT Annual Report data was entered into the NATADS reporting portal by the CFILC staff and management.  </w:t>
      </w:r>
    </w:p>
    <w:p w14:paraId="6FA0896B" w14:textId="799F858B" w:rsidR="00924BD0" w:rsidRPr="00F41813" w:rsidRDefault="00924BD0" w:rsidP="00924BD0">
      <w:pPr>
        <w:pStyle w:val="ListParagraph"/>
        <w:numPr>
          <w:ilvl w:val="0"/>
          <w:numId w:val="33"/>
        </w:numPr>
        <w:spacing w:after="120"/>
        <w:contextualSpacing w:val="0"/>
        <w:rPr>
          <w:szCs w:val="28"/>
        </w:rPr>
      </w:pPr>
      <w:r w:rsidRPr="00F41813">
        <w:rPr>
          <w:szCs w:val="28"/>
        </w:rPr>
        <w:t xml:space="preserve">The ILCAD Deputy Director, </w:t>
      </w:r>
      <w:r w:rsidR="00F41813" w:rsidRPr="00F41813">
        <w:rPr>
          <w:szCs w:val="28"/>
        </w:rPr>
        <w:t>Ana Action</w:t>
      </w:r>
      <w:r w:rsidRPr="00F41813">
        <w:rPr>
          <w:szCs w:val="28"/>
        </w:rPr>
        <w:t>, will review, discuss, revise, and finalize the AT APR before reviewing the materials with DOR Directorate, Joe Xavier.</w:t>
      </w:r>
    </w:p>
    <w:p w14:paraId="7CC4C7B3" w14:textId="77D31ECD" w:rsidR="00924BD0" w:rsidRPr="00F41813" w:rsidRDefault="00924BD0" w:rsidP="00924BD0">
      <w:pPr>
        <w:pStyle w:val="ListParagraph"/>
        <w:numPr>
          <w:ilvl w:val="0"/>
          <w:numId w:val="33"/>
        </w:numPr>
        <w:spacing w:after="120"/>
        <w:contextualSpacing w:val="0"/>
        <w:rPr>
          <w:szCs w:val="28"/>
        </w:rPr>
      </w:pPr>
      <w:r w:rsidRPr="00F41813">
        <w:rPr>
          <w:szCs w:val="28"/>
        </w:rPr>
        <w:t xml:space="preserve">Directorate Joe Xavier will review and discuss APR with ILCAD Deputy Director, </w:t>
      </w:r>
      <w:r w:rsidR="00AF22DF" w:rsidRPr="00F41813">
        <w:rPr>
          <w:szCs w:val="28"/>
        </w:rPr>
        <w:t>Ana Action</w:t>
      </w:r>
      <w:r w:rsidRPr="00F41813">
        <w:rPr>
          <w:szCs w:val="28"/>
        </w:rPr>
        <w:t xml:space="preserve"> and advise of any revisions.</w:t>
      </w:r>
    </w:p>
    <w:p w14:paraId="242E2BB8" w14:textId="55FAD8D1" w:rsidR="00924BD0" w:rsidRPr="00F41813" w:rsidRDefault="00924BD0" w:rsidP="00EC55A1">
      <w:pPr>
        <w:pStyle w:val="ListParagraph"/>
        <w:numPr>
          <w:ilvl w:val="0"/>
          <w:numId w:val="33"/>
        </w:numPr>
        <w:spacing w:after="120"/>
        <w:contextualSpacing w:val="0"/>
        <w:rPr>
          <w:szCs w:val="28"/>
        </w:rPr>
      </w:pPr>
      <w:r w:rsidRPr="00F41813">
        <w:rPr>
          <w:szCs w:val="28"/>
        </w:rPr>
        <w:lastRenderedPageBreak/>
        <w:t xml:space="preserve">Upon receipt of DOR Directorate, Joe Xavier’s approval, the ILCAD Deputy Director, will assign an employee to key the approval into NATADS portal on behalf of Director Joe Xavier. </w:t>
      </w:r>
    </w:p>
    <w:p w14:paraId="1F2F49B3" w14:textId="4D7475ED" w:rsidR="00D629D1" w:rsidRPr="00E84805" w:rsidRDefault="00231C8E" w:rsidP="00924BD0">
      <w:pPr>
        <w:pStyle w:val="ListParagraph"/>
        <w:spacing w:after="120"/>
        <w:ind w:left="450"/>
        <w:contextualSpacing w:val="0"/>
        <w:rPr>
          <w:szCs w:val="28"/>
        </w:rPr>
      </w:pPr>
      <w:r w:rsidRPr="00E84805">
        <w:rPr>
          <w:szCs w:val="28"/>
        </w:rPr>
        <w:t xml:space="preserve"> </w:t>
      </w:r>
    </w:p>
    <w:sectPr w:rsidR="00D629D1" w:rsidRPr="00E84805" w:rsidSect="00213C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59B7" w14:textId="77777777" w:rsidR="00E544A5" w:rsidRDefault="00E544A5" w:rsidP="00AC081C">
      <w:pPr>
        <w:spacing w:after="0"/>
      </w:pPr>
      <w:r>
        <w:separator/>
      </w:r>
    </w:p>
  </w:endnote>
  <w:endnote w:type="continuationSeparator" w:id="0">
    <w:p w14:paraId="287BACBC" w14:textId="77777777" w:rsidR="00E544A5" w:rsidRDefault="00E544A5" w:rsidP="00AC0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D7C" w14:textId="25912C96" w:rsidR="00397D4E" w:rsidRPr="003E3895" w:rsidRDefault="002163AC">
    <w:pPr>
      <w:pStyle w:val="Footer"/>
      <w:rPr>
        <w:rFonts w:cs="Arial"/>
        <w:sz w:val="24"/>
        <w:szCs w:val="24"/>
      </w:rPr>
    </w:pPr>
    <w:sdt>
      <w:sdtPr>
        <w:id w:val="-1427100520"/>
        <w:docPartObj>
          <w:docPartGallery w:val="Page Numbers (Bottom of Page)"/>
          <w:docPartUnique/>
        </w:docPartObj>
      </w:sdtPr>
      <w:sdtEndPr>
        <w:rPr>
          <w:rFonts w:cs="Arial"/>
          <w:noProof/>
          <w:sz w:val="24"/>
          <w:szCs w:val="24"/>
        </w:rPr>
      </w:sdtEndPr>
      <w:sdtContent>
        <w:r w:rsidR="00397D4E" w:rsidRPr="00B15D3C">
          <w:rPr>
            <w:rFonts w:cs="Arial"/>
            <w:sz w:val="24"/>
            <w:szCs w:val="24"/>
          </w:rPr>
          <w:t xml:space="preserve">Page </w:t>
        </w:r>
        <w:r w:rsidR="00397D4E" w:rsidRPr="00B15D3C">
          <w:rPr>
            <w:rFonts w:cs="Arial"/>
            <w:sz w:val="24"/>
            <w:szCs w:val="24"/>
          </w:rPr>
          <w:fldChar w:fldCharType="begin"/>
        </w:r>
        <w:r w:rsidR="00397D4E" w:rsidRPr="00B15D3C">
          <w:rPr>
            <w:rFonts w:cs="Arial"/>
            <w:sz w:val="24"/>
            <w:szCs w:val="24"/>
          </w:rPr>
          <w:instrText xml:space="preserve"> PAGE   \* MERGEFORMAT </w:instrText>
        </w:r>
        <w:r w:rsidR="00397D4E" w:rsidRPr="00B15D3C">
          <w:rPr>
            <w:rFonts w:cs="Arial"/>
            <w:sz w:val="24"/>
            <w:szCs w:val="24"/>
          </w:rPr>
          <w:fldChar w:fldCharType="separate"/>
        </w:r>
        <w:r w:rsidR="001F63B3">
          <w:rPr>
            <w:rFonts w:cs="Arial"/>
            <w:noProof/>
            <w:sz w:val="24"/>
            <w:szCs w:val="24"/>
          </w:rPr>
          <w:t>1</w:t>
        </w:r>
        <w:r w:rsidR="00397D4E" w:rsidRPr="00B15D3C">
          <w:rPr>
            <w:rFonts w:cs="Arial"/>
            <w:noProof/>
            <w:sz w:val="24"/>
            <w:szCs w:val="24"/>
          </w:rPr>
          <w:fldChar w:fldCharType="end"/>
        </w:r>
      </w:sdtContent>
    </w:sdt>
    <w:r w:rsidR="00397D4E">
      <w:rPr>
        <w:rFonts w:cs="Arial"/>
        <w:noProof/>
        <w:sz w:val="24"/>
        <w:szCs w:val="24"/>
      </w:rPr>
      <w:tab/>
    </w:r>
    <w:r w:rsidR="00397D4E">
      <w:rPr>
        <w:rFonts w:cs="Arial"/>
        <w:noProof/>
        <w:sz w:val="24"/>
        <w:szCs w:val="24"/>
      </w:rPr>
      <w:tab/>
    </w:r>
    <w:r w:rsidR="00206AFA">
      <w:rPr>
        <w:rFonts w:cs="Arial"/>
        <w:sz w:val="24"/>
        <w:szCs w:val="24"/>
      </w:rPr>
      <w:t xml:space="preserve">December </w:t>
    </w:r>
    <w:r w:rsidR="00D708DF">
      <w:rPr>
        <w:rFonts w:cs="Arial"/>
        <w:sz w:val="24"/>
        <w:szCs w:val="24"/>
      </w:rPr>
      <w:t>7</w:t>
    </w:r>
    <w:r w:rsidR="00206AFA">
      <w:rPr>
        <w:rFonts w:cs="Arial"/>
        <w:sz w:val="24"/>
        <w:szCs w:val="24"/>
      </w:rPr>
      <w:t xml:space="preserve">, </w:t>
    </w:r>
    <w:r w:rsidR="004F6FAD">
      <w:rPr>
        <w:rFonts w:cs="Arial"/>
        <w:sz w:val="24"/>
        <w:szCs w:val="24"/>
      </w:rPr>
      <w:t>20</w:t>
    </w:r>
    <w:r w:rsidR="00D708DF">
      <w:rPr>
        <w:rFonts w:cs="Arial"/>
        <w:sz w:val="24"/>
        <w:szCs w:val="24"/>
      </w:rPr>
      <w:t>2</w:t>
    </w:r>
    <w:r w:rsidR="00E86528">
      <w:rPr>
        <w:rFonts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DB14" w14:textId="77777777" w:rsidR="00E544A5" w:rsidRDefault="00E544A5" w:rsidP="00AC081C">
      <w:pPr>
        <w:spacing w:after="0"/>
      </w:pPr>
      <w:r>
        <w:separator/>
      </w:r>
    </w:p>
  </w:footnote>
  <w:footnote w:type="continuationSeparator" w:id="0">
    <w:p w14:paraId="50353CD1" w14:textId="77777777" w:rsidR="00E544A5" w:rsidRDefault="00E544A5" w:rsidP="00AC0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F303" w14:textId="54D284F4" w:rsidR="002F2BB1" w:rsidRPr="00E84805" w:rsidRDefault="008251E1" w:rsidP="00E84805">
    <w:pPr>
      <w:pStyle w:val="Header"/>
      <w:jc w:val="center"/>
      <w:rPr>
        <w:rFonts w:cs="Arial"/>
        <w:szCs w:val="28"/>
      </w:rPr>
    </w:pPr>
    <w:r>
      <w:rPr>
        <w:rFonts w:cs="Arial"/>
        <w:szCs w:val="28"/>
      </w:rPr>
      <w:t xml:space="preserve"> </w:t>
    </w:r>
    <w:r w:rsidR="00924BD0">
      <w:rPr>
        <w:rFonts w:cs="Arial"/>
        <w:szCs w:val="28"/>
      </w:rPr>
      <w:t xml:space="preserve">Federal Fiscal Year </w:t>
    </w:r>
    <w:r w:rsidR="002269DC" w:rsidRPr="00E84805">
      <w:rPr>
        <w:rFonts w:cs="Arial"/>
        <w:szCs w:val="28"/>
      </w:rPr>
      <w:t>20</w:t>
    </w:r>
    <w:r w:rsidR="003D1661" w:rsidRPr="00E84805">
      <w:rPr>
        <w:rFonts w:cs="Arial"/>
        <w:szCs w:val="28"/>
      </w:rPr>
      <w:t>2</w:t>
    </w:r>
    <w:r w:rsidR="00E86528">
      <w:rPr>
        <w:rFonts w:cs="Arial"/>
        <w:szCs w:val="28"/>
      </w:rPr>
      <w:t>1</w:t>
    </w:r>
    <w:r w:rsidR="00397D4E" w:rsidRPr="00E84805">
      <w:rPr>
        <w:rFonts w:cs="Arial"/>
        <w:szCs w:val="28"/>
      </w:rPr>
      <w:t xml:space="preserve"> </w:t>
    </w:r>
    <w:r w:rsidR="00924BD0">
      <w:rPr>
        <w:rFonts w:cs="Arial"/>
        <w:szCs w:val="28"/>
      </w:rPr>
      <w:t>AT</w:t>
    </w:r>
    <w:r w:rsidR="00E84805">
      <w:rPr>
        <w:rFonts w:cs="Arial"/>
        <w:szCs w:val="28"/>
      </w:rPr>
      <w:t xml:space="preserve"> </w:t>
    </w:r>
    <w:r w:rsidR="00397D4E" w:rsidRPr="00E84805">
      <w:rPr>
        <w:rFonts w:cs="Arial"/>
        <w:szCs w:val="28"/>
      </w:rPr>
      <w:t xml:space="preserve">Annual </w:t>
    </w:r>
    <w:r w:rsidR="002F2BB1" w:rsidRPr="00E84805">
      <w:rPr>
        <w:rFonts w:cs="Arial"/>
        <w:szCs w:val="28"/>
      </w:rPr>
      <w:t>Progress</w:t>
    </w:r>
    <w:r w:rsidR="00397D4E" w:rsidRPr="00E84805">
      <w:rPr>
        <w:rFonts w:cs="Arial"/>
        <w:szCs w:val="28"/>
      </w:rPr>
      <w:t xml:space="preserve"> Report</w:t>
    </w:r>
  </w:p>
  <w:p w14:paraId="57860577" w14:textId="57120BC4" w:rsidR="00397D4E" w:rsidRPr="00E84805" w:rsidRDefault="00397D4E" w:rsidP="00E84805">
    <w:pPr>
      <w:pStyle w:val="Header"/>
      <w:jc w:val="center"/>
      <w:rPr>
        <w:rFonts w:cs="Arial"/>
        <w:szCs w:val="28"/>
      </w:rPr>
    </w:pPr>
    <w:r w:rsidRPr="00E84805">
      <w:rPr>
        <w:rFonts w:cs="Arial"/>
        <w:b/>
        <w:szCs w:val="28"/>
      </w:rPr>
      <w:t>E</w:t>
    </w:r>
    <w:r w:rsidR="003D1661" w:rsidRPr="00E84805">
      <w:rPr>
        <w:rFonts w:cs="Arial"/>
        <w:b/>
        <w:szCs w:val="28"/>
      </w:rPr>
      <w:t>XEC</w:t>
    </w:r>
    <w:r w:rsidRPr="00E84805">
      <w:rPr>
        <w:rFonts w:cs="Arial"/>
        <w:b/>
        <w:szCs w:val="28"/>
      </w:rPr>
      <w:t>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34D"/>
    <w:multiLevelType w:val="hybridMultilevel"/>
    <w:tmpl w:val="99A84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000"/>
    <w:multiLevelType w:val="hybridMultilevel"/>
    <w:tmpl w:val="E5FC9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D46D7"/>
    <w:multiLevelType w:val="hybridMultilevel"/>
    <w:tmpl w:val="C0D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378"/>
    <w:multiLevelType w:val="hybridMultilevel"/>
    <w:tmpl w:val="70F2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AAA430F"/>
    <w:multiLevelType w:val="hybridMultilevel"/>
    <w:tmpl w:val="BD3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E1976"/>
    <w:multiLevelType w:val="hybridMultilevel"/>
    <w:tmpl w:val="BEC4E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5C7"/>
    <w:multiLevelType w:val="hybridMultilevel"/>
    <w:tmpl w:val="E6D8A0A4"/>
    <w:lvl w:ilvl="0" w:tplc="6106B7A6">
      <w:start w:val="9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535A0"/>
    <w:multiLevelType w:val="hybridMultilevel"/>
    <w:tmpl w:val="54CA4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4578"/>
    <w:multiLevelType w:val="hybridMultilevel"/>
    <w:tmpl w:val="B5AA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70B82"/>
    <w:multiLevelType w:val="hybridMultilevel"/>
    <w:tmpl w:val="650E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A36BF"/>
    <w:multiLevelType w:val="hybridMultilevel"/>
    <w:tmpl w:val="BD3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24237"/>
    <w:multiLevelType w:val="hybridMultilevel"/>
    <w:tmpl w:val="B5BEBD36"/>
    <w:lvl w:ilvl="0" w:tplc="200CE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C25AD8"/>
    <w:multiLevelType w:val="hybridMultilevel"/>
    <w:tmpl w:val="CE84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6E1795"/>
    <w:multiLevelType w:val="hybridMultilevel"/>
    <w:tmpl w:val="5A58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43242"/>
    <w:multiLevelType w:val="hybridMultilevel"/>
    <w:tmpl w:val="790A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C0D0E"/>
    <w:multiLevelType w:val="hybridMultilevel"/>
    <w:tmpl w:val="08A04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22BD4"/>
    <w:multiLevelType w:val="hybridMultilevel"/>
    <w:tmpl w:val="437C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13B8A"/>
    <w:multiLevelType w:val="hybridMultilevel"/>
    <w:tmpl w:val="C682DEDA"/>
    <w:lvl w:ilvl="0" w:tplc="4EA0AD24">
      <w:start w:val="9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B1924"/>
    <w:multiLevelType w:val="hybridMultilevel"/>
    <w:tmpl w:val="BD3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50A79"/>
    <w:multiLevelType w:val="hybridMultilevel"/>
    <w:tmpl w:val="D8864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52EBB"/>
    <w:multiLevelType w:val="hybridMultilevel"/>
    <w:tmpl w:val="63F2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305A1"/>
    <w:multiLevelType w:val="hybridMultilevel"/>
    <w:tmpl w:val="E9700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E2F9E"/>
    <w:multiLevelType w:val="hybridMultilevel"/>
    <w:tmpl w:val="085C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71E1D"/>
    <w:multiLevelType w:val="hybridMultilevel"/>
    <w:tmpl w:val="649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E55C7"/>
    <w:multiLevelType w:val="hybridMultilevel"/>
    <w:tmpl w:val="F9AE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B729C"/>
    <w:multiLevelType w:val="hybridMultilevel"/>
    <w:tmpl w:val="3B46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53016D"/>
    <w:multiLevelType w:val="hybridMultilevel"/>
    <w:tmpl w:val="6AF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5761"/>
    <w:multiLevelType w:val="hybridMultilevel"/>
    <w:tmpl w:val="EF2C2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5E7C76"/>
    <w:multiLevelType w:val="hybridMultilevel"/>
    <w:tmpl w:val="26C2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2C1383"/>
    <w:multiLevelType w:val="hybridMultilevel"/>
    <w:tmpl w:val="06C297E0"/>
    <w:lvl w:ilvl="0" w:tplc="5DF4C2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11639E5"/>
    <w:multiLevelType w:val="hybridMultilevel"/>
    <w:tmpl w:val="827C5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643531"/>
    <w:multiLevelType w:val="hybridMultilevel"/>
    <w:tmpl w:val="B77C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20252"/>
    <w:multiLevelType w:val="hybridMultilevel"/>
    <w:tmpl w:val="41C4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FF778D"/>
    <w:multiLevelType w:val="hybridMultilevel"/>
    <w:tmpl w:val="860CFDAA"/>
    <w:lvl w:ilvl="0" w:tplc="32B0E1F8">
      <w:start w:val="5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66602673">
    <w:abstractNumId w:val="8"/>
  </w:num>
  <w:num w:numId="2" w16cid:durableId="1710687077">
    <w:abstractNumId w:val="10"/>
  </w:num>
  <w:num w:numId="3" w16cid:durableId="1374234754">
    <w:abstractNumId w:val="18"/>
  </w:num>
  <w:num w:numId="4" w16cid:durableId="368528410">
    <w:abstractNumId w:val="4"/>
  </w:num>
  <w:num w:numId="5" w16cid:durableId="1336179671">
    <w:abstractNumId w:val="16"/>
  </w:num>
  <w:num w:numId="6" w16cid:durableId="1196235905">
    <w:abstractNumId w:val="24"/>
  </w:num>
  <w:num w:numId="7" w16cid:durableId="1089813005">
    <w:abstractNumId w:val="21"/>
  </w:num>
  <w:num w:numId="8" w16cid:durableId="956525964">
    <w:abstractNumId w:val="31"/>
  </w:num>
  <w:num w:numId="9" w16cid:durableId="262422491">
    <w:abstractNumId w:val="29"/>
  </w:num>
  <w:num w:numId="10" w16cid:durableId="843325300">
    <w:abstractNumId w:val="3"/>
  </w:num>
  <w:num w:numId="11" w16cid:durableId="2126339905">
    <w:abstractNumId w:val="14"/>
  </w:num>
  <w:num w:numId="12" w16cid:durableId="158352147">
    <w:abstractNumId w:val="5"/>
  </w:num>
  <w:num w:numId="13" w16cid:durableId="425923480">
    <w:abstractNumId w:val="1"/>
  </w:num>
  <w:num w:numId="14" w16cid:durableId="810826449">
    <w:abstractNumId w:val="19"/>
  </w:num>
  <w:num w:numId="15" w16cid:durableId="1510440744">
    <w:abstractNumId w:val="7"/>
  </w:num>
  <w:num w:numId="16" w16cid:durableId="1773554556">
    <w:abstractNumId w:val="0"/>
  </w:num>
  <w:num w:numId="17" w16cid:durableId="256402632">
    <w:abstractNumId w:val="20"/>
  </w:num>
  <w:num w:numId="18" w16cid:durableId="482157443">
    <w:abstractNumId w:val="11"/>
  </w:num>
  <w:num w:numId="19" w16cid:durableId="2085763655">
    <w:abstractNumId w:val="15"/>
  </w:num>
  <w:num w:numId="20" w16cid:durableId="152452233">
    <w:abstractNumId w:val="9"/>
  </w:num>
  <w:num w:numId="21" w16cid:durableId="2058628517">
    <w:abstractNumId w:val="32"/>
  </w:num>
  <w:num w:numId="22" w16cid:durableId="153764740">
    <w:abstractNumId w:val="12"/>
  </w:num>
  <w:num w:numId="23" w16cid:durableId="564028026">
    <w:abstractNumId w:val="27"/>
  </w:num>
  <w:num w:numId="24" w16cid:durableId="587009840">
    <w:abstractNumId w:val="28"/>
  </w:num>
  <w:num w:numId="25" w16cid:durableId="1682121490">
    <w:abstractNumId w:val="22"/>
  </w:num>
  <w:num w:numId="26" w16cid:durableId="1081099249">
    <w:abstractNumId w:val="17"/>
  </w:num>
  <w:num w:numId="27" w16cid:durableId="347559593">
    <w:abstractNumId w:val="6"/>
  </w:num>
  <w:num w:numId="28" w16cid:durableId="1180239132">
    <w:abstractNumId w:val="30"/>
  </w:num>
  <w:num w:numId="29" w16cid:durableId="503784901">
    <w:abstractNumId w:val="25"/>
  </w:num>
  <w:num w:numId="30" w16cid:durableId="954409558">
    <w:abstractNumId w:val="13"/>
  </w:num>
  <w:num w:numId="31" w16cid:durableId="816846461">
    <w:abstractNumId w:val="2"/>
  </w:num>
  <w:num w:numId="32" w16cid:durableId="2116513924">
    <w:abstractNumId w:val="26"/>
  </w:num>
  <w:num w:numId="33" w16cid:durableId="1299145694">
    <w:abstractNumId w:val="23"/>
  </w:num>
  <w:num w:numId="34" w16cid:durableId="10803681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E6"/>
    <w:rsid w:val="0000099A"/>
    <w:rsid w:val="00002195"/>
    <w:rsid w:val="00006DEE"/>
    <w:rsid w:val="000150DB"/>
    <w:rsid w:val="00022B5F"/>
    <w:rsid w:val="0002558F"/>
    <w:rsid w:val="00025996"/>
    <w:rsid w:val="00032DDF"/>
    <w:rsid w:val="00032EA8"/>
    <w:rsid w:val="00036498"/>
    <w:rsid w:val="000370BD"/>
    <w:rsid w:val="00037E25"/>
    <w:rsid w:val="000409FE"/>
    <w:rsid w:val="00043D32"/>
    <w:rsid w:val="0004724D"/>
    <w:rsid w:val="00055352"/>
    <w:rsid w:val="00063F39"/>
    <w:rsid w:val="000646CE"/>
    <w:rsid w:val="00070C02"/>
    <w:rsid w:val="00075A31"/>
    <w:rsid w:val="0008231D"/>
    <w:rsid w:val="00084DDB"/>
    <w:rsid w:val="00090E0D"/>
    <w:rsid w:val="00093498"/>
    <w:rsid w:val="00096C80"/>
    <w:rsid w:val="000A091B"/>
    <w:rsid w:val="000D04CD"/>
    <w:rsid w:val="000D227A"/>
    <w:rsid w:val="000D5EF7"/>
    <w:rsid w:val="000D73B9"/>
    <w:rsid w:val="000E0BA8"/>
    <w:rsid w:val="000F0D14"/>
    <w:rsid w:val="000F4F69"/>
    <w:rsid w:val="000F5F42"/>
    <w:rsid w:val="0010267D"/>
    <w:rsid w:val="001146F1"/>
    <w:rsid w:val="00141AB7"/>
    <w:rsid w:val="00143F6E"/>
    <w:rsid w:val="001503E8"/>
    <w:rsid w:val="00153A41"/>
    <w:rsid w:val="00157671"/>
    <w:rsid w:val="00157867"/>
    <w:rsid w:val="001627E4"/>
    <w:rsid w:val="00173285"/>
    <w:rsid w:val="00190DAA"/>
    <w:rsid w:val="00192A49"/>
    <w:rsid w:val="00196AC8"/>
    <w:rsid w:val="001A31F2"/>
    <w:rsid w:val="001B45C8"/>
    <w:rsid w:val="001D17D2"/>
    <w:rsid w:val="001D6824"/>
    <w:rsid w:val="001D6C44"/>
    <w:rsid w:val="001E69F4"/>
    <w:rsid w:val="001F2742"/>
    <w:rsid w:val="001F4AF8"/>
    <w:rsid w:val="001F63B3"/>
    <w:rsid w:val="001F75FC"/>
    <w:rsid w:val="001F7A82"/>
    <w:rsid w:val="00200E01"/>
    <w:rsid w:val="002066B8"/>
    <w:rsid w:val="00206AFA"/>
    <w:rsid w:val="00207579"/>
    <w:rsid w:val="0021098E"/>
    <w:rsid w:val="00213C0B"/>
    <w:rsid w:val="002163AC"/>
    <w:rsid w:val="00225792"/>
    <w:rsid w:val="002269DC"/>
    <w:rsid w:val="00227BA9"/>
    <w:rsid w:val="00231C8E"/>
    <w:rsid w:val="0023538E"/>
    <w:rsid w:val="00244F5A"/>
    <w:rsid w:val="00254F88"/>
    <w:rsid w:val="00256E63"/>
    <w:rsid w:val="00274471"/>
    <w:rsid w:val="00276E31"/>
    <w:rsid w:val="00282E63"/>
    <w:rsid w:val="00290E42"/>
    <w:rsid w:val="00297D5A"/>
    <w:rsid w:val="002A4106"/>
    <w:rsid w:val="002B252F"/>
    <w:rsid w:val="002C034E"/>
    <w:rsid w:val="002C466F"/>
    <w:rsid w:val="002D0A75"/>
    <w:rsid w:val="002E014F"/>
    <w:rsid w:val="002E0F6F"/>
    <w:rsid w:val="002E64F3"/>
    <w:rsid w:val="002F2BB1"/>
    <w:rsid w:val="00313316"/>
    <w:rsid w:val="003178AF"/>
    <w:rsid w:val="00317942"/>
    <w:rsid w:val="00320011"/>
    <w:rsid w:val="00342C07"/>
    <w:rsid w:val="0034770E"/>
    <w:rsid w:val="003515D2"/>
    <w:rsid w:val="00356F54"/>
    <w:rsid w:val="003577F2"/>
    <w:rsid w:val="0036462D"/>
    <w:rsid w:val="00370150"/>
    <w:rsid w:val="00376E27"/>
    <w:rsid w:val="00377668"/>
    <w:rsid w:val="00397D4E"/>
    <w:rsid w:val="003A2773"/>
    <w:rsid w:val="003A61BB"/>
    <w:rsid w:val="003C5CB0"/>
    <w:rsid w:val="003D1661"/>
    <w:rsid w:val="003D3768"/>
    <w:rsid w:val="003D61E4"/>
    <w:rsid w:val="003E029E"/>
    <w:rsid w:val="003E3895"/>
    <w:rsid w:val="003E4F0E"/>
    <w:rsid w:val="003E6414"/>
    <w:rsid w:val="003F228F"/>
    <w:rsid w:val="003F3AA0"/>
    <w:rsid w:val="003F523F"/>
    <w:rsid w:val="004020EA"/>
    <w:rsid w:val="00405400"/>
    <w:rsid w:val="00410E71"/>
    <w:rsid w:val="004120F6"/>
    <w:rsid w:val="004174D4"/>
    <w:rsid w:val="00427143"/>
    <w:rsid w:val="00427F57"/>
    <w:rsid w:val="004323EE"/>
    <w:rsid w:val="00434C0F"/>
    <w:rsid w:val="00436CFC"/>
    <w:rsid w:val="004377BC"/>
    <w:rsid w:val="00440190"/>
    <w:rsid w:val="00440A7A"/>
    <w:rsid w:val="00441DD3"/>
    <w:rsid w:val="00442C84"/>
    <w:rsid w:val="00445866"/>
    <w:rsid w:val="00450B08"/>
    <w:rsid w:val="00453480"/>
    <w:rsid w:val="00457633"/>
    <w:rsid w:val="004648F7"/>
    <w:rsid w:val="00465113"/>
    <w:rsid w:val="00470EA6"/>
    <w:rsid w:val="004710D0"/>
    <w:rsid w:val="00473257"/>
    <w:rsid w:val="00476C3E"/>
    <w:rsid w:val="00484E2B"/>
    <w:rsid w:val="0049476B"/>
    <w:rsid w:val="004A0217"/>
    <w:rsid w:val="004A790E"/>
    <w:rsid w:val="004B28F8"/>
    <w:rsid w:val="004B7CCD"/>
    <w:rsid w:val="004D02A4"/>
    <w:rsid w:val="004D105C"/>
    <w:rsid w:val="004D1CBD"/>
    <w:rsid w:val="004D4DE8"/>
    <w:rsid w:val="004E1288"/>
    <w:rsid w:val="004F1434"/>
    <w:rsid w:val="004F2AF5"/>
    <w:rsid w:val="004F6FAD"/>
    <w:rsid w:val="00502F41"/>
    <w:rsid w:val="005065FA"/>
    <w:rsid w:val="0051564F"/>
    <w:rsid w:val="005204DB"/>
    <w:rsid w:val="00520EAE"/>
    <w:rsid w:val="0054117F"/>
    <w:rsid w:val="00550F36"/>
    <w:rsid w:val="005528F5"/>
    <w:rsid w:val="00553F3C"/>
    <w:rsid w:val="0055488F"/>
    <w:rsid w:val="00567962"/>
    <w:rsid w:val="0057336F"/>
    <w:rsid w:val="00576706"/>
    <w:rsid w:val="00581046"/>
    <w:rsid w:val="00581DC7"/>
    <w:rsid w:val="00587ECB"/>
    <w:rsid w:val="005915BC"/>
    <w:rsid w:val="005A55D2"/>
    <w:rsid w:val="005A678B"/>
    <w:rsid w:val="005A6F58"/>
    <w:rsid w:val="005B712F"/>
    <w:rsid w:val="005C5F02"/>
    <w:rsid w:val="005E0C94"/>
    <w:rsid w:val="005F1C36"/>
    <w:rsid w:val="005F492B"/>
    <w:rsid w:val="005F6172"/>
    <w:rsid w:val="005F6DEC"/>
    <w:rsid w:val="00603281"/>
    <w:rsid w:val="006136F4"/>
    <w:rsid w:val="00621BED"/>
    <w:rsid w:val="006278ED"/>
    <w:rsid w:val="00637354"/>
    <w:rsid w:val="00654874"/>
    <w:rsid w:val="00656B92"/>
    <w:rsid w:val="0067159D"/>
    <w:rsid w:val="00672D6C"/>
    <w:rsid w:val="0069381F"/>
    <w:rsid w:val="0069506F"/>
    <w:rsid w:val="006965C0"/>
    <w:rsid w:val="006A0B43"/>
    <w:rsid w:val="006A68E7"/>
    <w:rsid w:val="006B68F5"/>
    <w:rsid w:val="006B735A"/>
    <w:rsid w:val="006C03FA"/>
    <w:rsid w:val="006C189B"/>
    <w:rsid w:val="006C3DF0"/>
    <w:rsid w:val="006C6EE9"/>
    <w:rsid w:val="006E4758"/>
    <w:rsid w:val="006E49CE"/>
    <w:rsid w:val="007014BF"/>
    <w:rsid w:val="0070157C"/>
    <w:rsid w:val="007058F5"/>
    <w:rsid w:val="007062B4"/>
    <w:rsid w:val="007140B6"/>
    <w:rsid w:val="00716CB7"/>
    <w:rsid w:val="00717090"/>
    <w:rsid w:val="0072717A"/>
    <w:rsid w:val="00731EF5"/>
    <w:rsid w:val="00734849"/>
    <w:rsid w:val="0073546D"/>
    <w:rsid w:val="007364EF"/>
    <w:rsid w:val="007736C0"/>
    <w:rsid w:val="007833B4"/>
    <w:rsid w:val="00791E11"/>
    <w:rsid w:val="00792F18"/>
    <w:rsid w:val="0079617C"/>
    <w:rsid w:val="007974F7"/>
    <w:rsid w:val="007B1334"/>
    <w:rsid w:val="007B4247"/>
    <w:rsid w:val="007C28D5"/>
    <w:rsid w:val="007C4382"/>
    <w:rsid w:val="007C4F7C"/>
    <w:rsid w:val="007C6C78"/>
    <w:rsid w:val="007D0E1E"/>
    <w:rsid w:val="007D3958"/>
    <w:rsid w:val="007D4B47"/>
    <w:rsid w:val="007D6077"/>
    <w:rsid w:val="007F40A8"/>
    <w:rsid w:val="00805E5D"/>
    <w:rsid w:val="008106A9"/>
    <w:rsid w:val="00821EDE"/>
    <w:rsid w:val="008251E1"/>
    <w:rsid w:val="00831C5D"/>
    <w:rsid w:val="0084019A"/>
    <w:rsid w:val="00845616"/>
    <w:rsid w:val="00846543"/>
    <w:rsid w:val="00846AD7"/>
    <w:rsid w:val="008551F0"/>
    <w:rsid w:val="00856122"/>
    <w:rsid w:val="008632CA"/>
    <w:rsid w:val="00864B30"/>
    <w:rsid w:val="00885E80"/>
    <w:rsid w:val="008A513E"/>
    <w:rsid w:val="008A538A"/>
    <w:rsid w:val="008B7966"/>
    <w:rsid w:val="008C2801"/>
    <w:rsid w:val="008D3ACC"/>
    <w:rsid w:val="008D4E87"/>
    <w:rsid w:val="008E09FA"/>
    <w:rsid w:val="008E16FB"/>
    <w:rsid w:val="008E4B37"/>
    <w:rsid w:val="008F71AF"/>
    <w:rsid w:val="008F799C"/>
    <w:rsid w:val="00904749"/>
    <w:rsid w:val="00905DFF"/>
    <w:rsid w:val="00912E64"/>
    <w:rsid w:val="00914F14"/>
    <w:rsid w:val="00915BC8"/>
    <w:rsid w:val="00922024"/>
    <w:rsid w:val="00924BD0"/>
    <w:rsid w:val="00940750"/>
    <w:rsid w:val="00942C7B"/>
    <w:rsid w:val="00955C38"/>
    <w:rsid w:val="00962781"/>
    <w:rsid w:val="009637FE"/>
    <w:rsid w:val="00965027"/>
    <w:rsid w:val="00981939"/>
    <w:rsid w:val="0098787E"/>
    <w:rsid w:val="00991F03"/>
    <w:rsid w:val="009A0363"/>
    <w:rsid w:val="009A54B1"/>
    <w:rsid w:val="009A661B"/>
    <w:rsid w:val="009B33BF"/>
    <w:rsid w:val="009C4FB0"/>
    <w:rsid w:val="009D3359"/>
    <w:rsid w:val="009E4065"/>
    <w:rsid w:val="009E4952"/>
    <w:rsid w:val="009E78F2"/>
    <w:rsid w:val="009F583E"/>
    <w:rsid w:val="009F677B"/>
    <w:rsid w:val="00A06644"/>
    <w:rsid w:val="00A1091D"/>
    <w:rsid w:val="00A146EE"/>
    <w:rsid w:val="00A14701"/>
    <w:rsid w:val="00A20D99"/>
    <w:rsid w:val="00A24297"/>
    <w:rsid w:val="00A63326"/>
    <w:rsid w:val="00A70AFB"/>
    <w:rsid w:val="00A7619C"/>
    <w:rsid w:val="00A92324"/>
    <w:rsid w:val="00AA08C8"/>
    <w:rsid w:val="00AA74BF"/>
    <w:rsid w:val="00AA79C9"/>
    <w:rsid w:val="00AC05E6"/>
    <w:rsid w:val="00AC081C"/>
    <w:rsid w:val="00AD08AB"/>
    <w:rsid w:val="00AD0FF7"/>
    <w:rsid w:val="00AD58A0"/>
    <w:rsid w:val="00AD7BD3"/>
    <w:rsid w:val="00AF22DF"/>
    <w:rsid w:val="00AF2D53"/>
    <w:rsid w:val="00B006B0"/>
    <w:rsid w:val="00B006EA"/>
    <w:rsid w:val="00B07887"/>
    <w:rsid w:val="00B158DA"/>
    <w:rsid w:val="00B15D3C"/>
    <w:rsid w:val="00B15F3A"/>
    <w:rsid w:val="00B16648"/>
    <w:rsid w:val="00B45AEA"/>
    <w:rsid w:val="00B52A99"/>
    <w:rsid w:val="00B55E95"/>
    <w:rsid w:val="00B60A89"/>
    <w:rsid w:val="00B62739"/>
    <w:rsid w:val="00B62DBA"/>
    <w:rsid w:val="00B74F02"/>
    <w:rsid w:val="00B76547"/>
    <w:rsid w:val="00B83A66"/>
    <w:rsid w:val="00B8681C"/>
    <w:rsid w:val="00B87F8A"/>
    <w:rsid w:val="00B95297"/>
    <w:rsid w:val="00BA09BD"/>
    <w:rsid w:val="00BA5CD8"/>
    <w:rsid w:val="00BA7268"/>
    <w:rsid w:val="00BB3C5A"/>
    <w:rsid w:val="00BB456B"/>
    <w:rsid w:val="00BB6389"/>
    <w:rsid w:val="00BC1C45"/>
    <w:rsid w:val="00BC6D6A"/>
    <w:rsid w:val="00BD62DB"/>
    <w:rsid w:val="00BD7F92"/>
    <w:rsid w:val="00BE30E2"/>
    <w:rsid w:val="00C05305"/>
    <w:rsid w:val="00C124C0"/>
    <w:rsid w:val="00C15F66"/>
    <w:rsid w:val="00C1686E"/>
    <w:rsid w:val="00C21E57"/>
    <w:rsid w:val="00C3029F"/>
    <w:rsid w:val="00C33960"/>
    <w:rsid w:val="00C470AD"/>
    <w:rsid w:val="00C57041"/>
    <w:rsid w:val="00C62107"/>
    <w:rsid w:val="00C81243"/>
    <w:rsid w:val="00C90596"/>
    <w:rsid w:val="00C96D6C"/>
    <w:rsid w:val="00C96EC9"/>
    <w:rsid w:val="00CB3015"/>
    <w:rsid w:val="00CB3269"/>
    <w:rsid w:val="00CB4B41"/>
    <w:rsid w:val="00CC36BE"/>
    <w:rsid w:val="00CD1BA2"/>
    <w:rsid w:val="00CD1F9C"/>
    <w:rsid w:val="00CD6E33"/>
    <w:rsid w:val="00CE47DA"/>
    <w:rsid w:val="00CE7C13"/>
    <w:rsid w:val="00CF1D52"/>
    <w:rsid w:val="00CF30B6"/>
    <w:rsid w:val="00D056F6"/>
    <w:rsid w:val="00D22A4E"/>
    <w:rsid w:val="00D2717B"/>
    <w:rsid w:val="00D306D5"/>
    <w:rsid w:val="00D321FA"/>
    <w:rsid w:val="00D3323A"/>
    <w:rsid w:val="00D44A1B"/>
    <w:rsid w:val="00D525C9"/>
    <w:rsid w:val="00D629D1"/>
    <w:rsid w:val="00D708DF"/>
    <w:rsid w:val="00D71923"/>
    <w:rsid w:val="00D74BA8"/>
    <w:rsid w:val="00D8040B"/>
    <w:rsid w:val="00D80CEB"/>
    <w:rsid w:val="00D80D86"/>
    <w:rsid w:val="00D81376"/>
    <w:rsid w:val="00D86D4C"/>
    <w:rsid w:val="00D94D48"/>
    <w:rsid w:val="00DA0D1D"/>
    <w:rsid w:val="00DA29A8"/>
    <w:rsid w:val="00DA3CF3"/>
    <w:rsid w:val="00DB6098"/>
    <w:rsid w:val="00DC3C33"/>
    <w:rsid w:val="00DC49FD"/>
    <w:rsid w:val="00DD1155"/>
    <w:rsid w:val="00DD4A22"/>
    <w:rsid w:val="00DD5218"/>
    <w:rsid w:val="00DE5548"/>
    <w:rsid w:val="00DF13CF"/>
    <w:rsid w:val="00DF3091"/>
    <w:rsid w:val="00DF478D"/>
    <w:rsid w:val="00DF67EF"/>
    <w:rsid w:val="00E077AD"/>
    <w:rsid w:val="00E14E6E"/>
    <w:rsid w:val="00E23CA0"/>
    <w:rsid w:val="00E336F3"/>
    <w:rsid w:val="00E433BB"/>
    <w:rsid w:val="00E52F1B"/>
    <w:rsid w:val="00E544A5"/>
    <w:rsid w:val="00E60986"/>
    <w:rsid w:val="00E60AB8"/>
    <w:rsid w:val="00E63023"/>
    <w:rsid w:val="00E64EC5"/>
    <w:rsid w:val="00E80BC6"/>
    <w:rsid w:val="00E8327C"/>
    <w:rsid w:val="00E845FE"/>
    <w:rsid w:val="00E84805"/>
    <w:rsid w:val="00E85433"/>
    <w:rsid w:val="00E86528"/>
    <w:rsid w:val="00E97D39"/>
    <w:rsid w:val="00EB531A"/>
    <w:rsid w:val="00EC44C1"/>
    <w:rsid w:val="00EC68F1"/>
    <w:rsid w:val="00ED11BA"/>
    <w:rsid w:val="00EF6673"/>
    <w:rsid w:val="00EF7B1B"/>
    <w:rsid w:val="00F0688A"/>
    <w:rsid w:val="00F14855"/>
    <w:rsid w:val="00F22163"/>
    <w:rsid w:val="00F22C75"/>
    <w:rsid w:val="00F248B3"/>
    <w:rsid w:val="00F323B9"/>
    <w:rsid w:val="00F33F6D"/>
    <w:rsid w:val="00F348A5"/>
    <w:rsid w:val="00F41813"/>
    <w:rsid w:val="00F50CAD"/>
    <w:rsid w:val="00F5495A"/>
    <w:rsid w:val="00F55D36"/>
    <w:rsid w:val="00F65CCF"/>
    <w:rsid w:val="00F67B22"/>
    <w:rsid w:val="00F71D7C"/>
    <w:rsid w:val="00F757C3"/>
    <w:rsid w:val="00F80F7E"/>
    <w:rsid w:val="00F86A1A"/>
    <w:rsid w:val="00FA11C1"/>
    <w:rsid w:val="00FB2F75"/>
    <w:rsid w:val="00FC030F"/>
    <w:rsid w:val="00FC18F9"/>
    <w:rsid w:val="00FC45C5"/>
    <w:rsid w:val="00FC6380"/>
    <w:rsid w:val="00FC745C"/>
    <w:rsid w:val="00FD0530"/>
    <w:rsid w:val="00FD63B4"/>
    <w:rsid w:val="00FD706F"/>
    <w:rsid w:val="00FE69EC"/>
    <w:rsid w:val="00FE7E2D"/>
    <w:rsid w:val="00FF17E5"/>
    <w:rsid w:val="00FF7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7D54CE"/>
  <w15:docId w15:val="{C0083259-CD28-40AF-BD40-BBD8E314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6E"/>
    <w:pPr>
      <w:spacing w:after="200"/>
    </w:pPr>
    <w:rPr>
      <w:rFonts w:ascii="Arial" w:hAnsi="Arial" w:cstheme="minorBidi"/>
      <w:sz w:val="28"/>
      <w:szCs w:val="22"/>
    </w:rPr>
  </w:style>
  <w:style w:type="paragraph" w:styleId="Heading1">
    <w:name w:val="heading 1"/>
    <w:basedOn w:val="Normal"/>
    <w:next w:val="Normal"/>
    <w:link w:val="Heading1Char"/>
    <w:uiPriority w:val="9"/>
    <w:qFormat/>
    <w:rsid w:val="00CB3269"/>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CD6E33"/>
    <w:pPr>
      <w:keepNext/>
      <w:keepLines/>
      <w:spacing w:before="40" w:after="0"/>
      <w:outlineLvl w:val="1"/>
    </w:pPr>
    <w:rPr>
      <w:rFonts w:eastAsiaTheme="majorEastAsia" w:cstheme="majorBidi"/>
      <w:color w:val="365F91"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1C"/>
    <w:pPr>
      <w:tabs>
        <w:tab w:val="center" w:pos="4680"/>
        <w:tab w:val="right" w:pos="9360"/>
      </w:tabs>
      <w:spacing w:after="0"/>
    </w:pPr>
  </w:style>
  <w:style w:type="character" w:customStyle="1" w:styleId="HeaderChar">
    <w:name w:val="Header Char"/>
    <w:basedOn w:val="DefaultParagraphFont"/>
    <w:link w:val="Header"/>
    <w:uiPriority w:val="99"/>
    <w:rsid w:val="00AC081C"/>
    <w:rPr>
      <w:rFonts w:asciiTheme="minorHAnsi" w:hAnsiTheme="minorHAnsi" w:cstheme="minorBidi"/>
      <w:sz w:val="22"/>
      <w:szCs w:val="22"/>
    </w:rPr>
  </w:style>
  <w:style w:type="paragraph" w:styleId="Footer">
    <w:name w:val="footer"/>
    <w:basedOn w:val="Normal"/>
    <w:link w:val="FooterChar"/>
    <w:uiPriority w:val="99"/>
    <w:unhideWhenUsed/>
    <w:rsid w:val="00AC081C"/>
    <w:pPr>
      <w:tabs>
        <w:tab w:val="center" w:pos="4680"/>
        <w:tab w:val="right" w:pos="9360"/>
      </w:tabs>
      <w:spacing w:after="0"/>
    </w:pPr>
  </w:style>
  <w:style w:type="character" w:customStyle="1" w:styleId="FooterChar">
    <w:name w:val="Footer Char"/>
    <w:basedOn w:val="DefaultParagraphFont"/>
    <w:link w:val="Footer"/>
    <w:uiPriority w:val="99"/>
    <w:rsid w:val="00AC081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C08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1C"/>
    <w:rPr>
      <w:rFonts w:ascii="Tahoma" w:hAnsi="Tahoma" w:cs="Tahoma"/>
      <w:sz w:val="16"/>
      <w:szCs w:val="16"/>
    </w:rPr>
  </w:style>
  <w:style w:type="table" w:styleId="TableGrid">
    <w:name w:val="Table Grid"/>
    <w:basedOn w:val="TableNormal"/>
    <w:uiPriority w:val="59"/>
    <w:rsid w:val="0002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163"/>
    <w:rPr>
      <w:color w:val="0000FF" w:themeColor="hyperlink"/>
      <w:u w:val="single"/>
    </w:rPr>
  </w:style>
  <w:style w:type="paragraph" w:styleId="ListParagraph">
    <w:name w:val="List Paragraph"/>
    <w:basedOn w:val="Normal"/>
    <w:uiPriority w:val="34"/>
    <w:qFormat/>
    <w:rsid w:val="003F228F"/>
    <w:pPr>
      <w:ind w:left="720"/>
      <w:contextualSpacing/>
    </w:pPr>
  </w:style>
  <w:style w:type="character" w:styleId="CommentReference">
    <w:name w:val="annotation reference"/>
    <w:basedOn w:val="DefaultParagraphFont"/>
    <w:uiPriority w:val="99"/>
    <w:semiHidden/>
    <w:unhideWhenUsed/>
    <w:rsid w:val="00FD0530"/>
    <w:rPr>
      <w:sz w:val="16"/>
      <w:szCs w:val="16"/>
    </w:rPr>
  </w:style>
  <w:style w:type="paragraph" w:styleId="CommentText">
    <w:name w:val="annotation text"/>
    <w:basedOn w:val="Normal"/>
    <w:link w:val="CommentTextChar"/>
    <w:uiPriority w:val="99"/>
    <w:semiHidden/>
    <w:unhideWhenUsed/>
    <w:rsid w:val="00FD0530"/>
    <w:rPr>
      <w:sz w:val="20"/>
      <w:szCs w:val="20"/>
    </w:rPr>
  </w:style>
  <w:style w:type="character" w:customStyle="1" w:styleId="CommentTextChar">
    <w:name w:val="Comment Text Char"/>
    <w:basedOn w:val="DefaultParagraphFont"/>
    <w:link w:val="CommentText"/>
    <w:uiPriority w:val="99"/>
    <w:semiHidden/>
    <w:rsid w:val="00FD053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D0530"/>
    <w:rPr>
      <w:b/>
      <w:bCs/>
    </w:rPr>
  </w:style>
  <w:style w:type="character" w:customStyle="1" w:styleId="CommentSubjectChar">
    <w:name w:val="Comment Subject Char"/>
    <w:basedOn w:val="CommentTextChar"/>
    <w:link w:val="CommentSubject"/>
    <w:uiPriority w:val="99"/>
    <w:semiHidden/>
    <w:rsid w:val="00FD0530"/>
    <w:rPr>
      <w:rFonts w:asciiTheme="minorHAnsi" w:hAnsiTheme="minorHAnsi" w:cstheme="minorBidi"/>
      <w:b/>
      <w:bCs/>
    </w:rPr>
  </w:style>
  <w:style w:type="character" w:customStyle="1" w:styleId="st1">
    <w:name w:val="st1"/>
    <w:basedOn w:val="DefaultParagraphFont"/>
    <w:rsid w:val="004377BC"/>
  </w:style>
  <w:style w:type="character" w:customStyle="1" w:styleId="Heading1Char">
    <w:name w:val="Heading 1 Char"/>
    <w:basedOn w:val="DefaultParagraphFont"/>
    <w:link w:val="Heading1"/>
    <w:uiPriority w:val="9"/>
    <w:rsid w:val="00CB3269"/>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E33"/>
    <w:rPr>
      <w:rFonts w:ascii="Arial" w:eastAsiaTheme="majorEastAsia" w:hAnsi="Arial" w:cstheme="majorBidi"/>
      <w:color w:val="365F91" w:themeColor="accent1" w:themeShade="BF"/>
      <w:sz w:val="26"/>
      <w:szCs w:val="26"/>
      <w:u w:val="single"/>
    </w:rPr>
  </w:style>
  <w:style w:type="paragraph" w:styleId="Revision">
    <w:name w:val="Revision"/>
    <w:hidden/>
    <w:uiPriority w:val="99"/>
    <w:semiHidden/>
    <w:rsid w:val="00FC6380"/>
    <w:rPr>
      <w:rFonts w:ascii="Arial" w:hAnsi="Arial"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7BBE-00E8-497C-86F9-2064D765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5113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ann.bui@dor.ca.gov</dc:creator>
  <cp:lastModifiedBy>Huynh, Duy@DOR</cp:lastModifiedBy>
  <cp:revision>2</cp:revision>
  <cp:lastPrinted>2019-12-20T17:47:00Z</cp:lastPrinted>
  <dcterms:created xsi:type="dcterms:W3CDTF">2022-09-23T18:17:00Z</dcterms:created>
  <dcterms:modified xsi:type="dcterms:W3CDTF">2022-09-23T18:17:00Z</dcterms:modified>
</cp:coreProperties>
</file>